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25"/>
                <w:szCs w:val="25"/>
                <w:b w:val="1"/>
                <w:bCs w:val="1"/>
                <w:color w:val="auto"/>
                <w:w w:val="99"/>
              </w:rPr>
              <w:t>T. ROWE PRICE GROUP, INC.</w:t>
            </w:r>
          </w:p>
        </w:tc>
        <w:tc>
          <w:tcPr>
            <w:tcW w:w="11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20" w:type="dxa"/>
            <w:vAlign w:val="bottom"/>
            <w:gridSpan w:val="9"/>
          </w:tcPr>
          <w:p>
            <w:pPr>
              <w:jc w:val="center"/>
              <w:ind w:right="980"/>
              <w:spacing w:after="0"/>
              <w:rPr>
                <w:sz w:val="20"/>
                <w:szCs w:val="20"/>
                <w:color w:val="auto"/>
              </w:rPr>
            </w:pPr>
            <w:r>
              <w:rPr>
                <w:rFonts w:ascii="Arial" w:cs="Arial" w:eastAsia="Arial" w:hAnsi="Arial"/>
                <w:sz w:val="18"/>
                <w:szCs w:val="18"/>
                <w:color w:val="auto"/>
                <w:w w:val="90"/>
              </w:rPr>
              <w:t>(Exact name of registrant as specified in its charter)</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92"/>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2020" w:type="dxa"/>
            <w:vAlign w:val="bottom"/>
            <w:gridSpan w:val="4"/>
          </w:tcPr>
          <w:p>
            <w:pPr>
              <w:spacing w:after="0"/>
              <w:rPr>
                <w:sz w:val="24"/>
                <w:szCs w:val="24"/>
                <w:color w:val="auto"/>
              </w:rPr>
            </w:pPr>
          </w:p>
        </w:tc>
        <w:tc>
          <w:tcPr>
            <w:tcW w:w="436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52-2264646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2"/>
              </w:rPr>
              <w:t>State of incorporation</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7"/>
          </w:tcPr>
          <w:p>
            <w:pPr>
              <w:jc w:val="center"/>
              <w:ind w:right="320"/>
              <w:spacing w:after="0"/>
              <w:rPr>
                <w:sz w:val="20"/>
                <w:szCs w:val="20"/>
                <w:color w:val="auto"/>
              </w:rPr>
            </w:pPr>
            <w:r>
              <w:rPr>
                <w:rFonts w:ascii="Arial" w:cs="Arial" w:eastAsia="Arial" w:hAnsi="Arial"/>
                <w:sz w:val="18"/>
                <w:szCs w:val="18"/>
                <w:color w:val="auto"/>
                <w:w w:val="94"/>
              </w:rPr>
              <w:t>IRS Employer Identification No.</w:t>
            </w:r>
          </w:p>
        </w:tc>
      </w:tr>
      <w:tr>
        <w:trPr>
          <w:trHeight w:val="257"/>
        </w:trPr>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b w:val="1"/>
                <w:bCs w:val="1"/>
                <w:color w:val="auto"/>
                <w:w w:val="92"/>
              </w:rPr>
              <w:t>100 East Pratt Street, Baltimore, Maryland 21202</w:t>
            </w: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80" w:type="dxa"/>
            <w:vAlign w:val="bottom"/>
            <w:gridSpan w:val="10"/>
          </w:tcPr>
          <w:p>
            <w:pPr>
              <w:jc w:val="center"/>
              <w:ind w:right="320"/>
              <w:spacing w:after="0"/>
              <w:rPr>
                <w:sz w:val="20"/>
                <w:szCs w:val="20"/>
                <w:color w:val="auto"/>
              </w:rPr>
            </w:pPr>
            <w:r>
              <w:rPr>
                <w:rFonts w:ascii="Arial" w:cs="Arial" w:eastAsia="Arial" w:hAnsi="Arial"/>
                <w:sz w:val="18"/>
                <w:szCs w:val="18"/>
                <w:color w:val="auto"/>
                <w:w w:val="92"/>
              </w:rPr>
              <w:t>Address, including zip code, of principal executive offices</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(410) 345-2000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color w:val="auto"/>
                <w:w w:val="89"/>
              </w:rPr>
              <w:t>Registrant’s telephone number, including area code</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92"/>
        </w:trPr>
        <w:tc>
          <w:tcPr>
            <w:tcW w:w="1200" w:type="dxa"/>
            <w:vAlign w:val="bottom"/>
          </w:tcPr>
          <w:p>
            <w:pPr>
              <w:spacing w:after="0"/>
              <w:rPr>
                <w:sz w:val="24"/>
                <w:szCs w:val="24"/>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Common stock, $.20 par value per share</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160" w:type="dxa"/>
            <w:vAlign w:val="bottom"/>
          </w:tcPr>
          <w:p>
            <w:pPr>
              <w:spacing w:after="0"/>
              <w:rPr>
                <w:sz w:val="24"/>
                <w:szCs w:val="24"/>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4"/>
              </w:rPr>
              <w:t>(Title of class)</w:t>
            </w:r>
          </w:p>
        </w:tc>
        <w:tc>
          <w:tcPr>
            <w:tcW w:w="1120" w:type="dxa"/>
            <w:vAlign w:val="bottom"/>
          </w:tcPr>
          <w:p>
            <w:pPr>
              <w:spacing w:after="0"/>
              <w:rPr>
                <w:sz w:val="24"/>
                <w:szCs w:val="24"/>
                <w:color w:val="auto"/>
              </w:rPr>
            </w:pPr>
          </w:p>
        </w:tc>
        <w:tc>
          <w:tcPr>
            <w:tcW w:w="3880" w:type="dxa"/>
            <w:vAlign w:val="bottom"/>
            <w:gridSpan w:val="9"/>
          </w:tcPr>
          <w:p>
            <w:pPr>
              <w:jc w:val="center"/>
              <w:ind w:left="850"/>
              <w:spacing w:after="0"/>
              <w:rPr>
                <w:sz w:val="20"/>
                <w:szCs w:val="20"/>
                <w:color w:val="auto"/>
              </w:rPr>
            </w:pPr>
            <w:r>
              <w:rPr>
                <w:rFonts w:ascii="Arial" w:cs="Arial" w:eastAsia="Arial" w:hAnsi="Arial"/>
                <w:sz w:val="18"/>
                <w:szCs w:val="18"/>
                <w:color w:val="auto"/>
                <w:w w:val="90"/>
              </w:rPr>
              <w:t>(Name of exchange on which registered)</w:t>
            </w:r>
          </w:p>
        </w:tc>
      </w:tr>
      <w:tr>
        <w:trPr>
          <w:trHeight w:val="297"/>
        </w:trPr>
        <w:tc>
          <w:tcPr>
            <w:tcW w:w="8620" w:type="dxa"/>
            <w:vAlign w:val="bottom"/>
            <w:gridSpan w:val="1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[X] Yes  </w:t>
            </w: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 No</w:t>
            </w:r>
          </w:p>
        </w:tc>
      </w:tr>
      <w:tr>
        <w:trPr>
          <w:trHeight w:val="324"/>
        </w:trPr>
        <w:tc>
          <w:tcPr>
            <w:tcW w:w="8620" w:type="dxa"/>
            <w:vAlign w:val="bottom"/>
            <w:gridSpan w:val="1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  ] Yes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[X] No</w:t>
            </w:r>
          </w:p>
        </w:tc>
      </w:tr>
    </w:tbl>
    <w:p>
      <w:pPr>
        <w:spacing w:after="0" w:line="94"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7"/>
          <w:szCs w:val="17"/>
          <w:b w:val="1"/>
          <w:bCs w:val="1"/>
          <w:color w:val="auto"/>
        </w:rPr>
        <w:t>[X] Yes</w:t>
      </w:r>
      <w:r>
        <w:rPr>
          <w:rFonts w:ascii="Arial" w:cs="Arial" w:eastAsia="Arial" w:hAnsi="Arial"/>
          <w:sz w:val="17"/>
          <w:szCs w:val="17"/>
          <w:color w:val="auto"/>
        </w:rPr>
        <w:t xml:space="preserve"> [ ] No</w:t>
      </w:r>
    </w:p>
    <w:p>
      <w:pPr>
        <w:spacing w:after="0" w:line="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8"/>
          <w:szCs w:val="18"/>
          <w:b w:val="1"/>
          <w:bCs w:val="1"/>
          <w:color w:val="auto"/>
        </w:rPr>
        <w:t>[X] Yes</w:t>
      </w:r>
      <w:r>
        <w:rPr>
          <w:rFonts w:ascii="Arial" w:cs="Arial" w:eastAsia="Arial" w:hAnsi="Arial"/>
          <w:sz w:val="18"/>
          <w:szCs w:val="18"/>
          <w:color w:val="auto"/>
        </w:rPr>
        <w:t xml:space="preserve"> [ ] No</w:t>
      </w:r>
    </w:p>
    <w:p>
      <w:pPr>
        <w:spacing w:after="0" w:line="6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sectPr>
      </w:pPr>
    </w:p>
    <w:p>
      <w:pPr>
        <w:spacing w:after="0" w:line="8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63" w:lineRule="exact"/>
        <w:rPr>
          <w:sz w:val="24"/>
          <w:szCs w:val="24"/>
          <w:color w:val="auto"/>
        </w:rPr>
      </w:pPr>
    </w:p>
    <w:p>
      <w:pPr>
        <w:sectPr>
          <w:pgSz w:w="11900" w:h="16838" w:orient="portrait"/>
          <w:cols w:equalWidth="0" w:num="4">
            <w:col w:w="2700" w:space="720"/>
            <w:col w:w="3200" w:space="720"/>
            <w:col w:w="2520" w:space="720"/>
            <w:col w:w="780"/>
          </w:cols>
          <w:pgMar w:left="240" w:top="233"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16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86" w:lineRule="exact"/>
        <w:rPr>
          <w:sz w:val="24"/>
          <w:szCs w:val="24"/>
          <w:color w:val="auto"/>
        </w:rPr>
      </w:pPr>
    </w:p>
    <w:p>
      <w:pPr>
        <w:sectPr>
          <w:pgSz w:w="11900" w:h="16838" w:orient="portrait"/>
          <w:cols w:equalWidth="0" w:num="4">
            <w:col w:w="2700" w:space="720"/>
            <w:col w:w="3200" w:space="720"/>
            <w:col w:w="2520" w:space="720"/>
            <w:col w:w="780"/>
          </w:cols>
          <w:pgMar w:left="240" w:top="233" w:right="29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tabs>
          <w:tab w:leader="none" w:pos="100" w:val="left"/>
        </w:tabs>
        <w:rPr>
          <w:sz w:val="20"/>
          <w:szCs w:val="20"/>
          <w:color w:val="auto"/>
        </w:rPr>
      </w:pPr>
      <w:r>
        <w:rPr>
          <w:rFonts w:ascii="Arial" w:cs="Arial" w:eastAsia="Arial" w:hAnsi="Arial"/>
          <w:sz w:val="18"/>
          <w:szCs w:val="18"/>
          <w:color w:val="auto"/>
        </w:rPr>
        <w:t>[</w:t>
        <w:tab/>
        <w: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[X] No</w:t>
      </w:r>
    </w:p>
    <w:p>
      <w:pPr>
        <w:spacing w:after="0" w:line="121" w:lineRule="exact"/>
        <w:rPr>
          <w:sz w:val="24"/>
          <w:szCs w:val="24"/>
          <w:color w:val="auto"/>
        </w:rPr>
      </w:pPr>
    </w:p>
    <w:p>
      <w:pPr>
        <w:sectPr>
          <w:pgSz w:w="11900" w:h="16838" w:orient="portrait"/>
          <w:cols w:equalWidth="0" w:num="3">
            <w:col w:w="7440" w:space="180"/>
            <w:col w:w="600" w:space="180"/>
            <w:col w:w="2960"/>
          </w:cols>
          <w:pgMar w:left="240" w:top="233" w:right="299" w:bottom="1440" w:gutter="0" w:footer="0" w:header="0"/>
          <w:type w:val="continuous"/>
        </w:sectPr>
      </w:pPr>
    </w:p>
    <w:p>
      <w:pPr>
        <w:jc w:val="both"/>
        <w:ind w:right="440"/>
        <w:spacing w:after="0" w:line="264" w:lineRule="auto"/>
        <w:rPr>
          <w:sz w:val="20"/>
          <w:szCs w:val="20"/>
          <w:color w:val="auto"/>
        </w:rPr>
      </w:pPr>
      <w:r>
        <w:rPr>
          <w:rFonts w:ascii="Arial" w:cs="Arial" w:eastAsia="Arial" w:hAnsi="Arial"/>
          <w:sz w:val="18"/>
          <w:szCs w:val="18"/>
          <w:color w:val="auto"/>
        </w:rPr>
        <w:t>The aggregate market value of the common equity (all voting) held by non-affiliates (excludes current executive officers and directors) computed using $72.97 per share (the NASDAQ Official Closing Price on June 30, 2016, the last business day of the registrant’s most recently completed second fiscal quarter) was $17.7 billion.</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the latest practicable date, February 6, 2017, is 243,415,300.</w:t>
      </w:r>
    </w:p>
    <w:p>
      <w:pPr>
        <w:spacing w:after="0" w:line="11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2017 Annual Meeting of Stockholders to be filed pursuant to Regulation 14A.</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72.</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80" w:type="dxa"/>
            <w:vAlign w:val="bottom"/>
            <w:gridSpan w:val="16"/>
          </w:tcPr>
          <w:p>
            <w:pPr>
              <w:ind w:left="68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01"/>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006EBF"/>
            </w:tcBorders>
          </w:tcPr>
          <w:p>
            <w:pPr>
              <w:spacing w:after="0"/>
              <w:rPr>
                <w:sz w:val="24"/>
                <w:szCs w:val="24"/>
                <w:color w:val="auto"/>
              </w:rPr>
            </w:pPr>
          </w:p>
        </w:tc>
        <w:tc>
          <w:tcPr>
            <w:tcW w:w="6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40" w:type="dxa"/>
            <w:vAlign w:val="bottom"/>
            <w:tcBorders>
              <w:top w:val="single" w:sz="8" w:color="006EBF"/>
            </w:tcBorders>
          </w:tcPr>
          <w:p>
            <w:pPr>
              <w:spacing w:after="0"/>
              <w:rPr>
                <w:sz w:val="24"/>
                <w:szCs w:val="24"/>
                <w:color w:val="auto"/>
              </w:rPr>
            </w:pPr>
          </w:p>
        </w:tc>
        <w:tc>
          <w:tcPr>
            <w:tcW w:w="100" w:type="dxa"/>
            <w:vAlign w:val="bottom"/>
            <w:tcBorders>
              <w:top w:val="single" w:sz="8" w:color="006EBF"/>
            </w:tcBorders>
          </w:tcPr>
          <w:p>
            <w:pPr>
              <w:spacing w:after="0"/>
              <w:rPr>
                <w:sz w:val="24"/>
                <w:szCs w:val="24"/>
                <w:color w:val="auto"/>
              </w:rPr>
            </w:pPr>
          </w:p>
        </w:tc>
        <w:tc>
          <w:tcPr>
            <w:tcW w:w="44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40" w:type="dxa"/>
            <w:vAlign w:val="bottom"/>
            <w:tcBorders>
              <w:top w:val="single" w:sz="8" w:color="006EBF"/>
            </w:tcBorders>
          </w:tcPr>
          <w:p>
            <w:pPr>
              <w:spacing w:after="0"/>
              <w:rPr>
                <w:sz w:val="24"/>
                <w:szCs w:val="24"/>
                <w:color w:val="auto"/>
              </w:rPr>
            </w:pPr>
          </w:p>
        </w:tc>
        <w:tc>
          <w:tcPr>
            <w:tcW w:w="480" w:type="dxa"/>
            <w:vAlign w:val="bottom"/>
            <w:tcBorders>
              <w:top w:val="single" w:sz="8" w:color="006EBF"/>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40" w:type="dxa"/>
            <w:vAlign w:val="bottom"/>
            <w:gridSpan w:val="12"/>
          </w:tcPr>
          <w:p>
            <w:pPr>
              <w:jc w:val="center"/>
              <w:ind w:right="412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PART I</w:t>
              </w:r>
            </w:hyperlink>
          </w:p>
        </w:tc>
        <w:tc>
          <w:tcPr>
            <w:tcW w:w="840" w:type="dxa"/>
            <w:vAlign w:val="bottom"/>
          </w:tcPr>
          <w:p>
            <w:pPr>
              <w:spacing w:after="0"/>
              <w:rPr>
                <w:sz w:val="21"/>
                <w:szCs w:val="21"/>
                <w:color w:val="auto"/>
              </w:rPr>
            </w:pPr>
          </w:p>
        </w:tc>
        <w:tc>
          <w:tcPr>
            <w:tcW w:w="460" w:type="dxa"/>
            <w:vAlign w:val="bottom"/>
            <w:tcBorders>
              <w:top w:val="single" w:sz="8" w:color="auto"/>
            </w:tcBorders>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20" w:type="dxa"/>
            <w:vAlign w:val="bottom"/>
            <w:gridSpan w:val="18"/>
          </w:tcPr>
          <w:p>
            <w:pPr>
              <w:spacing w:after="0"/>
              <w:rPr>
                <w:sz w:val="20"/>
                <w:szCs w:val="20"/>
                <w:color w:val="auto"/>
              </w:rPr>
            </w:pPr>
            <w:r>
              <w:rPr>
                <w:rFonts w:ascii="Arial" w:cs="Arial" w:eastAsia="Arial" w:hAnsi="Arial"/>
                <w:sz w:val="18"/>
                <w:szCs w:val="18"/>
                <w:color w:val="auto"/>
              </w:rPr>
              <w:t>Business</w:t>
            </w:r>
          </w:p>
        </w:tc>
        <w:tc>
          <w:tcPr>
            <w:tcW w:w="540" w:type="dxa"/>
            <w:vAlign w:val="bottom"/>
            <w:tcBorders>
              <w:top w:val="single" w:sz="8" w:color="auto"/>
            </w:tcBorders>
            <w:gridSpan w:val="2"/>
          </w:tcPr>
          <w:p>
            <w:pPr>
              <w:spacing w:after="0"/>
              <w:rPr>
                <w:sz w:val="21"/>
                <w:szCs w:val="21"/>
                <w:color w:val="auto"/>
              </w:rPr>
            </w:pPr>
          </w:p>
        </w:tc>
        <w:tc>
          <w:tcPr>
            <w:tcW w:w="4160" w:type="dxa"/>
            <w:vAlign w:val="bottom"/>
            <w:gridSpan w:val="9"/>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29"/>
          </w:tcPr>
          <w:p>
            <w:pPr>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1300" w:type="dxa"/>
            <w:vAlign w:val="bottom"/>
            <w:gridSpan w:val="2"/>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29"/>
          </w:tcPr>
          <w:p>
            <w:pPr>
              <w:spacing w:after="0"/>
              <w:rPr>
                <w:rFonts w:ascii="Arial" w:cs="Arial" w:eastAsia="Arial" w:hAnsi="Arial"/>
                <w:sz w:val="18"/>
                <w:szCs w:val="18"/>
                <w:color w:val="auto"/>
              </w:rPr>
            </w:pPr>
            <w:hyperlink w:anchor="page20">
              <w:r>
                <w:rPr>
                  <w:rFonts w:ascii="Arial" w:cs="Arial" w:eastAsia="Arial" w:hAnsi="Arial"/>
                  <w:sz w:val="18"/>
                  <w:szCs w:val="18"/>
                  <w:color w:val="auto"/>
                </w:rPr>
                <w:t>Unresolved Staff Comments</w:t>
              </w:r>
            </w:hyperlink>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auto"/>
              <w:bottom w:val="single" w:sz="8" w:color="auto"/>
            </w:tcBorders>
            <w:gridSpan w:val="2"/>
          </w:tcPr>
          <w:p>
            <w:pPr>
              <w:spacing w:after="0"/>
              <w:rPr>
                <w:rFonts w:ascii="Arial" w:cs="Arial" w:eastAsia="Arial" w:hAnsi="Arial"/>
                <w:sz w:val="18"/>
                <w:szCs w:val="18"/>
                <w:color w:val="auto"/>
                <w:w w:val="87"/>
              </w:rPr>
            </w:pPr>
            <w:hyperlink w:anchor="page20">
              <w:r>
                <w:rPr>
                  <w:rFonts w:ascii="Arial" w:cs="Arial" w:eastAsia="Arial" w:hAnsi="Arial"/>
                  <w:sz w:val="18"/>
                  <w:szCs w:val="18"/>
                  <w:color w:val="auto"/>
                  <w:w w:val="87"/>
                </w:rPr>
                <w:t>Properties</w:t>
              </w:r>
            </w:hyperlink>
          </w:p>
        </w:tc>
        <w:tc>
          <w:tcPr>
            <w:tcW w:w="1300" w:type="dxa"/>
            <w:vAlign w:val="bottom"/>
            <w:tcBorders>
              <w:top w:val="single" w:sz="8" w:color="auto"/>
            </w:tcBorders>
            <w:gridSpan w:val="7"/>
          </w:tcPr>
          <w:p>
            <w:pPr>
              <w:spacing w:after="0"/>
              <w:rPr>
                <w:sz w:val="21"/>
                <w:szCs w:val="21"/>
                <w:color w:val="auto"/>
              </w:rPr>
            </w:pPr>
          </w:p>
        </w:tc>
        <w:tc>
          <w:tcPr>
            <w:tcW w:w="6880" w:type="dxa"/>
            <w:vAlign w:val="bottom"/>
            <w:gridSpan w:val="20"/>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auto"/>
            </w:tcBorders>
            <w:gridSpan w:val="5"/>
          </w:tcPr>
          <w:p>
            <w:pPr>
              <w:spacing w:after="0"/>
              <w:rPr>
                <w:rFonts w:ascii="Arial" w:cs="Arial" w:eastAsia="Arial" w:hAnsi="Arial"/>
                <w:sz w:val="18"/>
                <w:szCs w:val="18"/>
                <w:color w:val="auto"/>
                <w:w w:val="88"/>
              </w:rPr>
            </w:pPr>
            <w:hyperlink w:anchor="page20">
              <w:r>
                <w:rPr>
                  <w:rFonts w:ascii="Arial" w:cs="Arial" w:eastAsia="Arial" w:hAnsi="Arial"/>
                  <w:sz w:val="18"/>
                  <w:szCs w:val="18"/>
                  <w:color w:val="auto"/>
                  <w:w w:val="88"/>
                </w:rPr>
                <w:t>Legal Proceedings</w:t>
              </w:r>
            </w:hyperlink>
          </w:p>
        </w:tc>
        <w:tc>
          <w:tcPr>
            <w:tcW w:w="7580" w:type="dxa"/>
            <w:vAlign w:val="bottom"/>
            <w:gridSpan w:val="2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auto"/>
            </w:tcBorders>
            <w:gridSpan w:val="7"/>
          </w:tcPr>
          <w:p>
            <w:pPr>
              <w:spacing w:after="0"/>
              <w:rPr>
                <w:rFonts w:ascii="Arial" w:cs="Arial" w:eastAsia="Arial" w:hAnsi="Arial"/>
                <w:sz w:val="18"/>
                <w:szCs w:val="18"/>
                <w:color w:val="auto"/>
                <w:w w:val="91"/>
              </w:rPr>
            </w:pPr>
            <w:hyperlink w:anchor="page20">
              <w:r>
                <w:rPr>
                  <w:rFonts w:ascii="Arial" w:cs="Arial" w:eastAsia="Arial" w:hAnsi="Arial"/>
                  <w:sz w:val="18"/>
                  <w:szCs w:val="18"/>
                  <w:color w:val="auto"/>
                  <w:w w:val="91"/>
                </w:rPr>
                <w:t>Mine Safety Disclosures</w:t>
              </w:r>
            </w:hyperlink>
          </w:p>
        </w:tc>
        <w:tc>
          <w:tcPr>
            <w:tcW w:w="7140" w:type="dxa"/>
            <w:vAlign w:val="bottom"/>
            <w:gridSpan w:val="2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w:t>
            </w:r>
          </w:p>
        </w:tc>
        <w:tc>
          <w:tcPr>
            <w:tcW w:w="8920" w:type="dxa"/>
            <w:vAlign w:val="bottom"/>
            <w:gridSpan w:val="29"/>
          </w:tcPr>
          <w:p>
            <w:pPr>
              <w:spacing w:after="0"/>
              <w:rPr>
                <w:rFonts w:ascii="Arial" w:cs="Arial" w:eastAsia="Arial" w:hAnsi="Arial"/>
                <w:sz w:val="18"/>
                <w:szCs w:val="18"/>
                <w:color w:val="auto"/>
              </w:rPr>
            </w:pPr>
            <w:hyperlink w:anchor="page21">
              <w:r>
                <w:rPr>
                  <w:rFonts w:ascii="Arial" w:cs="Arial" w:eastAsia="Arial" w:hAnsi="Arial"/>
                  <w:sz w:val="18"/>
                  <w:szCs w:val="18"/>
                  <w:color w:val="auto"/>
                </w:rPr>
                <w:t>Executive Officers of the Registrant</w:t>
              </w:r>
            </w:hyperlink>
          </w:p>
        </w:tc>
        <w:tc>
          <w:tcPr>
            <w:tcW w:w="130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2"/>
          </w:tcPr>
          <w:p>
            <w:pPr>
              <w:jc w:val="center"/>
              <w:ind w:right="4140"/>
              <w:spacing w:after="0"/>
              <w:rPr>
                <w:rFonts w:ascii="Arial" w:cs="Arial" w:eastAsia="Arial" w:hAnsi="Arial"/>
                <w:sz w:val="18"/>
                <w:szCs w:val="18"/>
                <w:color w:val="auto"/>
                <w:w w:val="95"/>
              </w:rPr>
            </w:pPr>
            <w:hyperlink w:anchor="page22">
              <w:r>
                <w:rPr>
                  <w:rFonts w:ascii="Arial" w:cs="Arial" w:eastAsia="Arial" w:hAnsi="Arial"/>
                  <w:sz w:val="18"/>
                  <w:szCs w:val="18"/>
                  <w:color w:val="auto"/>
                  <w:w w:val="95"/>
                </w:rPr>
                <w:t>PART II</w:t>
              </w:r>
            </w:hyperlink>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auto"/>
            </w:tcBorders>
            <w:gridSpan w:val="28"/>
          </w:tcPr>
          <w:p>
            <w:pPr>
              <w:spacing w:after="0"/>
              <w:rPr>
                <w:rFonts w:ascii="Arial" w:cs="Arial" w:eastAsia="Arial" w:hAnsi="Arial"/>
                <w:sz w:val="18"/>
                <w:szCs w:val="18"/>
                <w:color w:val="auto"/>
                <w:w w:val="90"/>
              </w:rPr>
            </w:pPr>
            <w:hyperlink w:anchor="page22">
              <w:r>
                <w:rPr>
                  <w:rFonts w:ascii="Arial" w:cs="Arial" w:eastAsia="Arial" w:hAnsi="Arial"/>
                  <w:sz w:val="18"/>
                  <w:szCs w:val="18"/>
                  <w:color w:val="auto"/>
                  <w:w w:val="90"/>
                </w:rPr>
                <w:t>Market for Registrant’s Common Equity, Related Stockholder Matters and Issuer Purchases of Equity Securities</w:t>
              </w:r>
            </w:hyperlink>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auto"/>
            </w:tcBorders>
            <w:gridSpan w:val="6"/>
          </w:tcPr>
          <w:p>
            <w:pPr>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Selected Financial Data</w:t>
              </w:r>
            </w:hyperlink>
          </w:p>
        </w:tc>
        <w:tc>
          <w:tcPr>
            <w:tcW w:w="7200" w:type="dxa"/>
            <w:vAlign w:val="bottom"/>
            <w:gridSpan w:val="2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29"/>
          </w:tcPr>
          <w:p>
            <w:pPr>
              <w:spacing w:after="0"/>
              <w:rPr>
                <w:rFonts w:ascii="Arial" w:cs="Arial" w:eastAsia="Arial" w:hAnsi="Arial"/>
                <w:sz w:val="18"/>
                <w:szCs w:val="18"/>
                <w:color w:val="auto"/>
              </w:rPr>
            </w:pPr>
            <w:hyperlink w:anchor="page24">
              <w:r>
                <w:rPr>
                  <w:rFonts w:ascii="Arial" w:cs="Arial" w:eastAsia="Arial" w:hAnsi="Arial"/>
                  <w:sz w:val="18"/>
                  <w:szCs w:val="18"/>
                  <w:color w:val="auto"/>
                </w:rPr>
                <w:t>Management’s Discussion and Analysis of Financial Condition and Results of Operations</w:t>
              </w:r>
            </w:hyperlink>
          </w:p>
        </w:tc>
        <w:tc>
          <w:tcPr>
            <w:tcW w:w="130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auto"/>
              <w:bottom w:val="single" w:sz="8" w:color="auto"/>
            </w:tcBorders>
            <w:gridSpan w:val="19"/>
          </w:tcPr>
          <w:p>
            <w:pPr>
              <w:spacing w:after="0"/>
              <w:rPr>
                <w:rFonts w:ascii="Arial" w:cs="Arial" w:eastAsia="Arial" w:hAnsi="Arial"/>
                <w:sz w:val="18"/>
                <w:szCs w:val="18"/>
                <w:color w:val="auto"/>
                <w:w w:val="91"/>
              </w:rPr>
            </w:pPr>
            <w:hyperlink w:anchor="page42">
              <w:r>
                <w:rPr>
                  <w:rFonts w:ascii="Arial" w:cs="Arial" w:eastAsia="Arial" w:hAnsi="Arial"/>
                  <w:sz w:val="18"/>
                  <w:szCs w:val="18"/>
                  <w:color w:val="auto"/>
                  <w:w w:val="91"/>
                </w:rPr>
                <w:t>Quantitative and Qualitative Disclosures about Market Risk</w:t>
              </w:r>
            </w:hyperlink>
          </w:p>
        </w:tc>
        <w:tc>
          <w:tcPr>
            <w:tcW w:w="2140" w:type="dxa"/>
            <w:vAlign w:val="bottom"/>
            <w:tcBorders>
              <w:top w:val="single" w:sz="8" w:color="auto"/>
            </w:tcBorders>
            <w:gridSpan w:val="6"/>
          </w:tcPr>
          <w:p>
            <w:pPr>
              <w:spacing w:after="0"/>
              <w:rPr>
                <w:sz w:val="21"/>
                <w:szCs w:val="21"/>
                <w:color w:val="auto"/>
              </w:rPr>
            </w:pPr>
          </w:p>
        </w:tc>
        <w:tc>
          <w:tcPr>
            <w:tcW w:w="2460" w:type="dxa"/>
            <w:vAlign w:val="bottom"/>
            <w:gridSpan w:val="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auto"/>
            </w:tcBorders>
            <w:gridSpan w:val="13"/>
          </w:tcPr>
          <w:p>
            <w:pPr>
              <w:spacing w:after="0"/>
              <w:rPr>
                <w:rFonts w:ascii="Arial" w:cs="Arial" w:eastAsia="Arial" w:hAnsi="Arial"/>
                <w:sz w:val="18"/>
                <w:szCs w:val="18"/>
                <w:color w:val="auto"/>
                <w:w w:val="89"/>
              </w:rPr>
            </w:pPr>
            <w:hyperlink w:anchor="page43">
              <w:r>
                <w:rPr>
                  <w:rFonts w:ascii="Arial" w:cs="Arial" w:eastAsia="Arial" w:hAnsi="Arial"/>
                  <w:sz w:val="18"/>
                  <w:szCs w:val="18"/>
                  <w:color w:val="auto"/>
                  <w:w w:val="89"/>
                </w:rPr>
                <w:t>Financial Statements and Supplementary Data</w:t>
              </w:r>
            </w:hyperlink>
          </w:p>
        </w:tc>
        <w:tc>
          <w:tcPr>
            <w:tcW w:w="5580" w:type="dxa"/>
            <w:vAlign w:val="bottom"/>
            <w:gridSpan w:val="16"/>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29"/>
          </w:tcPr>
          <w:p>
            <w:pPr>
              <w:spacing w:after="0"/>
              <w:rPr>
                <w:rFonts w:ascii="Arial" w:cs="Arial" w:eastAsia="Arial" w:hAnsi="Arial"/>
                <w:sz w:val="18"/>
                <w:szCs w:val="18"/>
                <w:color w:val="auto"/>
              </w:rPr>
            </w:pPr>
            <w:hyperlink w:anchor="page70">
              <w:r>
                <w:rPr>
                  <w:rFonts w:ascii="Arial" w:cs="Arial" w:eastAsia="Arial" w:hAnsi="Arial"/>
                  <w:sz w:val="18"/>
                  <w:szCs w:val="18"/>
                  <w:color w:val="auto"/>
                </w:rPr>
                <w:t>Changes in and Disagreements with Accountants on Accounting and Financial Disclosure</w:t>
              </w:r>
            </w:hyperlink>
          </w:p>
        </w:tc>
        <w:tc>
          <w:tcPr>
            <w:tcW w:w="1300" w:type="dxa"/>
            <w:vAlign w:val="bottom"/>
            <w:gridSpan w:val="2"/>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88"/>
              </w:rPr>
              <w:t>Controls and Procedures</w:t>
            </w:r>
          </w:p>
        </w:tc>
        <w:tc>
          <w:tcPr>
            <w:tcW w:w="4700" w:type="dxa"/>
            <w:vAlign w:val="bottom"/>
            <w:tcBorders>
              <w:top w:val="single" w:sz="8" w:color="auto"/>
            </w:tcBorders>
            <w:gridSpan w:val="19"/>
          </w:tcPr>
          <w:p>
            <w:pPr>
              <w:spacing w:after="0"/>
              <w:rPr>
                <w:sz w:val="21"/>
                <w:szCs w:val="21"/>
                <w:color w:val="auto"/>
              </w:rPr>
            </w:pPr>
          </w:p>
        </w:tc>
        <w:tc>
          <w:tcPr>
            <w:tcW w:w="2440" w:type="dxa"/>
            <w:vAlign w:val="bottom"/>
            <w:gridSpan w:val="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20" w:type="dxa"/>
            <w:vAlign w:val="bottom"/>
            <w:gridSpan w:val="29"/>
          </w:tcPr>
          <w:p>
            <w:pPr>
              <w:spacing w:after="0"/>
              <w:rPr>
                <w:sz w:val="20"/>
                <w:szCs w:val="20"/>
                <w:color w:val="auto"/>
              </w:rPr>
            </w:pPr>
            <w:r>
              <w:rPr>
                <w:rFonts w:ascii="Arial" w:cs="Arial" w:eastAsia="Arial" w:hAnsi="Arial"/>
                <w:sz w:val="18"/>
                <w:szCs w:val="18"/>
                <w:color w:val="auto"/>
              </w:rPr>
              <w:t>Other Information</w:t>
            </w:r>
          </w:p>
        </w:tc>
        <w:tc>
          <w:tcPr>
            <w:tcW w:w="1300" w:type="dxa"/>
            <w:vAlign w:val="bottom"/>
            <w:gridSpan w:val="2"/>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69</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auto"/>
            </w:tcBorders>
            <w:gridSpan w:val="6"/>
          </w:tcPr>
          <w:p>
            <w:pPr>
              <w:jc w:val="center"/>
              <w:spacing w:after="0"/>
              <w:rPr>
                <w:rFonts w:ascii="Arial" w:cs="Arial" w:eastAsia="Arial" w:hAnsi="Arial"/>
                <w:sz w:val="18"/>
                <w:szCs w:val="18"/>
                <w:color w:val="auto"/>
                <w:w w:val="96"/>
              </w:rPr>
            </w:pPr>
            <w:hyperlink w:anchor="page73">
              <w:r>
                <w:rPr>
                  <w:rFonts w:ascii="Arial" w:cs="Arial" w:eastAsia="Arial" w:hAnsi="Arial"/>
                  <w:sz w:val="18"/>
                  <w:szCs w:val="18"/>
                  <w:color w:val="auto"/>
                  <w:w w:val="96"/>
                </w:rPr>
                <w:t>PART III</w:t>
              </w:r>
            </w:hyperlink>
          </w:p>
        </w:tc>
        <w:tc>
          <w:tcPr>
            <w:tcW w:w="4100" w:type="dxa"/>
            <w:vAlign w:val="bottom"/>
            <w:gridSpan w:val="7"/>
          </w:tcPr>
          <w:p>
            <w:pPr>
              <w:spacing w:after="0"/>
              <w:rPr>
                <w:sz w:val="24"/>
                <w:szCs w:val="24"/>
                <w:color w:val="auto"/>
              </w:rPr>
            </w:pPr>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auto"/>
            </w:tcBorders>
            <w:gridSpan w:val="15"/>
          </w:tcPr>
          <w:p>
            <w:pPr>
              <w:spacing w:after="0"/>
              <w:rPr>
                <w:rFonts w:ascii="Arial" w:cs="Arial" w:eastAsia="Arial" w:hAnsi="Arial"/>
                <w:sz w:val="18"/>
                <w:szCs w:val="18"/>
                <w:color w:val="auto"/>
                <w:w w:val="90"/>
              </w:rPr>
            </w:pPr>
            <w:hyperlink w:anchor="page73">
              <w:r>
                <w:rPr>
                  <w:rFonts w:ascii="Arial" w:cs="Arial" w:eastAsia="Arial" w:hAnsi="Arial"/>
                  <w:sz w:val="18"/>
                  <w:szCs w:val="18"/>
                  <w:color w:val="auto"/>
                  <w:w w:val="90"/>
                </w:rPr>
                <w:t>Directors, Executive Officers and Corporate Governance</w:t>
              </w:r>
            </w:hyperlink>
          </w:p>
        </w:tc>
        <w:tc>
          <w:tcPr>
            <w:tcW w:w="4820" w:type="dxa"/>
            <w:vAlign w:val="bottom"/>
            <w:gridSpan w:val="1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8920" w:type="dxa"/>
            <w:vAlign w:val="bottom"/>
            <w:gridSpan w:val="29"/>
          </w:tcPr>
          <w:p>
            <w:pPr>
              <w:spacing w:after="0"/>
              <w:rPr>
                <w:rFonts w:ascii="Arial" w:cs="Arial" w:eastAsia="Arial" w:hAnsi="Arial"/>
                <w:sz w:val="18"/>
                <w:szCs w:val="18"/>
                <w:color w:val="auto"/>
              </w:rPr>
            </w:pPr>
            <w:hyperlink w:anchor="page73">
              <w:r>
                <w:rPr>
                  <w:rFonts w:ascii="Arial" w:cs="Arial" w:eastAsia="Arial" w:hAnsi="Arial"/>
                  <w:sz w:val="18"/>
                  <w:szCs w:val="18"/>
                  <w:color w:val="auto"/>
                </w:rPr>
                <w:t>Executive Compensation</w:t>
              </w:r>
            </w:hyperlink>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8"/>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auto"/>
            </w:tcBorders>
            <w:gridSpan w:val="27"/>
          </w:tcPr>
          <w:p>
            <w:pPr>
              <w:spacing w:after="0"/>
              <w:rPr>
                <w:rFonts w:ascii="Arial" w:cs="Arial" w:eastAsia="Arial" w:hAnsi="Arial"/>
                <w:sz w:val="18"/>
                <w:szCs w:val="18"/>
                <w:color w:val="auto"/>
                <w:w w:val="90"/>
              </w:rPr>
            </w:pPr>
            <w:hyperlink w:anchor="page73">
              <w:r>
                <w:rPr>
                  <w:rFonts w:ascii="Arial" w:cs="Arial" w:eastAsia="Arial" w:hAnsi="Arial"/>
                  <w:sz w:val="18"/>
                  <w:szCs w:val="18"/>
                  <w:color w:val="auto"/>
                  <w:w w:val="90"/>
                </w:rPr>
                <w:t>Security Ownership of Certain Beneficial Owners and Management and Related Stockholder Matters</w:t>
              </w:r>
            </w:hyperlink>
          </w:p>
        </w:tc>
        <w:tc>
          <w:tcPr>
            <w:tcW w:w="1620" w:type="dxa"/>
            <w:vAlign w:val="bottom"/>
            <w:gridSpan w:val="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auto"/>
            </w:tcBorders>
            <w:gridSpan w:val="24"/>
          </w:tcPr>
          <w:p>
            <w:pP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Certain Relationships and Related Transactions, and Director Independence</w:t>
              </w:r>
            </w:hyperlink>
          </w:p>
        </w:tc>
        <w:tc>
          <w:tcPr>
            <w:tcW w:w="3460" w:type="dxa"/>
            <w:vAlign w:val="bottom"/>
            <w:gridSpan w:val="5"/>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20" w:type="dxa"/>
            <w:vAlign w:val="bottom"/>
            <w:gridSpan w:val="29"/>
          </w:tcPr>
          <w:p>
            <w:pPr>
              <w:spacing w:after="0"/>
              <w:rPr>
                <w:rFonts w:ascii="Arial" w:cs="Arial" w:eastAsia="Arial" w:hAnsi="Arial"/>
                <w:sz w:val="18"/>
                <w:szCs w:val="18"/>
                <w:color w:val="auto"/>
              </w:rPr>
            </w:pPr>
            <w:hyperlink w:anchor="page73">
              <w:r>
                <w:rPr>
                  <w:rFonts w:ascii="Arial" w:cs="Arial" w:eastAsia="Arial" w:hAnsi="Arial"/>
                  <w:sz w:val="18"/>
                  <w:szCs w:val="18"/>
                  <w:color w:val="auto"/>
                </w:rPr>
                <w:t>Principal Accountant Fees and Services</w:t>
              </w:r>
            </w:hyperlink>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4"/>
          </w:tcPr>
          <w:p>
            <w:pPr>
              <w:jc w:val="center"/>
              <w:ind w:right="4040"/>
              <w:spacing w:after="0"/>
              <w:rPr>
                <w:rFonts w:ascii="Arial" w:cs="Arial" w:eastAsia="Arial" w:hAnsi="Arial"/>
                <w:sz w:val="18"/>
                <w:szCs w:val="18"/>
                <w:color w:val="auto"/>
                <w:w w:val="94"/>
              </w:rPr>
            </w:pPr>
            <w:hyperlink w:anchor="page73">
              <w:r>
                <w:rPr>
                  <w:rFonts w:ascii="Arial" w:cs="Arial" w:eastAsia="Arial" w:hAnsi="Arial"/>
                  <w:sz w:val="18"/>
                  <w:szCs w:val="18"/>
                  <w:color w:val="auto"/>
                  <w:w w:val="94"/>
                </w:rPr>
                <w:t>PART IV</w:t>
              </w:r>
            </w:hyperlink>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16"/>
          </w:tcPr>
          <w:p>
            <w:pPr>
              <w:spacing w:after="0"/>
              <w:rPr>
                <w:rFonts w:ascii="Arial" w:cs="Arial" w:eastAsia="Arial" w:hAnsi="Arial"/>
                <w:sz w:val="18"/>
                <w:szCs w:val="18"/>
                <w:color w:val="auto"/>
              </w:rPr>
            </w:pPr>
            <w:hyperlink w:anchor="page73">
              <w:r>
                <w:rPr>
                  <w:rFonts w:ascii="Arial" w:cs="Arial" w:eastAsia="Arial" w:hAnsi="Arial"/>
                  <w:sz w:val="18"/>
                  <w:szCs w:val="18"/>
                  <w:color w:val="auto"/>
                </w:rPr>
                <w:t>Exhibits, Financial Statement Schedules</w:t>
              </w:r>
            </w:hyperlink>
          </w:p>
        </w:tc>
        <w:tc>
          <w:tcPr>
            <w:tcW w:w="660" w:type="dxa"/>
            <w:vAlign w:val="bottom"/>
            <w:tcBorders>
              <w:top w:val="single" w:sz="8" w:color="auto"/>
            </w:tcBorders>
            <w:gridSpan w:val="6"/>
          </w:tcPr>
          <w:p>
            <w:pPr>
              <w:spacing w:after="0"/>
              <w:rPr>
                <w:sz w:val="21"/>
                <w:szCs w:val="21"/>
                <w:color w:val="auto"/>
              </w:rPr>
            </w:pPr>
          </w:p>
        </w:tc>
        <w:tc>
          <w:tcPr>
            <w:tcW w:w="4100" w:type="dxa"/>
            <w:vAlign w:val="bottom"/>
            <w:gridSpan w:val="7"/>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50"/>
        </w:trPr>
        <w:tc>
          <w:tcPr>
            <w:tcW w:w="1100" w:type="dxa"/>
            <w:vAlign w:val="bottom"/>
            <w:tcBorders>
              <w:bottom w:val="single" w:sz="8" w:color="auto"/>
            </w:tcBorders>
          </w:tcPr>
          <w:p>
            <w:pPr>
              <w:spacing w:after="0"/>
              <w:rPr>
                <w:rFonts w:ascii="Arial" w:cs="Arial" w:eastAsia="Arial" w:hAnsi="Arial"/>
                <w:sz w:val="18"/>
                <w:szCs w:val="18"/>
                <w:color w:val="auto"/>
                <w:w w:val="92"/>
              </w:rPr>
            </w:pPr>
            <w:hyperlink w:anchor="page76">
              <w:r>
                <w:rPr>
                  <w:rFonts w:ascii="Arial" w:cs="Arial" w:eastAsia="Arial" w:hAnsi="Arial"/>
                  <w:sz w:val="18"/>
                  <w:szCs w:val="18"/>
                  <w:color w:val="auto"/>
                  <w:w w:val="92"/>
                </w:rPr>
                <w:t>SIGNATURES</w:t>
              </w:r>
            </w:hyperlink>
          </w:p>
        </w:tc>
        <w:tc>
          <w:tcPr>
            <w:tcW w:w="4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75</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80" w:top="108" w:right="259" w:bottom="1440" w:gutter="0" w:footer="0" w:header="0"/>
        </w:sectPr>
      </w:pPr>
    </w:p>
    <w:bookmarkStart w:id="2" w:name="page3"/>
    <w:bookmarkEnd w:id="2"/>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 Rowe Price Group, Inc. is a financial services holding company that provides global investment management services through its subsidiaries to investors worldwide. We provide an array of company sponsored U.S. mutual funds, other sponsored pooled investment vehicles, subadvisory services, separate account management, recordkeeping, and related services to individuals, advisors, institutions, financial intermediaries, and retirement plan sponsors. We are focused on delivering global investment management excellence to help clients around the world achieve their long-term investment goals.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late Thomas Rowe Price, Jr., founded our firm in 1937, and the common stock of T. Rowe Price Associates, Inc. was first offered to the public in 1986.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 Rowe Price Group corporate holding company structure was established in 2000.</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derive the vast majority of our consolidated net revenue and net income from investment advisory services provided by our subsidiaries, primarily T. Rowe Price Associates and T. Rowe Price International Ltd. Our revenues depend largely on the total value and composition of assets under our management. Accordingly, fluctuations in financial markets and in the composition of assets under management impact our revenues and results of operations. At December 31, 2016, we had $810.8 billion in assets under management, including $514.2 billion in the T. Rowe Price mutual funds distributed in the U.S. (Price Funds) and $296.6 billion in other investment portfolios.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2016 DEVELOPMENTS.</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U.S. stocks rose strongly in 2016, with major indexes finishing the year near record highs. Small-cap stocks substantially outperformed large-caps, and it was the eighth consecutive year for a positive S&amp;P 500 Index total return. The S&amp;P 500 Index and the NASDAQ Composite Index, which is heavily weighted in technology companies, returned 12.0% and 7.5%, respectively, in 2016. Developed non-U.S. equity markets significantly underperformed U.S. shares for the year, as returns to U.S. investors were hurt by a stronger dollar versus some major currencies. Global bond returns were mostly positive in 2016.</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table below presents financial results on a U.S. GAAP basis, as well as a non-GAAP basis, to adjust for the non-recurring charge related to the Dell appraisal rights matter, the impact of our consolidated sponsored investment portfolios, and other non-operating income. We believe the non-GAAP financial measures below provide relevant and meaningful information to investors about our core operating results.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Dollar change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24"/>
        </w:trPr>
        <w:tc>
          <w:tcPr>
            <w:tcW w:w="2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506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U.S. GAAP Basis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Investment advisory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4,222.9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Net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38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assuming dilution</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380" w:type="dxa"/>
            <w:vAlign w:val="bottom"/>
            <w:gridSpan w:val="3"/>
          </w:tcPr>
          <w:p>
            <w:pPr>
              <w:spacing w:after="0" w:line="202"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23"/>
                <w:szCs w:val="23"/>
                <w:b w:val="1"/>
                <w:bCs w:val="1"/>
                <w:color w:val="auto"/>
                <w:vertAlign w:val="superscript"/>
              </w:rPr>
              <w:t>(2)</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125" w:right="259" w:bottom="1440" w:gutter="0" w:footer="0" w:header="0"/>
        </w:sectPr>
      </w:pPr>
    </w:p>
    <w:bookmarkStart w:id="3" w:name="page4"/>
    <w:bookmarkEnd w:id="3"/>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Assets under management (in billions)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Average assets under management</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767.9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778.2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10.3</w:t>
            </w:r>
          </w:p>
        </w:tc>
        <w:tc>
          <w:tcPr>
            <w:tcW w:w="9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assets under management</w:t>
            </w:r>
          </w:p>
        </w:tc>
        <w:tc>
          <w:tcPr>
            <w:tcW w:w="2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763.1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810.8</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44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ind w:left="140" w:hanging="132"/>
        <w:spacing w:after="0" w:line="205" w:lineRule="auto"/>
        <w:tabs>
          <w:tab w:leader="none" w:pos="140" w:val="left"/>
        </w:tabs>
        <w:numPr>
          <w:ilvl w:val="0"/>
          <w:numId w:val="1"/>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Non-operating income varies from year to year due to a number of factors; accordingly the percentage change in non-operating income is not believed to be meaningful.</w:t>
      </w:r>
    </w:p>
    <w:p>
      <w:pPr>
        <w:ind w:left="140" w:hanging="132"/>
        <w:spacing w:after="0"/>
        <w:tabs>
          <w:tab w:leader="none" w:pos="140" w:val="left"/>
        </w:tabs>
        <w:numPr>
          <w:ilvl w:val="0"/>
          <w:numId w:val="1"/>
        </w:numPr>
        <w:rPr>
          <w:rFonts w:ascii="Arial" w:cs="Arial" w:eastAsia="Arial" w:hAnsi="Arial"/>
          <w:sz w:val="8"/>
          <w:szCs w:val="8"/>
          <w:i w:val="1"/>
          <w:iCs w:val="1"/>
          <w:color w:val="auto"/>
        </w:rPr>
      </w:pPr>
      <w:r>
        <w:rPr>
          <w:rFonts w:ascii="Arial" w:cs="Arial" w:eastAsia="Arial" w:hAnsi="Arial"/>
          <w:sz w:val="10"/>
          <w:szCs w:val="10"/>
          <w:i w:val="1"/>
          <w:iCs w:val="1"/>
          <w:color w:val="auto"/>
        </w:rPr>
        <w:t>See the reconciliation to the comparable U.S. GAAP measures at the end of the Results of Operations sections of Part II, Item 7 - Management's Discussion and Analysis of Financial Condition and Results of Operations.</w:t>
      </w:r>
    </w:p>
    <w:p>
      <w:pPr>
        <w:spacing w:after="0" w:line="33" w:lineRule="exact"/>
        <w:rPr>
          <w:rFonts w:ascii="Arial" w:cs="Arial" w:eastAsia="Arial" w:hAnsi="Arial"/>
          <w:sz w:val="8"/>
          <w:szCs w:val="8"/>
          <w:i w:val="1"/>
          <w:iCs w:val="1"/>
          <w:color w:val="auto"/>
        </w:rPr>
      </w:pPr>
    </w:p>
    <w:p>
      <w:pPr>
        <w:spacing w:after="0"/>
        <w:rPr>
          <w:rFonts w:ascii="Arial" w:cs="Arial" w:eastAsia="Arial" w:hAnsi="Arial"/>
          <w:sz w:val="8"/>
          <w:szCs w:val="8"/>
          <w:i w:val="1"/>
          <w:iCs w:val="1"/>
          <w:color w:val="auto"/>
        </w:rPr>
      </w:pPr>
      <w:r>
        <w:rPr>
          <w:rFonts w:ascii="Arial" w:cs="Arial" w:eastAsia="Arial" w:hAnsi="Arial"/>
          <w:sz w:val="13"/>
          <w:szCs w:val="13"/>
          <w:i w:val="1"/>
          <w:iCs w:val="1"/>
          <w:color w:val="auto"/>
        </w:rPr>
        <w:t>.</w:t>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2016, we paid our clients $166.2 million to compensate them for the denial of their appraisal rights in connection with the 2013 leveraged buyout of Dell. We made claims with our insurance carriers and, on December 30, 2016, entered into an agreement with our primary insurance carrier to recover $100 million from the claim. The insurance proceeds were recognized as an offset to the related $166.2 million charge recognized in the second quarter of 2016. Remaining insurance claims filed with respect to this matter that could result in an additional recovery of up to $50 million are still pending.</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Our 2016 results were significantly impacted by the adoption of new accounting guidance related to consolidation and stock-based compensation. The new consolidation guidance implemented in 2016 resulted in the consolidation of a larger number of sponsored investment portfolios in which we have provided initial seed capital. The impact of implementing this new guidance is discussed in more detail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of our consolidated financial statements contained in Item 8 of this filing.</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impact (in millions) the consolidated sponsored investment portfolios have on the individual lines of our 2016 consolidated statement of income is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0"/>
        </w:trPr>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9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firm's interest in the consolidated sponsored investment portfolios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Assets under management ended 2016 at $810.8 billion, an increase of $47.7 billion from the end of 2015. Market appreciation and income, net of distributions not reinvested, of $50.5 billion was offset in part by net cash outflows of $2.8 billion during 2016. Our net cash outflows for 2016 were largely attributable to clients reallocating to passive investments and the impact of our closed strategies. In 2016, our net cash flows include $8.1 billion that originated in our target date retirement portfolios, which provide shareholders with single, diversified portfolios that invest in underlying T. Rowe Price funds and T. Rowe Price collective investment trusts. The assets under management in these portfolios totaled $189.2 billion at December 31, 2016, including $150.9 billion in target date retirement funds and $38.3 billion in target date retirement trusts. These portfolios' assets account for 23.3% of our managed assets at December 31, 2016, compared with 21.7% at the end of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At December 31, 2016, we remain debt-free with ample liquidity, including cash and discretionary sponsored portfolio investment holdings of $1.9 billion. We also have seed capital investments in sponsored investment portfolios of about $1.3 billion that are redeemable, although we generally expect to be invested for several years until unrelated third-party investors substantially reduce our relative ownership percentage. We paid $2.16 per share in regular dividends in 2016, an increase of 3.8% over the $2.08 per share in regular dividends paid in 2015. Additionally, we expended $676.9 million to repurchase 10.0 million shares, or 4.0%, of our outstanding common stock in 2016. We invested $148 million during the year in capitalized technology and facilities from existing cash balances.</w:t>
      </w:r>
    </w:p>
    <w:p>
      <w:pPr>
        <w:spacing w:after="0" w:line="19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Additional information concerning our revenues, results of operations and total assets, and our assets under management during the past three years is contained in the Management’s Discussion and Analysis of Financial Condition and Results of Operations in Part II, Item 7, as well as our consolidated financial statements, which are included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125" w:right="259" w:bottom="1440" w:gutter="0" w:footer="0" w:header="0"/>
        </w:sectPr>
      </w:pPr>
    </w:p>
    <w:bookmarkStart w:id="4" w:name="page5"/>
    <w:bookmarkEnd w:id="4"/>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STRATEGIC INITIATIVES.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core capabilities have enabled us to deliver excellent operating results since our IPO in 1986. We maintain a client-centric culture that is focused on delivering excellent long-term investment performance and world-class service to our clients. We have distributed our broad array of active investment strategies through a diverse set of distribution channels to meet the needs of our clients. Our ongoing financial strength has allowed us to take advantage of attractive growth opportunities, invest in key capabilities, including investment professionals, technologies, and new product offerings; and, most importantly, provide our clients with strong investment management expertise and service.</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market in which we operate has been evolving quickly and a number of headwinds have arisen over the last few years, including a shifting demand from equities to income-oriented solutions as the population ages, demand for new vehicles to meet client needs, an accelerating regulatory landscape, and passive and alternative investments taking market share from active strategies.</w:t>
      </w:r>
    </w:p>
    <w:p>
      <w:pPr>
        <w:spacing w:after="0" w:line="18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Despite the headwinds, we believe there are significant opportunities that speak to our core capabilities. As such, we are responding with several multi-year initiatives that are designed to strengthen our long-term competitive position and can be categorized into three areas: broadening our product offerings and vehicles; strengthening and deepening distribution across all channels; and strengthening our technology platform and digital capabilities.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Channels.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distribute our products in countries located within three broad geographical regions: North America, Europe Middle East and Africa (EMEA), and Asia Pacific (APAC). We accumulate our assets under management from a diversified client base across five primary distribution channels: U.S. financial intermediaries; EMEA and APAC financial intermediaries; individual U.S. investors on a direct basis; U.S. retirement plan sponsors for which we provide recordkeeping services; and institutional investors globally. Investors domiciled outside the U.S. represent nearly 5% of total assets under management at the end of 2016. We service clients in 45 countries around the world. The following table outlines the types of vehicles within each distribution channel through which our assets under management are sourced as of December 31, 2016:</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EMEA &amp; APAC financial</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 retirement plan</w:t>
            </w:r>
          </w:p>
        </w:tc>
        <w:tc>
          <w:tcPr>
            <w:tcW w:w="2260" w:type="dxa"/>
            <w:vAlign w:val="bottom"/>
            <w:shd w:val="clear" w:color="auto" w:fill="CCEEFF"/>
          </w:tcPr>
          <w:p>
            <w:pPr>
              <w:spacing w:after="0"/>
              <w:rPr>
                <w:sz w:val="19"/>
                <w:szCs w:val="19"/>
                <w:color w:val="auto"/>
              </w:rPr>
            </w:pPr>
          </w:p>
        </w:tc>
      </w:tr>
      <w:tr>
        <w:trPr>
          <w:trHeight w:val="257"/>
        </w:trPr>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 financial intermediaries</w:t>
            </w:r>
          </w:p>
        </w:tc>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intermediaries</w:t>
            </w: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Individual U.S. investors</w:t>
            </w:r>
          </w:p>
        </w:tc>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sponsors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Global institutions</w:t>
            </w:r>
          </w:p>
        </w:tc>
      </w:tr>
      <w:tr>
        <w:trPr>
          <w:trHeight w:val="129"/>
        </w:trPr>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Borders>
              <w:top w:val="single" w:sz="8" w:color="auto"/>
            </w:tcBorders>
          </w:tcPr>
          <w:p>
            <w:pPr>
              <w:spacing w:after="0"/>
              <w:rPr>
                <w:sz w:val="11"/>
                <w:szCs w:val="11"/>
                <w:color w:val="auto"/>
              </w:rPr>
            </w:pPr>
          </w:p>
        </w:tc>
      </w:tr>
      <w:tr>
        <w:trPr>
          <w:trHeight w:val="270"/>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U.S. Mutual Funds</w:t>
            </w:r>
          </w:p>
        </w:tc>
        <w:tc>
          <w:tcPr>
            <w:tcW w:w="2280" w:type="dxa"/>
            <w:vAlign w:val="bottom"/>
            <w:gridSpan w:val="2"/>
            <w:shd w:val="clear" w:color="auto" w:fill="CCEEFF"/>
          </w:tcPr>
          <w:p>
            <w:pPr>
              <w:jc w:val="center"/>
              <w:ind w:right="100"/>
              <w:spacing w:after="0" w:line="270" w:lineRule="exact"/>
              <w:rPr>
                <w:sz w:val="20"/>
                <w:szCs w:val="20"/>
                <w:color w:val="auto"/>
              </w:rPr>
            </w:pPr>
            <w:r>
              <w:rPr>
                <w:rFonts w:ascii="Arial" w:cs="Arial" w:eastAsia="Arial" w:hAnsi="Arial"/>
                <w:sz w:val="18"/>
                <w:szCs w:val="18"/>
                <w:color w:val="auto"/>
                <w:w w:val="86"/>
              </w:rPr>
              <w:t>SICAVs</w:t>
            </w:r>
            <w:r>
              <w:rPr>
                <w:rFonts w:ascii="Arial" w:cs="Arial" w:eastAsia="Arial" w:hAnsi="Arial"/>
                <w:sz w:val="25"/>
                <w:szCs w:val="25"/>
                <w:color w:val="auto"/>
                <w:w w:val="86"/>
                <w:vertAlign w:val="superscript"/>
              </w:rPr>
              <w:t>(1)</w:t>
            </w:r>
            <w:r>
              <w:rPr>
                <w:rFonts w:ascii="Arial" w:cs="Arial" w:eastAsia="Arial" w:hAnsi="Arial"/>
                <w:sz w:val="18"/>
                <w:szCs w:val="18"/>
                <w:color w:val="auto"/>
                <w:w w:val="86"/>
              </w:rPr>
              <w:t xml:space="preserve"> / FCPs </w:t>
            </w:r>
            <w:r>
              <w:rPr>
                <w:rFonts w:ascii="Arial" w:cs="Arial" w:eastAsia="Arial" w:hAnsi="Arial"/>
                <w:sz w:val="25"/>
                <w:szCs w:val="25"/>
                <w:color w:val="auto"/>
                <w:w w:val="86"/>
                <w:vertAlign w:val="superscript"/>
              </w:rPr>
              <w:t>(2)</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 Mutual Funds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U.S. Mutual Funds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U.S. Mutual Funds</w:t>
            </w:r>
          </w:p>
        </w:tc>
      </w:tr>
      <w:tr>
        <w:trPr>
          <w:trHeight w:val="27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Collective Investment Trusts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Australian Unit Trusts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Separate Accounts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Collective Investment Trusts</w:t>
            </w:r>
          </w:p>
        </w:tc>
        <w:tc>
          <w:tcPr>
            <w:tcW w:w="2260" w:type="dxa"/>
            <w:vAlign w:val="bottom"/>
          </w:tcPr>
          <w:p>
            <w:pPr>
              <w:jc w:val="center"/>
              <w:spacing w:after="0" w:line="270" w:lineRule="exact"/>
              <w:rPr>
                <w:sz w:val="20"/>
                <w:szCs w:val="20"/>
                <w:color w:val="auto"/>
              </w:rPr>
            </w:pPr>
            <w:r>
              <w:rPr>
                <w:rFonts w:ascii="Arial" w:cs="Arial" w:eastAsia="Arial" w:hAnsi="Arial"/>
                <w:sz w:val="18"/>
                <w:szCs w:val="18"/>
                <w:color w:val="auto"/>
                <w:w w:val="86"/>
              </w:rPr>
              <w:t>SICAVs</w:t>
            </w:r>
            <w:r>
              <w:rPr>
                <w:rFonts w:ascii="Arial" w:cs="Arial" w:eastAsia="Arial" w:hAnsi="Arial"/>
                <w:sz w:val="25"/>
                <w:szCs w:val="25"/>
                <w:color w:val="auto"/>
                <w:w w:val="86"/>
                <w:vertAlign w:val="superscript"/>
              </w:rPr>
              <w:t>(1)</w:t>
            </w:r>
            <w:r>
              <w:rPr>
                <w:rFonts w:ascii="Arial" w:cs="Arial" w:eastAsia="Arial" w:hAnsi="Arial"/>
                <w:sz w:val="18"/>
                <w:szCs w:val="18"/>
                <w:color w:val="auto"/>
                <w:w w:val="86"/>
              </w:rPr>
              <w:t xml:space="preserve"> / FCPs </w:t>
            </w:r>
            <w:r>
              <w:rPr>
                <w:rFonts w:ascii="Arial" w:cs="Arial" w:eastAsia="Arial" w:hAnsi="Arial"/>
                <w:sz w:val="25"/>
                <w:szCs w:val="25"/>
                <w:color w:val="auto"/>
                <w:w w:val="86"/>
                <w:vertAlign w:val="superscript"/>
              </w:rPr>
              <w:t>(2)</w:t>
            </w:r>
          </w:p>
        </w:tc>
      </w:tr>
      <w:tr>
        <w:trPr>
          <w:trHeight w:val="270"/>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Subadvised Accounts</w:t>
            </w:r>
          </w:p>
        </w:tc>
        <w:tc>
          <w:tcPr>
            <w:tcW w:w="228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87"/>
              </w:rPr>
              <w:t>OEICs</w:t>
            </w:r>
            <w:r>
              <w:rPr>
                <w:rFonts w:ascii="Arial" w:cs="Arial" w:eastAsia="Arial" w:hAnsi="Arial"/>
                <w:sz w:val="25"/>
                <w:szCs w:val="25"/>
                <w:color w:val="auto"/>
                <w:w w:val="87"/>
                <w:vertAlign w:val="superscript"/>
              </w:rPr>
              <w:t>(3)</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College Savings Plans</w:t>
            </w:r>
          </w:p>
        </w:tc>
        <w:tc>
          <w:tcPr>
            <w:tcW w:w="2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Separate Accounts</w:t>
            </w:r>
          </w:p>
        </w:tc>
      </w:tr>
      <w:tr>
        <w:trPr>
          <w:trHeight w:val="229"/>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Managed Accounts / Model</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Cayman Funds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Canadian Pension Pool Funds</w:t>
            </w: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Delivery</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College Savings Plans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Subadvised Accounts</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Société d'Investissement à Capital Variable (Luxembourg),</w:t>
      </w:r>
      <w:r>
        <w:rPr>
          <w:rFonts w:ascii="Arial" w:cs="Arial" w:eastAsia="Arial" w:hAnsi="Arial"/>
          <w:sz w:val="9"/>
          <w:szCs w:val="9"/>
          <w:color w:val="auto"/>
        </w:rPr>
        <w:t xml:space="preserve"> (2)</w:t>
      </w:r>
      <w:r>
        <w:rPr>
          <w:rFonts w:ascii="Arial" w:cs="Arial" w:eastAsia="Arial" w:hAnsi="Arial"/>
          <w:sz w:val="14"/>
          <w:szCs w:val="14"/>
          <w:color w:val="auto"/>
        </w:rPr>
        <w:t>Fonds Commun de Placement (Luxembourg),</w:t>
      </w:r>
      <w:r>
        <w:rPr>
          <w:rFonts w:ascii="Arial" w:cs="Arial" w:eastAsia="Arial" w:hAnsi="Arial"/>
          <w:sz w:val="9"/>
          <w:szCs w:val="9"/>
          <w:color w:val="auto"/>
        </w:rPr>
        <w:t xml:space="preserve"> (3)</w:t>
      </w:r>
      <w:r>
        <w:rPr>
          <w:rFonts w:ascii="Arial" w:cs="Arial" w:eastAsia="Arial" w:hAnsi="Arial"/>
          <w:sz w:val="14"/>
          <w:szCs w:val="14"/>
          <w:color w:val="auto"/>
        </w:rPr>
        <w:t>Open ended investment company (U.K.)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assets under management as of December 31, 2016, by distribution channel, by vehicle, and account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034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distribution channel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880" w:type="dxa"/>
            <w:vAlign w:val="bottom"/>
          </w:tcPr>
          <w:p>
            <w:pPr>
              <w:ind w:left="120"/>
              <w:spacing w:after="0"/>
              <w:rPr>
                <w:sz w:val="20"/>
                <w:szCs w:val="20"/>
                <w:color w:val="auto"/>
              </w:rPr>
            </w:pPr>
            <w:r>
              <w:rPr>
                <w:rFonts w:ascii="Arial" w:cs="Arial" w:eastAsia="Arial" w:hAnsi="Arial"/>
                <w:sz w:val="18"/>
                <w:szCs w:val="18"/>
                <w:color w:val="auto"/>
              </w:rPr>
              <w:t>Global intermediaries</w:t>
            </w:r>
            <w:r>
              <w:rPr>
                <w:rFonts w:ascii="Arial" w:cs="Arial" w:eastAsia="Arial" w:hAnsi="Arial"/>
                <w:sz w:val="25"/>
                <w:szCs w:val="25"/>
                <w:color w:val="auto"/>
                <w:vertAlign w:val="superscript"/>
              </w:rPr>
              <w:t>(1)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395.5</w:t>
            </w:r>
          </w:p>
        </w:tc>
      </w:tr>
      <w:tr>
        <w:trPr>
          <w:trHeight w:val="250"/>
        </w:trPr>
        <w:tc>
          <w:tcPr>
            <w:tcW w:w="9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Individual U.S. investors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147.1</w:t>
            </w:r>
          </w:p>
        </w:tc>
      </w:tr>
      <w:tr>
        <w:trPr>
          <w:trHeight w:val="243"/>
        </w:trPr>
        <w:tc>
          <w:tcPr>
            <w:tcW w:w="9880" w:type="dxa"/>
            <w:vAlign w:val="bottom"/>
          </w:tcPr>
          <w:p>
            <w:pPr>
              <w:ind w:left="120"/>
              <w:spacing w:after="0"/>
              <w:rPr>
                <w:sz w:val="20"/>
                <w:szCs w:val="20"/>
                <w:color w:val="auto"/>
              </w:rPr>
            </w:pPr>
            <w:r>
              <w:rPr>
                <w:rFonts w:ascii="Arial" w:cs="Arial" w:eastAsia="Arial" w:hAnsi="Arial"/>
                <w:sz w:val="18"/>
                <w:szCs w:val="18"/>
                <w:color w:val="auto"/>
              </w:rPr>
              <w:t>U.S. retirement plan sponsors</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100.0</w:t>
            </w:r>
          </w:p>
        </w:tc>
      </w:tr>
      <w:tr>
        <w:trPr>
          <w:trHeight w:val="27"/>
        </w:trPr>
        <w:tc>
          <w:tcPr>
            <w:tcW w:w="9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Global institutions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w:t>
            </w:r>
          </w:p>
        </w:tc>
      </w:tr>
      <w:tr>
        <w:trPr>
          <w:trHeight w:val="297"/>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 under management</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810.8</w:t>
            </w:r>
          </w:p>
        </w:tc>
      </w:tr>
      <w:tr>
        <w:trPr>
          <w:trHeight w:val="284"/>
        </w:trPr>
        <w:tc>
          <w:tcPr>
            <w:tcW w:w="9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8" w:lineRule="exact"/>
        <w:rPr>
          <w:sz w:val="20"/>
          <w:szCs w:val="20"/>
          <w:color w:val="auto"/>
        </w:rPr>
      </w:pPr>
    </w:p>
    <w:p>
      <w:pPr>
        <w:ind w:left="180" w:hanging="145"/>
        <w:spacing w:after="0"/>
        <w:tabs>
          <w:tab w:leader="none" w:pos="180" w:val="left"/>
        </w:tabs>
        <w:numPr>
          <w:ilvl w:val="0"/>
          <w:numId w:val="2"/>
        </w:numPr>
        <w:rPr>
          <w:rFonts w:ascii="Arial" w:cs="Arial" w:eastAsia="Arial" w:hAnsi="Arial"/>
          <w:sz w:val="9"/>
          <w:szCs w:val="9"/>
          <w:color w:val="auto"/>
        </w:rPr>
      </w:pPr>
      <w:r>
        <w:rPr>
          <w:rFonts w:ascii="Arial" w:cs="Arial" w:eastAsia="Arial" w:hAnsi="Arial"/>
          <w:sz w:val="14"/>
          <w:szCs w:val="14"/>
          <w:color w:val="auto"/>
        </w:rPr>
        <w:t>Includes U.S., EMEA, and APAC financial intermediaries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125"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80" w:type="dxa"/>
            <w:vAlign w:val="bottom"/>
            <w:gridSpan w:val="4"/>
          </w:tcPr>
          <w:p>
            <w:pPr>
              <w:jc w:val="right"/>
              <w:ind w:right="394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940" w:type="dxa"/>
            <w:vAlign w:val="bottom"/>
          </w:tcPr>
          <w:p>
            <w:pPr>
              <w:spacing w:after="0"/>
              <w:rPr>
                <w:sz w:val="17"/>
                <w:szCs w:val="17"/>
                <w:color w:val="auto"/>
              </w:rPr>
            </w:pPr>
          </w:p>
        </w:tc>
      </w:tr>
      <w:tr>
        <w:trPr>
          <w:trHeight w:val="399"/>
        </w:trPr>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Borders>
              <w:top w:val="single" w:sz="8" w:color="006EBF"/>
            </w:tcBorders>
          </w:tcPr>
          <w:p>
            <w:pPr>
              <w:spacing w:after="0"/>
              <w:rPr>
                <w:sz w:val="24"/>
                <w:szCs w:val="24"/>
                <w:color w:val="auto"/>
              </w:rPr>
            </w:pPr>
          </w:p>
        </w:tc>
        <w:tc>
          <w:tcPr>
            <w:tcW w:w="3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 under management by vehicle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4940" w:type="dxa"/>
            <w:vAlign w:val="bottom"/>
            <w:gridSpan w:val="4"/>
          </w:tcPr>
          <w:p>
            <w:pPr>
              <w:ind w:left="40"/>
              <w:spacing w:after="0"/>
              <w:rPr>
                <w:sz w:val="20"/>
                <w:szCs w:val="20"/>
                <w:color w:val="auto"/>
              </w:rPr>
            </w:pPr>
            <w:r>
              <w:rPr>
                <w:rFonts w:ascii="Arial" w:cs="Arial" w:eastAsia="Arial" w:hAnsi="Arial"/>
                <w:sz w:val="18"/>
                <w:szCs w:val="18"/>
                <w:color w:val="auto"/>
              </w:rPr>
              <w:t>Sponsored U.S. mutual funds</w:t>
            </w:r>
          </w:p>
        </w:tc>
        <w:tc>
          <w:tcPr>
            <w:tcW w:w="54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514.2</w:t>
            </w:r>
          </w:p>
        </w:tc>
      </w:tr>
      <w:tr>
        <w:trPr>
          <w:trHeight w:val="27"/>
        </w:trPr>
        <w:tc>
          <w:tcPr>
            <w:tcW w:w="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900" w:type="dxa"/>
            <w:vAlign w:val="bottom"/>
            <w:gridSpan w:val="3"/>
          </w:tcPr>
          <w:p>
            <w:pPr>
              <w:ind w:left="80"/>
              <w:spacing w:after="0"/>
              <w:rPr>
                <w:sz w:val="20"/>
                <w:szCs w:val="20"/>
                <w:color w:val="auto"/>
              </w:rPr>
            </w:pPr>
            <w:r>
              <w:rPr>
                <w:rFonts w:ascii="Arial" w:cs="Arial" w:eastAsia="Arial" w:hAnsi="Arial"/>
                <w:sz w:val="18"/>
                <w:szCs w:val="18"/>
                <w:color w:val="auto"/>
              </w:rPr>
              <w:t>Sponsored - collective investment trusts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57.7</w:t>
            </w: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Sponsored - stable value and variable annuity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r>
      <w:tr>
        <w:trPr>
          <w:trHeight w:val="243"/>
        </w:trPr>
        <w:tc>
          <w:tcPr>
            <w:tcW w:w="40" w:type="dxa"/>
            <w:vAlign w:val="bottom"/>
          </w:tcPr>
          <w:p>
            <w:pPr>
              <w:spacing w:after="0"/>
              <w:rPr>
                <w:sz w:val="21"/>
                <w:szCs w:val="21"/>
                <w:color w:val="auto"/>
              </w:rPr>
            </w:pPr>
          </w:p>
        </w:tc>
        <w:tc>
          <w:tcPr>
            <w:tcW w:w="4900" w:type="dxa"/>
            <w:vAlign w:val="bottom"/>
            <w:gridSpan w:val="3"/>
          </w:tcPr>
          <w:p>
            <w:pPr>
              <w:ind w:left="80"/>
              <w:spacing w:after="0"/>
              <w:rPr>
                <w:sz w:val="20"/>
                <w:szCs w:val="20"/>
                <w:color w:val="auto"/>
              </w:rPr>
            </w:pPr>
            <w:r>
              <w:rPr>
                <w:rFonts w:ascii="Arial" w:cs="Arial" w:eastAsia="Arial" w:hAnsi="Arial"/>
                <w:sz w:val="18"/>
                <w:szCs w:val="18"/>
                <w:color w:val="auto"/>
                <w:w w:val="94"/>
              </w:rPr>
              <w:t>Sponsored - SICAVs and other funds regulated outside the U.S.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Subadvised and separately managed accounts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r>
      <w:tr>
        <w:trPr>
          <w:trHeight w:val="237"/>
        </w:trPr>
        <w:tc>
          <w:tcPr>
            <w:tcW w:w="4940" w:type="dxa"/>
            <w:vAlign w:val="bottom"/>
            <w:gridSpan w:val="4"/>
          </w:tcPr>
          <w:p>
            <w:pPr>
              <w:ind w:left="40"/>
              <w:spacing w:after="0"/>
              <w:rPr>
                <w:sz w:val="20"/>
                <w:szCs w:val="20"/>
                <w:color w:val="auto"/>
              </w:rPr>
            </w:pPr>
            <w:r>
              <w:rPr>
                <w:rFonts w:ascii="Arial" w:cs="Arial" w:eastAsia="Arial" w:hAnsi="Arial"/>
                <w:sz w:val="18"/>
                <w:szCs w:val="18"/>
                <w:color w:val="auto"/>
              </w:rPr>
              <w:t>Total other investment portfolios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296.6</w:t>
            </w:r>
          </w:p>
        </w:tc>
      </w:tr>
      <w:tr>
        <w:trPr>
          <w:trHeight w:val="27"/>
        </w:trPr>
        <w:tc>
          <w:tcPr>
            <w:tcW w:w="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5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 under management by account type</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0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6"/>
              </w:rPr>
              <w:t>Defined contribution - investment only</w:t>
            </w:r>
          </w:p>
        </w:tc>
        <w:tc>
          <w:tcPr>
            <w:tcW w:w="1840" w:type="dxa"/>
            <w:vAlign w:val="bottom"/>
            <w:tcBorders>
              <w:top w:val="single" w:sz="8" w:color="CCEEFF"/>
            </w:tcBorders>
          </w:tcPr>
          <w:p>
            <w:pPr>
              <w:spacing w:after="0"/>
              <w:rPr>
                <w:sz w:val="21"/>
                <w:szCs w:val="21"/>
                <w:color w:val="auto"/>
              </w:rPr>
            </w:pPr>
          </w:p>
        </w:tc>
        <w:tc>
          <w:tcPr>
            <w:tcW w:w="5480" w:type="dxa"/>
            <w:vAlign w:val="bottom"/>
            <w:tcBorders>
              <w:top w:val="single" w:sz="8" w:color="CCEEFF"/>
            </w:tcBorders>
            <w:gridSpan w:val="4"/>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255.4</w:t>
            </w: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Defined contribution - recordkept assets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r>
      <w:tr>
        <w:trPr>
          <w:trHeight w:val="243"/>
        </w:trPr>
        <w:tc>
          <w:tcPr>
            <w:tcW w:w="40" w:type="dxa"/>
            <w:vAlign w:val="bottom"/>
          </w:tcPr>
          <w:p>
            <w:pPr>
              <w:spacing w:after="0"/>
              <w:rPr>
                <w:sz w:val="21"/>
                <w:szCs w:val="21"/>
                <w:color w:val="auto"/>
              </w:rPr>
            </w:pPr>
          </w:p>
        </w:tc>
        <w:tc>
          <w:tcPr>
            <w:tcW w:w="4900" w:type="dxa"/>
            <w:vAlign w:val="bottom"/>
            <w:gridSpan w:val="3"/>
          </w:tcPr>
          <w:p>
            <w:pPr>
              <w:ind w:left="140"/>
              <w:spacing w:after="0"/>
              <w:rPr>
                <w:sz w:val="20"/>
                <w:szCs w:val="20"/>
                <w:color w:val="auto"/>
              </w:rPr>
            </w:pPr>
            <w:r>
              <w:rPr>
                <w:rFonts w:ascii="Arial" w:cs="Arial" w:eastAsia="Arial" w:hAnsi="Arial"/>
                <w:sz w:val="18"/>
                <w:szCs w:val="18"/>
                <w:color w:val="auto"/>
              </w:rPr>
              <w:t>Other retirement and deferred annuity assets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208.1</w:t>
            </w:r>
          </w:p>
        </w:tc>
      </w:tr>
      <w:tr>
        <w:trPr>
          <w:trHeight w:val="27"/>
        </w:trPr>
        <w:tc>
          <w:tcPr>
            <w:tcW w:w="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retirement and tax deferred annuity assets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560.7</w:t>
            </w:r>
          </w:p>
        </w:tc>
      </w:tr>
      <w:tr>
        <w:trPr>
          <w:trHeight w:val="243"/>
        </w:trPr>
        <w:tc>
          <w:tcPr>
            <w:tcW w:w="40" w:type="dxa"/>
            <w:vAlign w:val="bottom"/>
          </w:tcPr>
          <w:p>
            <w:pPr>
              <w:spacing w:after="0"/>
              <w:rPr>
                <w:sz w:val="21"/>
                <w:szCs w:val="21"/>
                <w:color w:val="auto"/>
              </w:rPr>
            </w:pPr>
          </w:p>
        </w:tc>
        <w:tc>
          <w:tcPr>
            <w:tcW w:w="490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250.1</w:t>
            </w:r>
          </w:p>
        </w:tc>
      </w:tr>
      <w:tr>
        <w:trPr>
          <w:trHeight w:val="27"/>
        </w:trPr>
        <w:tc>
          <w:tcPr>
            <w:tcW w:w="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5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Capabilities.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manage a broad range of investment strategies in equity, fixed income, and asset allocation across sectors, styles and regions. Our strategies are designed to meet the varied and changing needs and objectives of individual and institutional investors. For the Price Funds, investors select the fund based on the distinct objective that is described in each fund’s prospectus and can exchange balances among the funds as permitted when economic and market conditions or their investment needs change. The investment objectives and investment management approaches employed in our other investment portfolios are similar to those in the Price Funds. We also offer specialized advisory services, including management of stable value investment contracts and a distribution management service for the disposition of equity securities our clients receive from third-party venture capital investment pools.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broad investment capabilities as of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8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22"/>
                <w:szCs w:val="22"/>
                <w:color w:val="auto"/>
              </w:rPr>
            </w:pPr>
          </w:p>
        </w:tc>
        <w:tc>
          <w:tcPr>
            <w:tcW w:w="4320" w:type="dxa"/>
            <w:vAlign w:val="bottom"/>
            <w:tcBorders>
              <w:bottom w:val="single" w:sz="8" w:color="auto"/>
            </w:tcBorders>
            <w:gridSpan w:val="3"/>
            <w:shd w:val="clear" w:color="auto" w:fill="CCEEFF"/>
          </w:tcPr>
          <w:p>
            <w:pPr>
              <w:ind w:left="1660"/>
              <w:spacing w:after="0"/>
              <w:rPr>
                <w:sz w:val="20"/>
                <w:szCs w:val="20"/>
                <w:color w:val="auto"/>
              </w:rPr>
            </w:pPr>
            <w:r>
              <w:rPr>
                <w:rFonts w:ascii="Arial" w:cs="Arial" w:eastAsia="Arial" w:hAnsi="Arial"/>
                <w:sz w:val="18"/>
                <w:szCs w:val="18"/>
                <w:color w:val="auto"/>
              </w:rPr>
              <w:t>Fixed income</w:t>
            </w:r>
          </w:p>
        </w:tc>
        <w:tc>
          <w:tcPr>
            <w:tcW w:w="100" w:type="dxa"/>
            <w:vAlign w:val="bottom"/>
            <w:shd w:val="clear" w:color="auto" w:fill="CCEEFF"/>
          </w:tcPr>
          <w:p>
            <w:pPr>
              <w:spacing w:after="0"/>
              <w:rPr>
                <w:sz w:val="22"/>
                <w:szCs w:val="22"/>
                <w:color w:val="auto"/>
              </w:rPr>
            </w:pPr>
          </w:p>
        </w:tc>
        <w:tc>
          <w:tcPr>
            <w:tcW w:w="2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Asset allocation</w:t>
            </w: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International / Global</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International / Global</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U.S. / International / Global</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tcPr>
          <w:p>
            <w:pPr>
              <w:jc w:val="center"/>
              <w:spacing w:after="0"/>
              <w:rPr>
                <w:sz w:val="20"/>
                <w:szCs w:val="20"/>
                <w:color w:val="auto"/>
              </w:rPr>
            </w:pPr>
            <w:r>
              <w:rPr>
                <w:rFonts w:ascii="Arial" w:cs="Arial" w:eastAsia="Arial" w:hAnsi="Arial"/>
                <w:sz w:val="18"/>
                <w:szCs w:val="18"/>
                <w:color w:val="auto"/>
                <w:w w:val="91"/>
              </w:rPr>
              <w:t>Large-Cap: Growth,</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Global: All-Cap, Growth,</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Aggregate Bond Index</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Global Aggregate</w:t>
            </w: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86"/>
              </w:rPr>
              <w:t>Target Date</w:t>
            </w:r>
          </w:p>
        </w:tc>
        <w:tc>
          <w:tcPr>
            <w:tcW w:w="0" w:type="dxa"/>
            <w:vAlign w:val="bottom"/>
          </w:tcPr>
          <w:p>
            <w:pPr>
              <w:spacing w:after="0"/>
              <w:rPr>
                <w:sz w:val="1"/>
                <w:szCs w:val="1"/>
                <w:color w:val="auto"/>
              </w:rPr>
            </w:pPr>
          </w:p>
        </w:tc>
      </w:tr>
      <w:tr>
        <w:trPr>
          <w:trHeight w:val="122"/>
        </w:trPr>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8"/>
              </w:rPr>
              <w:t>Core, Value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6"/>
              </w:rPr>
              <w:t>Value</w:t>
            </w:r>
          </w:p>
        </w:tc>
        <w:tc>
          <w:tcPr>
            <w:tcW w:w="2160" w:type="dxa"/>
            <w:vAlign w:val="bottom"/>
            <w:gridSpan w:val="2"/>
            <w:vMerge w:val="continue"/>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Mid-Cap: Growth, Core,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2"/>
              </w:rPr>
              <w:t>International Developed</w:t>
            </w:r>
          </w:p>
        </w:tc>
        <w:tc>
          <w:tcPr>
            <w:tcW w:w="216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0"/>
              </w:rPr>
              <w:t>Core Bond</w:t>
            </w:r>
          </w:p>
        </w:tc>
        <w:tc>
          <w:tcPr>
            <w:tcW w:w="2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5"/>
              </w:rPr>
              <w:t>Global Multi-Sector</w:t>
            </w:r>
          </w:p>
        </w:tc>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Target Allocation</w:t>
            </w:r>
          </w:p>
        </w:tc>
        <w:tc>
          <w:tcPr>
            <w:tcW w:w="0" w:type="dxa"/>
            <w:vAlign w:val="bottom"/>
          </w:tcPr>
          <w:p>
            <w:pPr>
              <w:spacing w:after="0"/>
              <w:rPr>
                <w:sz w:val="1"/>
                <w:szCs w:val="1"/>
                <w:color w:val="auto"/>
              </w:rPr>
            </w:pPr>
          </w:p>
        </w:tc>
      </w:tr>
      <w:tr>
        <w:trPr>
          <w:trHeight w:val="122"/>
        </w:trPr>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Value</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80" w:type="dxa"/>
            <w:vAlign w:val="bottom"/>
          </w:tcPr>
          <w:p>
            <w:pPr>
              <w:jc w:val="center"/>
              <w:ind w:left="10"/>
              <w:spacing w:after="0"/>
              <w:rPr>
                <w:sz w:val="20"/>
                <w:szCs w:val="20"/>
                <w:color w:val="auto"/>
              </w:rPr>
            </w:pPr>
            <w:r>
              <w:rPr>
                <w:rFonts w:ascii="Arial" w:cs="Arial" w:eastAsia="Arial" w:hAnsi="Arial"/>
                <w:sz w:val="18"/>
                <w:szCs w:val="18"/>
                <w:color w:val="auto"/>
                <w:w w:val="92"/>
              </w:rPr>
              <w:t>Small-Cap: Growth,</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International Small-Cap</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Credit Opportunities</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Global Unconstrained</w:t>
            </w: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6"/>
              </w:rPr>
              <w:t>Global Allocation</w:t>
            </w:r>
          </w:p>
        </w:tc>
        <w:tc>
          <w:tcPr>
            <w:tcW w:w="0" w:type="dxa"/>
            <w:vAlign w:val="bottom"/>
          </w:tcPr>
          <w:p>
            <w:pPr>
              <w:spacing w:after="0"/>
              <w:rPr>
                <w:sz w:val="1"/>
                <w:szCs w:val="1"/>
                <w:color w:val="auto"/>
              </w:rPr>
            </w:pPr>
          </w:p>
        </w:tc>
      </w:tr>
      <w:tr>
        <w:trPr>
          <w:trHeight w:val="122"/>
        </w:trPr>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8"/>
              </w:rPr>
              <w:t>Core, Value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Emerging Markets: Global,</w:t>
            </w: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Corporate</w:t>
            </w: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3"/>
              </w:rPr>
              <w:t>Global High Income</w:t>
            </w:r>
          </w:p>
        </w:tc>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Managed Volatility</w:t>
            </w: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0"/>
              </w:rPr>
              <w:t>Regional</w:t>
            </w:r>
          </w:p>
        </w:tc>
        <w:tc>
          <w:tcPr>
            <w:tcW w:w="2160" w:type="dxa"/>
            <w:vAlign w:val="bottom"/>
            <w:gridSpan w:val="2"/>
            <w:vMerge w:val="continue"/>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300" w:type="dxa"/>
            <w:vAlign w:val="bottom"/>
            <w:tcBorders>
              <w:bottom w:val="single" w:sz="8" w:color="CCEEFF"/>
            </w:tcBorders>
            <w:gridSpan w:val="2"/>
            <w:vMerge w:val="continue"/>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Europe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Bank Loan</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Emerging Markets</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Multi-Asset Solutions</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1"/>
              </w:rPr>
              <w:t>Japan</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High Yield</w:t>
            </w: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International Developed</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Real Assets</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Stable Value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Global Corporate</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Securitized</w:t>
            </w: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Global High Yield</w:t>
            </w:r>
          </w:p>
        </w:tc>
        <w:tc>
          <w:tcPr>
            <w:tcW w:w="2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Treasury</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Global Government</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Short Duration</w:t>
            </w: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Municipal</w:t>
            </w: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1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80" w:type="dxa"/>
            <w:vAlign w:val="bottom"/>
            <w:tcBorders>
              <w:bottom w:val="single" w:sz="8" w:color="006EBF"/>
            </w:tcBorders>
          </w:tcPr>
          <w:p>
            <w:pPr>
              <w:spacing w:after="0"/>
              <w:rPr>
                <w:rFonts w:ascii="Arial" w:cs="Arial" w:eastAsia="Arial" w:hAnsi="Arial"/>
                <w:sz w:val="18"/>
                <w:szCs w:val="18"/>
                <w:color w:val="006EBF"/>
                <w:w w:val="88"/>
              </w:rPr>
            </w:pPr>
            <w:hyperlink w:anchor="page2">
              <w:r>
                <w:rPr>
                  <w:rFonts w:ascii="Arial" w:cs="Arial" w:eastAsia="Arial" w:hAnsi="Arial"/>
                  <w:sz w:val="18"/>
                  <w:szCs w:val="18"/>
                  <w:color w:val="006EBF"/>
                  <w:w w:val="88"/>
                </w:rPr>
                <w:t>Table of Contents</w:t>
              </w:r>
            </w:hyperlink>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0"/>
        </w:trPr>
        <w:tc>
          <w:tcPr>
            <w:tcW w:w="9120" w:type="dxa"/>
            <w:vAlign w:val="bottom"/>
            <w:gridSpan w:val="4"/>
          </w:tcPr>
          <w:p>
            <w:pPr>
              <w:spacing w:after="0"/>
              <w:rPr>
                <w:sz w:val="20"/>
                <w:szCs w:val="20"/>
                <w:color w:val="auto"/>
              </w:rPr>
            </w:pPr>
            <w:r>
              <w:rPr>
                <w:rFonts w:ascii="Arial" w:cs="Arial" w:eastAsia="Arial" w:hAnsi="Arial"/>
                <w:sz w:val="18"/>
                <w:szCs w:val="18"/>
                <w:color w:val="auto"/>
              </w:rPr>
              <w:t>Our assets under management, by asset class, were as follows as of December 31,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35"/>
        </w:trPr>
        <w:tc>
          <w:tcPr>
            <w:tcW w:w="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50"/>
        </w:trPr>
        <w:tc>
          <w:tcPr>
            <w:tcW w:w="60" w:type="dxa"/>
            <w:vAlign w:val="bottom"/>
          </w:tcPr>
          <w:p>
            <w:pPr>
              <w:spacing w:after="0"/>
              <w:rPr>
                <w:sz w:val="21"/>
                <w:szCs w:val="21"/>
                <w:color w:val="auto"/>
              </w:rPr>
            </w:pPr>
          </w:p>
        </w:tc>
        <w:tc>
          <w:tcPr>
            <w:tcW w:w="9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98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450.6</w:t>
            </w:r>
          </w:p>
        </w:tc>
      </w:tr>
      <w:tr>
        <w:trPr>
          <w:trHeight w:val="243"/>
        </w:trPr>
        <w:tc>
          <w:tcPr>
            <w:tcW w:w="60" w:type="dxa"/>
            <w:vAlign w:val="bottom"/>
          </w:tcPr>
          <w:p>
            <w:pPr>
              <w:spacing w:after="0"/>
              <w:rPr>
                <w:sz w:val="21"/>
                <w:szCs w:val="21"/>
                <w:color w:val="auto"/>
              </w:rPr>
            </w:pPr>
          </w:p>
        </w:tc>
        <w:tc>
          <w:tcPr>
            <w:tcW w:w="9060" w:type="dxa"/>
            <w:vAlign w:val="bottom"/>
            <w:gridSpan w:val="3"/>
          </w:tcPr>
          <w:p>
            <w:pPr>
              <w:ind w:left="2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121.2</w:t>
            </w: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9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 allocation</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r>
      <w:tr>
        <w:trPr>
          <w:trHeight w:val="257"/>
        </w:trPr>
        <w:tc>
          <w:tcPr>
            <w:tcW w:w="60" w:type="dxa"/>
            <w:vAlign w:val="bottom"/>
          </w:tcPr>
          <w:p>
            <w:pPr>
              <w:spacing w:after="0"/>
              <w:rPr>
                <w:sz w:val="22"/>
                <w:szCs w:val="22"/>
                <w:color w:val="auto"/>
              </w:rPr>
            </w:pPr>
          </w:p>
        </w:tc>
        <w:tc>
          <w:tcPr>
            <w:tcW w:w="9060" w:type="dxa"/>
            <w:vAlign w:val="bottom"/>
            <w:gridSpan w:val="3"/>
          </w:tcPr>
          <w:p>
            <w:pPr>
              <w:ind w:left="20"/>
              <w:spacing w:after="0"/>
              <w:rPr>
                <w:sz w:val="20"/>
                <w:szCs w:val="20"/>
                <w:color w:val="auto"/>
              </w:rPr>
            </w:pPr>
            <w:r>
              <w:rPr>
                <w:rFonts w:ascii="Arial" w:cs="Arial" w:eastAsia="Arial" w:hAnsi="Arial"/>
                <w:sz w:val="18"/>
                <w:szCs w:val="18"/>
                <w:color w:val="auto"/>
              </w:rPr>
              <w:t>Total assets under management</w:t>
            </w:r>
          </w:p>
        </w:tc>
        <w:tc>
          <w:tcPr>
            <w:tcW w:w="12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810.8</w:t>
            </w:r>
          </w:p>
        </w:tc>
      </w:tr>
      <w:tr>
        <w:trPr>
          <w:trHeight w:val="20"/>
        </w:trPr>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Non-U.S. dollar denominated securities held in client accounts are $95.4 billion, or 11.8%, of our total assets under management at December 31, 2016.</w:t>
      </w:r>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 and other information, and field checks with suppliers and competitors in the same industry and particular business sector.</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research staff operates primarily from offices located in the U.S. and England with additional staff based in Australia, Hong Kong, Japan, and Singapore.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time to time, we introduce new strategies, investment vehicles and other products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 expertise and that its objective will be useful to investors over a long period. In 2016, we launched four new equity funds, including three quantitatively managed funds, one new fixed income fund, and one new money market fund. We also launched a suite of OEICs for distribution through UK intermediaries and continued to add the I-Class shares to certain Price Funds. We beta-tested our new T. Rowe Price ActivePlus Portfolio offering, which is a discretionary advice service, in the fourth quarter of 2016 and will be formally launching to individual investors on a direct basis in early 2017.</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typically provide seed capital for new investment funds and trusts to enable the portfolio manager to begin building an investment performance history in advance of the portfolio receiving sustainable client assets. The length of time we hold our seed capital investment will vary for each new investment portfolio as it is highly dependent on how long it takes to generate cash flows into the portfolio from unrelated investors. We attempt to ensure that the new investment portfolio has a sustainable level of assets from unrelated shareholders before we consider redemption of our seed capital investment in order to not negatively impact the new investment portfolio's net asset value or its investment performance record. At December 31, 2016, we had seed capital investments of $1.3 billion in sponsored investment portfolios.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Conversely, we may also limit new investments into a mutual fund or investment strategy in order to maintain the integrity of the investment strategy and to protect the interests of its existing fund shareholders and investors. At present, the following are closed to new investors.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Strategy / Fund</w:t>
            </w:r>
          </w:p>
        </w:tc>
        <w:tc>
          <w:tcPr>
            <w:tcW w:w="5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Date closed</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U.S. Mid-Cap Strategy</w:t>
            </w:r>
          </w:p>
        </w:tc>
        <w:tc>
          <w:tcPr>
            <w:tcW w:w="5420" w:type="dxa"/>
            <w:vAlign w:val="bottom"/>
          </w:tcPr>
          <w:p>
            <w:pPr>
              <w:jc w:val="right"/>
              <w:spacing w:after="0"/>
              <w:rPr>
                <w:sz w:val="20"/>
                <w:szCs w:val="20"/>
                <w:color w:val="auto"/>
              </w:rPr>
            </w:pPr>
            <w:r>
              <w:rPr>
                <w:rFonts w:ascii="Arial" w:cs="Arial" w:eastAsia="Arial" w:hAnsi="Arial"/>
                <w:sz w:val="18"/>
                <w:szCs w:val="18"/>
                <w:color w:val="auto"/>
              </w:rPr>
              <w:t>May 31, 2010</w:t>
            </w:r>
          </w:p>
        </w:tc>
      </w:tr>
      <w:tr>
        <w:trPr>
          <w:trHeight w:val="27"/>
        </w:trPr>
        <w:tc>
          <w:tcPr>
            <w:tcW w:w="600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Small-Cap Stock Funds</w:t>
            </w:r>
          </w:p>
        </w:tc>
        <w:tc>
          <w:tcPr>
            <w:tcW w:w="5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High Yield Funds</w:t>
            </w:r>
          </w:p>
        </w:tc>
        <w:tc>
          <w:tcPr>
            <w:tcW w:w="5420" w:type="dxa"/>
            <w:vAlign w:val="bottom"/>
          </w:tcPr>
          <w:p>
            <w:pPr>
              <w:jc w:val="right"/>
              <w:spacing w:after="0"/>
              <w:rPr>
                <w:sz w:val="20"/>
                <w:szCs w:val="20"/>
                <w:color w:val="auto"/>
              </w:rPr>
            </w:pPr>
            <w:r>
              <w:rPr>
                <w:rFonts w:ascii="Arial" w:cs="Arial" w:eastAsia="Arial" w:hAnsi="Arial"/>
                <w:sz w:val="18"/>
                <w:szCs w:val="18"/>
                <w:color w:val="auto"/>
              </w:rPr>
              <w:t>April 30, 2012</w:t>
            </w:r>
          </w:p>
        </w:tc>
      </w:tr>
      <w:tr>
        <w:trPr>
          <w:trHeight w:val="27"/>
        </w:trPr>
        <w:tc>
          <w:tcPr>
            <w:tcW w:w="600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Horizons Funds</w:t>
            </w:r>
          </w:p>
        </w:tc>
        <w:tc>
          <w:tcPr>
            <w:tcW w:w="5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Capital Appreciation Funds</w:t>
            </w:r>
          </w:p>
        </w:tc>
        <w:tc>
          <w:tcPr>
            <w:tcW w:w="5420" w:type="dxa"/>
            <w:vAlign w:val="bottom"/>
          </w:tcPr>
          <w:p>
            <w:pPr>
              <w:jc w:val="right"/>
              <w:spacing w:after="0"/>
              <w:rPr>
                <w:sz w:val="20"/>
                <w:szCs w:val="20"/>
                <w:color w:val="auto"/>
              </w:rPr>
            </w:pPr>
            <w:r>
              <w:rPr>
                <w:rFonts w:ascii="Arial" w:cs="Arial" w:eastAsia="Arial" w:hAnsi="Arial"/>
                <w:sz w:val="18"/>
                <w:szCs w:val="18"/>
                <w:color w:val="auto"/>
              </w:rPr>
              <w:t>June 30, 2014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Advisory Fees.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provide investment advisory services through our subsidiaries to the Price Funds; clients on a separately managed or subadvised account basis; and other sponsored investment portfolios, including collective investment trusts, target date retirement trusts, funds offered to investors outside the U.S., and portfolios offered through variable annuity life insurance plans in the 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108" w:right="239" w:bottom="1440" w:gutter="0" w:footer="0" w:header="0"/>
        </w:sectPr>
      </w:pPr>
    </w:p>
    <w:bookmarkStart w:id="7" w:name="page8"/>
    <w:bookmarkEnd w:id="7"/>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Ten Price Funds - Growth Stock, Blue-Chip Growth, Mid-Cap Growth, Capital Appreciation, Value, New Income, Equity Income, New Horizons, International Stock, and Emerging Markets Stock -accounted for approximately 37% of our investment advisory revenues in 2016, and approximately 30% of our assets under management at December 31, 2016. Our largest client account relationship, apart from the Price Funds, is with a third-party financial intermediary that accounted for about 6% of our investment advisory revenues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December 31, 2016, assets under our management in the Price Funds aggregated $514.2 billion, an increase of 5.6% or $27.1 billion from the beginning of the year. Investment advisory services are provided to each U.S. mutual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Price Funds regularly review our fee structures.</w:t>
      </w:r>
    </w:p>
    <w:p>
      <w:pPr>
        <w:spacing w:after="0" w:line="1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advisory fee paid monthly by each of the Price Funds is computed on a daily basis by multiplying a fund’s net assets by its effective fee rate. For the majority of the Price Funds, the fee rate is equal to the sum of a tiered group fee rate plus an individual fund rate. The tiered group rate is based on the combined net assets of nearly all of the Price Funds. If the combined net assets of these Price Funds exceed $500 billion, the weighted-average fee across pricing tiers is 29.1 basis points for the first $500 billion of net assets plus 27.0 basis points for net assets in excess of $500 billion. To the extent that the combined net assets of the funds included in the group rate calculation increase, the group charge component of a fund's advisory fee rate and the resulting advisory fee rate paid by each fund will decrease.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New Income and Value funds have their base individual flat rate reduced by about 15% on net assets in excess of $20 billion. The effective fee rates for the stock and bond funds on which we earned annual advisory fees of approximately $6.0 million or greater in 2016, varied from a low of 34 basis points for the Limited Duration Inflation Focused Bond fund to a high of 104 basis points for the Emerging Markets Stock, International Discovery, and Latin America funds.</w:t>
      </w:r>
    </w:p>
    <w:p>
      <w:pPr>
        <w:spacing w:after="0" w:line="1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fee rate of several of the Price Funds, including the Index and Summit funds as well as specific funds offered solely to institutional investors, does not include a group fee component but rather an individual fund fee or an all-inclusive fee. An all-inclusive fee covers both the investment management fee and ordinary operating expenses incurred by the fund and, as a result, our management fee varies with the level of operating expenses a fund incurs. Each of the funds in the series of Spectrum Funds and in the series of target date retirement funds that we offer invests in a diversified portfolio of other Price Funds and has no separate investment advisory fee; rather, they indirectly bear the expenses of the funds in which they invest.</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these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 but such recovery is not assured.</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2016, we continued to voluntarily waive advisory fees and other fund expenses, though to a lesser extent than in recent years, of certain of our money market funds and trusts in order to maintain a positive yield for investors. Total fees waived in 2016 were $10.5 million, or less than 1% of total investment advisory revenues earned during the year, compared to $47.6 million in 2015. We expect that these fee waivers, if any, will be insignificant in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125" w:right="259" w:bottom="1440" w:gutter="0" w:footer="0" w:header="0"/>
        </w:sectPr>
      </w:pPr>
    </w:p>
    <w:bookmarkStart w:id="8" w:name="page9"/>
    <w:bookmarkEnd w:id="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portfolios.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other client investment portfolios had assets under management of $296.6 billion at December 31, 2016, an increase of $20.6 billion from the beginning of the year. 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subsidiaries, T. Rowe Price (Luxembourg) Management Sàrl and T. Rowe Price International, provide management company and investment management services, respectively, to our Luxembourg-based SICAVs and FCPs, and UK-based OEICs. These funds are distributed outside the U.S. through distribution agents and other financial intermediaries. The fees earned for these distribution and marketing services are part of the overall investment management fees earned for managing the fund assets. We recognize any related distribution fees paid to financial intermediaries in other operating expenses.</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subsidiary, T. Rowe Price Trust Company, offers and provides investment management services to collective investment trusts for investments by qualified U.S. retirement plans. In addition to providing investment management services to the Price Funds, our subsidiary, T. Rowe Price Associates, offers separately managed institutional investment management services and subadvised investment management to intermediaries.</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fees for managing these other investment portfolios are computed using the value of assets under our management at a contracted annual fee rate. The value of assets under management billed is generally based on daily valuations, month-end average valuations, end of billing period valuations, or beginning of bill period valuations. In 2016, approximately 75% of advisory fees were recognized based on daily portfolio valuations, 9% were based on month-end averages, 15% were based on end of billing period valuations, and 1% were based on beginning of billing period valuations.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SERVICES.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our sponsored mutual funds; recordkeeping services for defined contribution retirement plans investing in mutual funds outside the T. Rowe Price complex; brokerage; and trust services. Substantially all of our administrative and distribution and servicing fee revenues in 2016 were generally based on the recovery of our related costs to provide these services.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subsidiaries provide advisory-related administrative services to the Price Funds and their shareholders. T. Rowe Price Services provides mutual fund transfer agency and shareholder services, including maintenance of staff, facilities, technology, and other equipment to respond to inquiries from fund shareholders. Until August 2015, T. Rowe Price Associates provided mutual fund accounting services, including maintenance of financial records, preparation of financial statements and reports, daily valuation of portfolio securities, and computation of daily net asset values per share to the Price Funds. The Price Funds contracted directly with BNY Mellon in August 2015 to provide these services.</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 Rowe Price Retirement Plan Services provides participant accounting and plan administration for defined contribution retirement plans that invest in the Price Funds, our sponsored collective investment trusts, and funds outside the Price fund complex. T. Rowe Price Retirement Plan Services also provides transfer agent services to the Price Funds. Plan sponsors and participants compensate us for some of the administrative services while the Price Funds and outside fund families compensate us for maintaining and administering the individual participant accounts for those plans that invest in the respective funds. As of December 31, 2016, we performed recordkeeping services for $156 billion in assets under administration, of which $100 billion are assets we manage.</w:t>
      </w:r>
    </w:p>
    <w:p>
      <w:pPr>
        <w:spacing w:after="0" w:line="15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 Rowe Price Trust Company also provides administrative trustee services. Through this entity, which is a Maryland-chartered limited service trust company, we serve as trustee for employer sponsored retirement plans and other retirement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 Rowe Price Trust Company may not accept deposits and cannot make personal or commercial loans.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staying on track to achieve their financial goals.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25" w:right="239" w:bottom="1440" w:gutter="0" w:footer="0" w:header="0"/>
        </w:sectPr>
      </w:pPr>
    </w:p>
    <w:bookmarkStart w:id="9" w:name="page10"/>
    <w:bookmarkEnd w:id="9"/>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SERVICING.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Investor Class of all Price Funds can be purchased in the U.S. on a no-load basis, without a sales commission or 12b-1 fee. No-load mutual fund shares offer investors a low-cost and relatively easy method of directly investing in a variety of stock and fixed income portfolios. The I Class of certain Price Funds is designed to meet the needs of institutionally oriented clients who seek investment products with lower shareholder servicing costs and lower expense ratios. This share class limits ordinary operating expenses (other than interest; expenses related to borrowings, taxes, and brokerage; and any non extraordinary expenses) at 5 basis points for a period of time and there are no external payments for 12b-1 or administrative fee payments.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Price Funds also offer Advisor Class and R Class shares that are distributed to mutual fund shareholders, and defined contribution retirement plans, respectively, through third-party financial intermediaries. These share classes pay 12b-1 fees of 25 and 50 basis points, respectively, for distribution, administration, and personal services. Our subsidiary, T. Rowe Price Investment Services, is the principal distributor of the Price Funds and enters into a tri-party agreement with each intermediary and fund. Under the agreement, each fund is responsible to pay the distribution and service fees directly to the applicable intermediaries. In addition, those Price Funds offered to investors through variable annuity life insurance plans have a share class that pays a 12b-1 fee of 25 basis points.</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distribution and servicing fee revenue in our consolidated statements of income. We also recognize, as distribution and servicing costs in the consolidated statements of income, the corresponding cost paid to the third-party financial intermediaries who distribute these funds' share classes. The fee revenue that we recognize from the funds and the expense that we recognize for the fees paid to third-party intermediaries are equal in amount and, therefore, do not impact our net operating income.</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the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print media, television, and Internet.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sponsored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7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 Rowe Price Associates, T. Rowe Price International, T. Rowe Price (Canada), Inc., T. Rowe Price Hong Kong Limited, T. Rowe Price Singapore Private Ltd., and T. Rowe Price Advisory Services, Inc. are registered with the Securities and Exchange Commission (SEC) as investment advisers under the Investment Advisers Act of 1940. The Investment Advisers Act of 1940 imposes substantive regulation around, among other things, fiduciary duties to clients, transactions with clients, effective compliance programs, conflicts of interest, advertising, recordkeeping, reporting and disclosure requirements.</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 Rowe Price International is also regulated by the Financial Conduct Authority (FCA) in the United Kingdom and, in certain cases, by other foreign regulators in countries in which we have a license to conduct business. The Securities and Futures Commission (SFC) and Monetary Authority of Singapore (MAS) also regulate T. Rowe Price Hong Kong and T. Rowe Price Singapore, respectively. T. Rowe Price (Canada) is also registered with several of the provincial securities commissions in Canada. T. Rowe Price (Luxembourg) Management Sàrl, the management company of our Luxembourg-based FCP (Fonds Commun de Placement) and SICAV funds is regulated by the Commission de Surveillance du Secteur Financier (CSSF). Our branch offices operated outside the U.S. are also registered with and regulated by the local financial authorities.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subsidiaries providing transfer agent services are registered under the Securities Exchange Act of 1934, and our trust company is regulated by the State of Maryland, Commissioner of Financial Regulation.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introducing brokerage services through this subsidiary primarily to complement the other services provided to shareholders of the Price Funds. Pershing, a third-party clearing broker and an affiliate of BNY Mellon, maintains our brokerage’s customer accounts and clears all transactions.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Serving the needs of retirement savers is an important focus of our business. As a result, such activities are subject to regulators such as the U.S. Department of Labor, and applicable laws and regulations including the Employee Retirement Income Security Act of 1974.</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subsidiary's net capital, as defined, meets or exceeds all minimum requirements.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fees and related expenses, and the scope and quality of investment advice and other client services.</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recent years, we have faced significant competition from passive oriented investment strategies, with competitors that offer such products taking market share from active managers like ourselves. While we cannot predict how much market share these competitors will gain, we believe there will always be demand for good active management.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2016, we employed 6,329 associates, up 5.5% from the 5,999 associates employed at the end of 2015. We may add additional temporary and part-time personnel to our staff from time to time to meet periodic and special project demands, primarily for technology and mutual fund administrative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Internet address is troweprice.com. At our Investor Relations website, trow.client.shareholder.com, we make available free of charge a variety of information for investors. Our goal is to maintain our websites as a portal through which investors can easily find or navigate to pertinent information about us and as a channel of distribution for material company information, including but not limited to:</w:t>
      </w:r>
    </w:p>
    <w:p>
      <w:pPr>
        <w:spacing w:after="0" w:line="181" w:lineRule="exact"/>
        <w:rPr>
          <w:sz w:val="20"/>
          <w:szCs w:val="20"/>
          <w:color w:val="auto"/>
        </w:rPr>
      </w:pPr>
    </w:p>
    <w:p>
      <w:pPr>
        <w:ind w:left="500" w:right="60" w:hanging="330"/>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filed or furnished pursuant to Section 13(a) of the Exchange Act as soon as reasonably practicable after we electronically file that material with, or furnish them to the SEC;</w:t>
      </w:r>
    </w:p>
    <w:p>
      <w:pPr>
        <w:spacing w:after="0" w:line="181" w:lineRule="exact"/>
        <w:rPr>
          <w:rFonts w:ascii="Arial" w:cs="Arial" w:eastAsia="Arial" w:hAnsi="Arial"/>
          <w:sz w:val="18"/>
          <w:szCs w:val="18"/>
          <w:color w:val="auto"/>
        </w:rPr>
      </w:pPr>
    </w:p>
    <w:p>
      <w:pPr>
        <w:ind w:left="500" w:right="46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70"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governance information including our charter, bylaws, governance guidelines, committee charters, senior officer code of ethics and conduct, and other governance-related policies;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125" w:right="239" w:bottom="1440" w:gutter="0" w:footer="0" w:header="0"/>
        </w:sectPr>
      </w:pPr>
    </w:p>
    <w:bookmarkStart w:id="11" w:name="page12"/>
    <w:bookmarkEnd w:id="11"/>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expressly stated, information found on our website is not part of this or any other report we file with, or furnish to,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derive our revenues primarily from investment advisory services provided by our subsidiaries to individual and institutional investors in the T. Rowe Price mutual funds distributed in the U.S.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funds and portfolios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179" w:lineRule="exact"/>
        <w:rPr>
          <w:sz w:val="20"/>
          <w:szCs w:val="20"/>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117"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460" w:right="240" w:hanging="330"/>
        <w:spacing w:after="0" w:line="27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 Prolonged periods of strong relative investment performance may result in capacity constraints within certain portfolios, which in turn may negatively impact our ability to achieve strong investment results in subsequent periods.</w:t>
      </w:r>
    </w:p>
    <w:p>
      <w:pPr>
        <w:spacing w:after="0" w:line="64" w:lineRule="exact"/>
        <w:rPr>
          <w:rFonts w:ascii="Arial" w:cs="Arial" w:eastAsia="Arial" w:hAnsi="Arial"/>
          <w:sz w:val="17"/>
          <w:szCs w:val="17"/>
          <w:color w:val="auto"/>
        </w:rPr>
      </w:pPr>
    </w:p>
    <w:p>
      <w:pPr>
        <w:ind w:left="460" w:right="120" w:hanging="330"/>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Trends. Changes in investing trends and, in particular, investor preference for passive or alternative investment portfolios, retirement savings trends, including the prevalence of defined contribution retirement plans and target date retirement products, may reduce interest in our funds and portfolios and may alter our mix of assets under management.</w:t>
      </w:r>
    </w:p>
    <w:p>
      <w:pPr>
        <w:spacing w:after="0" w:line="73" w:lineRule="exact"/>
        <w:rPr>
          <w:rFonts w:ascii="Arial" w:cs="Arial" w:eastAsia="Arial" w:hAnsi="Arial"/>
          <w:sz w:val="18"/>
          <w:szCs w:val="18"/>
          <w:color w:val="auto"/>
        </w:rPr>
      </w:pPr>
    </w:p>
    <w:p>
      <w:pPr>
        <w:ind w:left="460" w:right="36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62" w:lineRule="exact"/>
        <w:rPr>
          <w:rFonts w:ascii="Arial" w:cs="Arial" w:eastAsia="Arial" w:hAnsi="Arial"/>
          <w:sz w:val="18"/>
          <w:szCs w:val="18"/>
          <w:color w:val="auto"/>
        </w:rPr>
      </w:pPr>
    </w:p>
    <w:p>
      <w:pPr>
        <w:ind w:left="460" w:right="120" w:hanging="330"/>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Exposure. Our managed portfolios may have significant investments in international markets that are subject to risk of loss from political or diplomatic developments, government policies, civil unrest, currency fluctuations, and changes in legislation related to foreign ownership. International markets, particularly emerging markets, which are often smaller, may not have the liquidity of established markets, may lack established regulations, and may experience significantly more volatility than established markets.</w:t>
      </w:r>
    </w:p>
    <w:p>
      <w:pPr>
        <w:spacing w:after="0" w:line="78" w:lineRule="exact"/>
        <w:rPr>
          <w:rFonts w:ascii="Arial" w:cs="Arial" w:eastAsia="Arial" w:hAnsi="Arial"/>
          <w:sz w:val="18"/>
          <w:szCs w:val="18"/>
          <w:color w:val="auto"/>
        </w:rPr>
      </w:pPr>
    </w:p>
    <w:p>
      <w:pPr>
        <w:ind w:left="460" w:right="72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Regulation Changes. Changes in the status of tax deferred retirement plan investments and tax-free municipal bonds, the capital gains and corporate dividend tax rates, and other individual and corporate tax rates and regulations could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87" w:lineRule="exact"/>
        <w:rPr>
          <w:sz w:val="20"/>
          <w:szCs w:val="20"/>
          <w:color w:val="auto"/>
        </w:rPr>
      </w:pPr>
    </w:p>
    <w:p>
      <w:pPr>
        <w:ind w:left="460" w:right="280"/>
        <w:spacing w:after="0" w:line="324" w:lineRule="auto"/>
        <w:rPr>
          <w:sz w:val="20"/>
          <w:szCs w:val="20"/>
          <w:color w:val="auto"/>
        </w:rPr>
      </w:pPr>
      <w:r>
        <w:rPr>
          <w:rFonts w:ascii="Arial" w:cs="Arial" w:eastAsia="Arial" w:hAnsi="Arial"/>
          <w:sz w:val="18"/>
          <w:szCs w:val="18"/>
          <w:color w:val="auto"/>
        </w:rPr>
        <w:t>adversely affect investor behavior and may cause investors to view certain investment offerings less favorably and withdraw their investment assets, thereby decreasing the level of assets under our management.</w:t>
      </w:r>
    </w:p>
    <w:p>
      <w:pPr>
        <w:spacing w:after="0" w:line="143"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performance of our money market funds and portfolios have been impacted by the historically low interest rate environment.</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money market funds' and portfolios' performance or yield is dependent on the income earned from the underlying securities exceeding the operating costs of the fund. When interest rates are at or near historic lows, the operating costs of the funds will become a greater portion of the portfolio's net income, thereby reducing the yield of the funds to very low levels. The interest rate environment experienced since the second half of 2009 until recently led us to voluntarily waive our advisory and other fees earned on our money market funds and trusts in order to maintain yields at or above 0% for fund investors. Such actions have reduced our advisory fee income and net income. Fee waivers have been reduced significantly in 2016, as interest rates have increased over the year. Given the current interest rate environment, we expect that our fee waivers in 2017, if any, will not be significant. The actual amount of fees waived is dependent on a number of variables including, among others, changes in the net assets held by our money market funds, changes in market yields, changes in the expense levels of the funds, and our willingness to voluntarily continue such fee waivers. For further discussion of the fees we waived in the current period, management's expectation as to future fee waivers, and the net cash flows of our money market funds and trusts, please see Management's Discussion and Analysis of Financial Condition and Results of Operations in Part II, Item 7, of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60-days notice. If a Price Fund seeks to lower the fees that we receive or terminate its contract with us, we would experience a decline in fees earned from the Price Funds, which could have a material adverse effect on our revenues and net income.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competition in all aspects of our business from other financial institutions. 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fees and related expenses, and the scope and quality of investment advice and other client services. Some institutions have proprietary products and distribution channels that make it more difficult for us to compete with them. Most of our investment portfolios are available without sales or redemption fees, which means that investors may be more willing to transfer assets to competing funds.</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market environment in recent years has led investors to increasingly favor lower fee passive products. As a result, investment advisors that emphasize passive products have gained and may continue to gain market share from active managers like us. While we cannot predict how much market share these competitors will gain, we believe there will always be demand for good active management.</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If current or potential customers decide to move their assets to one of our competitors, we could face a significant decline in market share, assets under management, revenues, and net income. In the event that we were to decide to reduce the fees we charge for investment advisory services in response to competitive pressures, revenues and operating margins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125" w:right="239" w:bottom="1440" w:gutter="0" w:footer="0" w:header="0"/>
        </w:sectPr>
      </w:pPr>
    </w:p>
    <w:bookmarkStart w:id="13" w:name="page14"/>
    <w:bookmarkEnd w:id="13"/>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success depends on our highly skilled personnel, including our portfolio and fund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Due to the global nature of our investment advisory business, our key personnel may have reasons to travel to regions susceptible to higher risk of civil unrest, organized crime or terrorism and we may be unable to ensure the safety of personnel traveling to these regions.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effect on our reputation and subject us to regulatory sanctions, fines, penalties, litigation, and a decrease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225" w:lineRule="exact"/>
        <w:rPr>
          <w:sz w:val="20"/>
          <w:szCs w:val="20"/>
          <w:color w:val="auto"/>
        </w:rPr>
      </w:pPr>
    </w:p>
    <w:p>
      <w:pPr>
        <w:ind w:left="460" w:right="80" w:hanging="330"/>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properly perform or oversee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rFonts w:ascii="Arial" w:cs="Arial" w:eastAsia="Arial" w:hAnsi="Arial"/>
          <w:sz w:val="18"/>
          <w:szCs w:val="18"/>
          <w:color w:val="auto"/>
        </w:rPr>
      </w:pPr>
    </w:p>
    <w:p>
      <w:pPr>
        <w:ind w:left="460" w:right="460" w:hanging="330"/>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properly perform transfer agent and participant recordkeeping responsibilities, including transaction processing, supervision of staff, tax reporting, and record retention;</w:t>
      </w:r>
    </w:p>
    <w:p>
      <w:pPr>
        <w:spacing w:after="0" w:line="62" w:lineRule="exact"/>
        <w:rPr>
          <w:rFonts w:ascii="Arial" w:cs="Arial" w:eastAsia="Arial" w:hAnsi="Arial"/>
          <w:sz w:val="18"/>
          <w:szCs w:val="18"/>
          <w:color w:val="auto"/>
        </w:rPr>
      </w:pPr>
    </w:p>
    <w:p>
      <w:pPr>
        <w:jc w:val="both"/>
        <w:ind w:left="460" w:right="60" w:hanging="330"/>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 and</w:t>
      </w:r>
    </w:p>
    <w:p>
      <w:pPr>
        <w:spacing w:after="0" w:line="73" w:lineRule="exact"/>
        <w:rPr>
          <w:rFonts w:ascii="Arial" w:cs="Arial" w:eastAsia="Arial" w:hAnsi="Arial"/>
          <w:sz w:val="18"/>
          <w:szCs w:val="18"/>
          <w:color w:val="auto"/>
        </w:rPr>
      </w:pPr>
    </w:p>
    <w:p>
      <w:pPr>
        <w:ind w:left="460" w:right="80" w:hanging="330"/>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third-party vendors who, now or in the future, may perform or support important parts of our operations as there can be no assurance that they will perform properly or that our processes and plans to transition or delegate these functions to others will be successful or that there will not be interruptions in services from these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Additionally, we are subject to the risk that our employees or third parties acting on our behalf may circumvent controls or act in a manner inconsistent with our policies and procedures. Any real or perceived conflict between our clients’ interests and our own, as well as any fraudulent activity or other exposure of client assets or information, may impair our reputation. Any damage to our brand could impede our ability to attract and retain customers and key personnel, and reduce the amount of assets under our management, any of which could have a material adverse effect on our revenues and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225"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w:t>
      </w:r>
    </w:p>
    <w:p>
      <w:pPr>
        <w:spacing w:after="0" w:line="225"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variations in the level of total compensation expense due to, among other things, bonuses, stock-based awards, changes in employee benefit costs due to regulatory or plan design changes, changes in our employee count and mix, competitive factors, and inflation;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left="460" w:right="200" w:hanging="330"/>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62" w:lineRule="exact"/>
        <w:rPr>
          <w:rFonts w:ascii="Arial" w:cs="Arial" w:eastAsia="Arial" w:hAnsi="Arial"/>
          <w:sz w:val="18"/>
          <w:szCs w:val="18"/>
          <w:color w:val="auto"/>
        </w:rPr>
      </w:pPr>
    </w:p>
    <w:p>
      <w:pPr>
        <w:ind w:left="460" w:right="620" w:hanging="330"/>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costs incurred for third-party vendors that perform certain administrative and operating services;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future impairment of investments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right="240" w:hanging="330"/>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investment management, trading, and accounting systems.</w:t>
      </w:r>
    </w:p>
    <w:p>
      <w:pPr>
        <w:spacing w:after="0" w:line="184"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Under our agreements with the Price funds, we charge the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of our sponsored investment products, any financial support provided would reduce capital available for other purposes and may have an adverse effect on revenues and net income</w:t>
      </w:r>
      <w:r>
        <w:rPr>
          <w:rFonts w:ascii="Arial" w:cs="Arial" w:eastAsia="Arial" w:hAnsi="Arial"/>
          <w:sz w:val="17"/>
          <w:szCs w:val="17"/>
          <w:color w:val="auto"/>
        </w:rPr>
        <w:t>.</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in the U.S. and abroad and such relationships may not be available or profitable to us in the future.</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These contracted third-party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clients'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Armed conflict, terrorist attacks, cyber-attacks, power failures, and natural disasters could adversely affect our revenues, expenses, and net income by:</w:t>
      </w:r>
    </w:p>
    <w:p>
      <w:pPr>
        <w:spacing w:after="0" w:line="237" w:lineRule="exact"/>
        <w:rPr>
          <w:sz w:val="20"/>
          <w:szCs w:val="20"/>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employees,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significant portion of our business operations are concentrated in the Baltimore, Maryland region and in London, England. 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00"/>
          </w:cols>
          <w:pgMar w:left="240" w:top="125" w:right="259" w:bottom="1440" w:gutter="0" w:footer="0" w:header="0"/>
        </w:sectPr>
      </w:pPr>
    </w:p>
    <w:bookmarkStart w:id="15" w:name="page16"/>
    <w:bookmarkEnd w:id="15"/>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currently have a substantial portion of our assets invested in sponsored investment portfolios. All of these investments are subject to investment market risk and our non-operating investment income could be adversely affected by the realization of losses upon the disposition of our investments or the recognition of significant other-than-temporary impairments in the case of our available-for-sale portfolio and the recognition of unrealized losses related to our sponsored investment portfolios that are consolidated, held as trading or accounted for under the equity method.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review and pursue acquisition and venture opportunities in order to maintain or enhance our competitive position.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strategic transaction can involve a number of risks, including additional demands on our staff; unanticipated problems regarding integration of investor account and investment security recordkeeping, additional or new regulatory requirements,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exposed to a number of risks arising from our international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181" w:lineRule="exact"/>
        <w:rPr>
          <w:sz w:val="20"/>
          <w:szCs w:val="20"/>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left="500" w:right="100" w:hanging="330"/>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and other types of retirement accounts invest in our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93" w:lineRule="exact"/>
        <w:rPr>
          <w:rFonts w:ascii="Arial" w:cs="Arial" w:eastAsia="Arial" w:hAnsi="Arial"/>
          <w:sz w:val="18"/>
          <w:szCs w:val="18"/>
          <w:color w:val="auto"/>
        </w:rPr>
      </w:pPr>
    </w:p>
    <w:p>
      <w:pPr>
        <w:jc w:val="both"/>
        <w:ind w:left="500" w:right="80" w:hanging="330"/>
        <w:spacing w:after="0" w:line="279"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April 2016, the U.S. Department of Labor finalized changes to definitions and rules related to fiduciaries. Although there is some uncertainty about the rule and whether it will be withdrawn or modified, as currently written these changes will require modifications to how we interact with retirement customers and prospects, and may cause us to limit certain types of distribution or other business activities. The Securities and Exchange Commission (SEC) is considering its own fiduciary rule proposal. Any such rule may also have an impact on our business activities.</w:t>
      </w:r>
    </w:p>
    <w:p>
      <w:pPr>
        <w:spacing w:after="0" w:line="171" w:lineRule="exact"/>
        <w:rPr>
          <w:rFonts w:ascii="Arial" w:cs="Arial" w:eastAsia="Arial" w:hAnsi="Arial"/>
          <w:sz w:val="17"/>
          <w:szCs w:val="17"/>
          <w:color w:val="auto"/>
        </w:rPr>
      </w:pPr>
    </w:p>
    <w:p>
      <w:pPr>
        <w:ind w:left="500" w:hanging="330"/>
        <w:spacing w:after="0" w:line="297"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SIFI designation was intended for traditional asset management businesses. However, if any T. Rowe Price fund or T. Rowe Price affiliate is deemed a SIFI, increased regulatory oversight would apply, which may include enhanced capital, liquidity, leverage, stress testing, resolution planning, and risk management requirements.</w:t>
      </w:r>
    </w:p>
    <w:p>
      <w:pPr>
        <w:spacing w:after="0" w:line="158" w:lineRule="exact"/>
        <w:rPr>
          <w:rFonts w:ascii="Arial" w:cs="Arial" w:eastAsia="Arial" w:hAnsi="Arial"/>
          <w:sz w:val="16"/>
          <w:szCs w:val="16"/>
          <w:color w:val="auto"/>
        </w:rPr>
      </w:pPr>
    </w:p>
    <w:p>
      <w:pPr>
        <w:ind w:left="500" w:right="240" w:hanging="330"/>
        <w:spacing w:after="0" w:line="297"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July 23, 2014, the SEC adopted additional reforms regulating money market funds that became effective in October 2016. The reforms require institutional non-government money market funds to operate with a floating net asset value (NAV) and require all non-government money market funds to impose liquidity fees and redemption gates under certain conditions. Government and retail money market funds can continue using current pricing and accounting methods to seek to maintain a stable NAV. These reforms could have a negative impact on the attractiveness of such funds to investors and also subject us to additional regulatory requirements and costs to comply with such requirements.</w:t>
      </w:r>
    </w:p>
    <w:p>
      <w:pPr>
        <w:spacing w:after="0" w:line="158" w:lineRule="exact"/>
        <w:rPr>
          <w:rFonts w:ascii="Arial" w:cs="Arial" w:eastAsia="Arial" w:hAnsi="Arial"/>
          <w:sz w:val="16"/>
          <w:szCs w:val="16"/>
          <w:color w:val="auto"/>
        </w:rPr>
      </w:pPr>
    </w:p>
    <w:p>
      <w:pPr>
        <w:ind w:left="500" w:hanging="330"/>
        <w:spacing w:after="0" w:line="31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Commodity Futures Trading Commission has adopted certain amendments to its rules that would limit the ability of mutual funds and certain other products we sponsor to use commodities, futures, swaps, and other derivatives without additional registration. If our use of these products on behalf of client accounts increases so as to require registration, we would be subject to additional regulatory requirements and costs associated with registration.</w:t>
      </w:r>
    </w:p>
    <w:p>
      <w:pPr>
        <w:spacing w:after="0" w:line="146" w:lineRule="exact"/>
        <w:rPr>
          <w:rFonts w:ascii="Arial" w:cs="Arial" w:eastAsia="Arial" w:hAnsi="Arial"/>
          <w:sz w:val="16"/>
          <w:szCs w:val="16"/>
          <w:color w:val="auto"/>
        </w:rPr>
      </w:pPr>
    </w:p>
    <w:p>
      <w:pPr>
        <w:ind w:left="500" w:right="32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rFonts w:ascii="Arial" w:cs="Arial" w:eastAsia="Arial" w:hAnsi="Arial"/>
          <w:sz w:val="18"/>
          <w:szCs w:val="18"/>
          <w:color w:val="auto"/>
        </w:rPr>
      </w:pPr>
    </w:p>
    <w:p>
      <w:pPr>
        <w:ind w:left="500" w:right="4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remain subject to various state, federal and international laws and regulations related to data privacy and protection of data we maintain concerning our customers and employees. These requirements continue to evolve. For example, the European Union has adopted changes, effective in May 2018, which will, among other things, significantly increase the potential penalties for non-compliance.</w:t>
      </w:r>
    </w:p>
    <w:p>
      <w:pPr>
        <w:spacing w:after="0" w:line="181" w:lineRule="exact"/>
        <w:rPr>
          <w:rFonts w:ascii="Arial" w:cs="Arial" w:eastAsia="Arial" w:hAnsi="Arial"/>
          <w:sz w:val="18"/>
          <w:szCs w:val="18"/>
          <w:color w:val="auto"/>
        </w:rPr>
      </w:pPr>
    </w:p>
    <w:p>
      <w:pPr>
        <w:ind w:left="500" w:hanging="330"/>
        <w:spacing w:after="0" w:line="29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Global regulations on OTC derivatives are evolving, including new and proposed regulations under The Dodd-Frank Wall Street Reform and Consumer Protection Act and European Market Infrastructure Regulation relating to central clearing counterparties, trade reporting, and repositories. In addition, the SEC has adopted new regulations that will require mutual funds to adopt liquidity risk management programs with specific requirements for measuring and reporting the liquidity of fund holdings. It also has proposed regulations detailing new exposure limits and asset coverage requirements for investments in derivatives, as well as adopting derivatives risk management programs. There remains uncertainty related to various requirements under these regulations and the exact manner in which they will impact current trading strategies for our clients.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125" w:right="239" w:bottom="1440" w:gutter="0" w:footer="0" w:header="0"/>
        </w:sectPr>
      </w:pPr>
    </w:p>
    <w:bookmarkStart w:id="17" w:name="page18"/>
    <w:bookmarkEnd w:id="17"/>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left="500" w:right="100" w:hanging="330"/>
        <w:spacing w:after="0" w:line="273"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revised Markets in Financial Instruments Directive (MiFID II Directive) and Regulation (MiFIR) (together “MiFID II”) will apply across the European Union (“EU”) and member states of the European Economic Area beginning on January 3, 2018, unless this date is extended. Implementation of MiFID II will significantly impact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will increase our costs.</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 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 On December 30, 2016, we signed a settlement agreement with our insurance carrier for insurance proceeds totaling $100.0 million related to this matter.</w:t>
      </w:r>
    </w:p>
    <w:p>
      <w:pPr>
        <w:spacing w:after="0" w:line="17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or the amount of interest to be applied were modified by the Supreme Court of Delaware on appeal,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Chancery Court’s valuation ruling. Our settlement agreement with the insurance carrier provides that if the fair value of Dell is reduced, we would work together to make appropriate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even maintain their operations if we were unable to make additional investments in them.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125" w:right="259" w:bottom="1440" w:gutter="0" w:footer="0" w:header="0"/>
        </w:sectPr>
      </w:pPr>
    </w:p>
    <w:bookmarkStart w:id="18" w:name="page19"/>
    <w:bookmarkEnd w:id="18"/>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Kingdom exit from European Union.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The ultimate impact of the UK exit (“Brexit”) from the European Union (“EU”), on our business operations in the UK and Europe could vary depending on the details of the separation agreement. We are preparing for multiple scenarios, and remain committed to our clients, associates and business expansion across the region.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we fail to maintain adequate infrastructure to conduct or expand our operations or if our technology became inoperative or obsolete.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our technology systems, including those provided by vendors, are vulnerable to disability or failures due to cyber-attacks such as hacking or viruses, natural disasters, power failures, acts of war or terrorism, sabotage, and other causes. A suspension or termination of vendor-provided software licenses or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customers and fail to maintain regulatory compliance, which could affect our results of operations and severely damage our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or those of our third-party service providers we may use to maintain and transmit such information,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193" w:lineRule="exact"/>
        <w:rPr>
          <w:sz w:val="20"/>
          <w:szCs w:val="20"/>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125" w:right="259" w:bottom="1440" w:gutter="0" w:footer="0" w:header="0"/>
        </w:sectPr>
      </w:pPr>
    </w:p>
    <w:bookmarkStart w:id="19" w:name="page20"/>
    <w:bookmarkEnd w:id="19"/>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7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corporate headquarters occupies 438,000 square feet of space under lease until 2027 at 100 East Pratt Street in Baltimore, Maryland. We have offices in 16 countries around the world, including the U.S.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1.2 million square feet on three parcels of land in close proximity to Baltimore in Owings Mills, Maryland and about 290,000 square feet in Colorado Springs, Colorado. We also maintain a nearly 60,000 square foot technology support facility in Hagerstown, Maryland, and own a 72-acre parcel of land in Pasco County, Florida to accommodate potential future development if business demands require.</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six investor centers for walk-in traffic and investor meetings, four of which are in leased facilities located in Baltimore, Maryland, Tampa, Florida, Washington, D.C, and McLean, Virginia. The remaining two investor centers are located in our owned facilities in Colorado Springs and Owings Mills.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in Maryland, and our customer service call center in Tampa.</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Information concerning our anticipated capital expenditures in 2017 and our future minimum rental payments under noncancelable operating leases at December 31, 2016,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intends to vigorously defend the action.</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125" w:right="259" w:bottom="1440" w:gutter="0" w:footer="0" w:header="0"/>
        </w:sectPr>
      </w:pPr>
    </w:p>
    <w:bookmarkStart w:id="20" w:name="page21"/>
    <w:bookmarkEnd w:id="20"/>
    <w:p>
      <w:pPr>
        <w:jc w:val="center"/>
        <w:ind w:right="-4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2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following information includes the names, ages, and positions of our executive officers as of February 3, 2017. There are no arrangements or understandings pursuant to which any person serves as an officer. The first six individuals are members of our management committee.</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William J. Stromberg (56), President and Chief Executive Officer since 2016. Mr. Stromberg was previously the Head of Equity from 2010 to 2015 and a Vice President from 1990 to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(61), Chairman since 2007, Chief Investment Officer since 2004, and a Vice President since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(60), Vice Chairman since 2007, and a Vice President since 1989.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Christopher D. Alderson (54), Co-Head of Global Equity since 2017, Head of International Equity from 2009 to 2016, and a Vice President since 2002.</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Robert W. Sharps, (45), Co-Head of Global Equity since 2017, Lead Portfolio Manager, Institutional U.S. Large-Cap Equity Growth Strategy from 2001 to 2016, and a Vice President since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Edward A. Wiese (57), Head of Fixed Income since January 2015,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Oestreicher, (49), Corporate Secretary since 2012, Chief Legal Officer since 2008,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(60), Treasurer since 2010, and Chief Financial Officer and a Vice President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(41), Principal Accounting Officer since 2010 and a Vice President since 2009.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180"/>
          </w:cols>
          <w:pgMar w:left="240" w:top="125" w:right="479" w:bottom="1440" w:gutter="0" w:footer="0" w:header="0"/>
        </w:sectPr>
      </w:pPr>
    </w:p>
    <w:bookmarkStart w:id="21" w:name="page22"/>
    <w:bookmarkEnd w:id="21"/>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1st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2nd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4th</w:t>
            </w:r>
          </w:p>
        </w:tc>
      </w:tr>
      <w:tr>
        <w:trPr>
          <w:trHeight w:val="257"/>
        </w:trPr>
        <w:tc>
          <w:tcPr>
            <w:tcW w:w="6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quarter</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quarter</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2015 – High price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77.71</w:t>
            </w:r>
          </w:p>
        </w:tc>
      </w:tr>
      <w:tr>
        <w:trPr>
          <w:trHeight w:val="27"/>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65.88</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7"/>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6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2016 – High price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75.12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78.95</w:t>
            </w:r>
          </w:p>
        </w:tc>
      </w:tr>
      <w:tr>
        <w:trPr>
          <w:trHeight w:val="27"/>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62.97</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cash dividends declared during the first quarter of 2015 include a special dividend of $2.00 per share that was declared in February 2015 and paid in April 2015.</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2016:</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Employee and non-employee</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Employee stock purchase</w:t>
            </w:r>
          </w:p>
        </w:tc>
        <w:tc>
          <w:tcPr>
            <w:tcW w:w="2160" w:type="dxa"/>
            <w:vAlign w:val="bottom"/>
            <w:shd w:val="clear" w:color="auto" w:fill="CCEEFF"/>
          </w:tcPr>
          <w:p>
            <w:pPr>
              <w:spacing w:after="0"/>
              <w:rPr>
                <w:sz w:val="19"/>
                <w:szCs w:val="19"/>
                <w:color w:val="auto"/>
              </w:rPr>
            </w:pPr>
          </w:p>
        </w:tc>
      </w:tr>
      <w:tr>
        <w:trPr>
          <w:trHeight w:val="257"/>
        </w:trPr>
        <w:tc>
          <w:tcPr>
            <w:tcW w:w="4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director plans</w:t>
            </w:r>
          </w:p>
        </w:tc>
        <w:tc>
          <w:tcPr>
            <w:tcW w:w="2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plan</w:t>
            </w:r>
          </w:p>
        </w:tc>
        <w:tc>
          <w:tcPr>
            <w:tcW w:w="21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Total</w:t>
            </w:r>
          </w:p>
        </w:tc>
      </w:tr>
      <w:tr>
        <w:trPr>
          <w:trHeight w:val="237"/>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Exercise of outstanding options</w:t>
            </w:r>
          </w:p>
        </w:tc>
        <w:tc>
          <w:tcPr>
            <w:tcW w:w="120" w:type="dxa"/>
            <w:vAlign w:val="bottom"/>
          </w:tcPr>
          <w:p>
            <w:pPr>
              <w:spacing w:after="0"/>
              <w:rPr>
                <w:sz w:val="20"/>
                <w:szCs w:val="20"/>
                <w:color w:val="auto"/>
              </w:rPr>
            </w:pPr>
          </w:p>
        </w:tc>
        <w:tc>
          <w:tcPr>
            <w:tcW w:w="2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24,364,322</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24,364,322</w:t>
            </w: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Settlement of outstanding restricted stock units</w:t>
            </w:r>
          </w:p>
        </w:tc>
        <w:tc>
          <w:tcPr>
            <w:tcW w:w="2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4,695,858</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4,695,858</w:t>
            </w:r>
          </w:p>
        </w:tc>
      </w:tr>
      <w:tr>
        <w:trPr>
          <w:trHeight w:val="24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Future issuances</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14,490,787</w:t>
            </w:r>
          </w:p>
        </w:tc>
        <w:tc>
          <w:tcPr>
            <w:tcW w:w="12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561,646</w:t>
            </w:r>
          </w:p>
        </w:tc>
        <w:tc>
          <w:tcPr>
            <w:tcW w:w="10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15,052,433</w:t>
            </w: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43,550,967</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561,646</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44,112,613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outstanding options included in the table above have a weighted-average exercise price of $61.90. Under the terms of the 2012 Long-Term Incentive Plan, approved by stockholders in April 2012,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Total number of</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Maximum number of</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shares purchased as</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shares that may yet</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Total number of</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Average price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part of publicly</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 purchased under</w:t>
            </w:r>
          </w:p>
        </w:tc>
      </w:tr>
      <w:tr>
        <w:trPr>
          <w:trHeight w:val="257"/>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Month</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shares purchased</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paid per share</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announced program</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the program</w:t>
            </w:r>
          </w:p>
        </w:tc>
      </w:tr>
      <w:tr>
        <w:trPr>
          <w:trHeight w:val="237"/>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October</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1,715,455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66.51</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1,498,645</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10,263,968</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751,110</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66.86</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467,771</w:t>
            </w:r>
          </w:p>
        </w:tc>
        <w:tc>
          <w:tcPr>
            <w:tcW w:w="2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9,796,197</w:t>
            </w:r>
          </w:p>
        </w:tc>
      </w:tr>
      <w:tr>
        <w:trPr>
          <w:trHeight w:val="243"/>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567,687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76.39</w:t>
            </w:r>
          </w:p>
        </w:tc>
        <w:tc>
          <w:tcPr>
            <w:tcW w:w="12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21,796,197</w:t>
            </w: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3,034,252</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68.44</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1,966,416</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2016, 886,931 were related to shares surrendered in connection with employee stock option exercises and 180,905 were related to shares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25" w:right="239" w:bottom="1440" w:gutter="0" w:footer="0" w:header="0"/>
        </w:sectPr>
      </w:pPr>
    </w:p>
    <w:bookmarkStart w:id="22" w:name="page23"/>
    <w:bookmarkEnd w:id="22"/>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remaining 1,966,416 shares of our common stock purchased during the fourth quarter of 2016 were repurchased pursuant to the Board of Directors’ December 10, 2015, publicly announced authorization. The maximum number of shares that may yet be purchased as of December 31, 2016, under the Board of Directors’ December 10, 2015, and December 6, 2016, publicly announced authorizations is 21,796,197.</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have 6,799 stockholders of record and approximately 193,000 beneficial stockholder accounts held by brokers, banks, and other intermediaries holding our common stock. Common stock owned outright by our associates, combined with outstanding vested stock options and unvested restricted stock awards, total nearly 17% of our outstanding shares and outstanding vested stock options at December 31, 2016.</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(in millions, except per-share data)</w:t>
            </w: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3,023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3,484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3,982</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4,201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4,223</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operating income</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1,891</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884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1,254</w:t>
            </w: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5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controlling interest</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 attributable to T. Rowe Price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3540" w:type="dxa"/>
            <w:vAlign w:val="bottom"/>
          </w:tcPr>
          <w:p>
            <w:pPr>
              <w:ind w:left="40"/>
              <w:spacing w:after="0" w:line="257" w:lineRule="exact"/>
              <w:rPr>
                <w:sz w:val="20"/>
                <w:szCs w:val="20"/>
                <w:color w:val="auto"/>
              </w:rPr>
            </w:pPr>
            <w:r>
              <w:rPr>
                <w:rFonts w:ascii="Arial" w:cs="Arial" w:eastAsia="Arial" w:hAnsi="Arial"/>
                <w:sz w:val="18"/>
                <w:szCs w:val="18"/>
                <w:color w:val="auto"/>
              </w:rPr>
              <w:t>Group</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884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1,215</w:t>
            </w: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5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T. Rowe Price Group</w:t>
            </w:r>
            <w:r>
              <w:rPr>
                <w:rFonts w:ascii="Arial" w:cs="Arial" w:eastAsia="Arial" w:hAnsi="Arial"/>
                <w:sz w:val="25"/>
                <w:szCs w:val="25"/>
                <w:color w:val="auto"/>
                <w:vertAlign w:val="superscript"/>
              </w:rPr>
              <w:t>(3)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Basic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3.47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Adjusted diluted earnings</w:t>
            </w:r>
            <w:r>
              <w:rPr>
                <w:rFonts w:ascii="Arial" w:cs="Arial" w:eastAsia="Arial" w:hAnsi="Arial"/>
                <w:sz w:val="25"/>
                <w:szCs w:val="25"/>
                <w:color w:val="auto"/>
                <w:vertAlign w:val="superscript"/>
              </w:rPr>
              <w:t>(3)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Cash dividends declared</w:t>
            </w:r>
            <w:r>
              <w:rPr>
                <w:rFonts w:ascii="Arial" w:cs="Arial" w:eastAsia="Arial" w:hAnsi="Arial"/>
                <w:sz w:val="25"/>
                <w:szCs w:val="25"/>
                <w:color w:val="auto"/>
                <w:vertAlign w:val="superscript"/>
              </w:rPr>
              <w:t>(4)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253.4</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258.3</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259.6</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assuming dilution</w:t>
            </w:r>
          </w:p>
        </w:tc>
        <w:tc>
          <w:tcPr>
            <w:tcW w:w="3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261.0</w:t>
            </w:r>
          </w:p>
        </w:tc>
        <w:tc>
          <w:tcPr>
            <w:tcW w:w="4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266.3</w:t>
            </w:r>
          </w:p>
        </w:tc>
        <w:tc>
          <w:tcPr>
            <w:tcW w:w="4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267.4</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260.9</w:t>
            </w: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250.3</w:t>
            </w:r>
          </w:p>
        </w:tc>
      </w:tr>
    </w:tbl>
    <w:p>
      <w:pPr>
        <w:spacing w:after="0" w:line="233" w:lineRule="exact"/>
        <w:rPr>
          <w:sz w:val="20"/>
          <w:szCs w:val="20"/>
          <w:color w:val="auto"/>
        </w:rPr>
      </w:pPr>
    </w:p>
    <w:p>
      <w:pPr>
        <w:ind w:left="180" w:hanging="172"/>
        <w:spacing w:after="0" w:line="246" w:lineRule="auto"/>
        <w:tabs>
          <w:tab w:leader="none" w:pos="171"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In 2016, net operating income reflects a non-recurring net charge of $66.2 million related to the Dell appraisal rights matter. Our 2016 net income and net income attributable to T. Rowe Price Group reflect the after-tax impact of this charge.</w:t>
      </w:r>
    </w:p>
    <w:p>
      <w:pPr>
        <w:spacing w:after="0" w:line="166" w:lineRule="exact"/>
        <w:rPr>
          <w:rFonts w:ascii="Arial" w:cs="Arial" w:eastAsia="Arial" w:hAnsi="Arial"/>
          <w:sz w:val="19"/>
          <w:szCs w:val="19"/>
          <w:color w:val="auto"/>
          <w:vertAlign w:val="superscript"/>
        </w:rPr>
      </w:pPr>
    </w:p>
    <w:p>
      <w:pPr>
        <w:ind w:left="180" w:right="20" w:hanging="172"/>
        <w:spacing w:after="0" w:line="277" w:lineRule="auto"/>
        <w:tabs>
          <w:tab w:leader="none" w:pos="171"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 xml:space="preserve">Net income attributable to redeemable non-controlling interest represents the portion of net income of our consolidated sponsored investment portfolios we recognized in our consolidated statement of income that is attributable to the interests held by third-party investors. In 2016, we implemented new consolidation accounting guidance resulting in the consolidation of a larger number of sponsored investment portfolios in which we have provided initial seed capital. See the </w:t>
      </w:r>
      <w:r>
        <w:rPr>
          <w:rFonts w:ascii="Arial" w:cs="Arial" w:eastAsia="Arial" w:hAnsi="Arial"/>
          <w:sz w:val="14"/>
          <w:szCs w:val="14"/>
          <w:i w:val="1"/>
          <w:iCs w:val="1"/>
          <w:color w:val="auto"/>
        </w:rPr>
        <w:t>Summary of Significant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Policies </w:t>
      </w:r>
      <w:r>
        <w:rPr>
          <w:rFonts w:ascii="Arial" w:cs="Arial" w:eastAsia="Arial" w:hAnsi="Arial"/>
          <w:sz w:val="14"/>
          <w:szCs w:val="14"/>
          <w:color w:val="auto"/>
        </w:rPr>
        <w:t>in the notes to the consolidated financial statements contained in Part II, Item 8 of this filing for more information related to the impact of this new guidance.</w:t>
      </w:r>
    </w:p>
    <w:p>
      <w:pPr>
        <w:spacing w:after="0" w:line="149" w:lineRule="exact"/>
        <w:rPr>
          <w:rFonts w:ascii="Arial" w:cs="Arial" w:eastAsia="Arial" w:hAnsi="Arial"/>
          <w:sz w:val="18"/>
          <w:szCs w:val="18"/>
          <w:color w:val="auto"/>
          <w:vertAlign w:val="superscript"/>
        </w:rPr>
      </w:pPr>
    </w:p>
    <w:p>
      <w:pPr>
        <w:jc w:val="both"/>
        <w:ind w:left="180" w:right="40" w:hanging="172"/>
        <w:spacing w:after="0" w:line="252" w:lineRule="auto"/>
        <w:tabs>
          <w:tab w:leader="none" w:pos="171"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 xml:space="preserve">Represents non-GAAP financial measures that have been established in order to increase transparency for the purpose of evaluating our core business, for comparing current results with prior period results, and to enable more appropriate comparison with industry peers. See Item 7, </w:t>
      </w:r>
      <w:r>
        <w:rPr>
          <w:rFonts w:ascii="Arial" w:cs="Arial" w:eastAsia="Arial" w:hAnsi="Arial"/>
          <w:sz w:val="15"/>
          <w:szCs w:val="15"/>
          <w:i w:val="1"/>
          <w:iCs w:val="1"/>
          <w:color w:val="auto"/>
        </w:rPr>
        <w:t>Management's Discussion and Analysis - Results of Operations</w:t>
      </w:r>
      <w:r>
        <w:rPr>
          <w:rFonts w:ascii="Arial" w:cs="Arial" w:eastAsia="Arial" w:hAnsi="Arial"/>
          <w:sz w:val="15"/>
          <w:szCs w:val="15"/>
          <w:color w:val="auto"/>
        </w:rPr>
        <w:t xml:space="preserve"> for the definitions of these measures and the related reconciliation from U.S. GAAP.</w:t>
      </w:r>
    </w:p>
    <w:p>
      <w:pPr>
        <w:spacing w:after="0" w:line="129"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Cash dividends declared in 2012 and 2015 include special dividends per share of $1.00 and $2.00, respectively, that we paid during those years.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125" w:right="239" w:bottom="1440" w:gutter="0" w:footer="0" w:header="0"/>
        </w:sectPr>
      </w:pPr>
    </w:p>
    <w:bookmarkStart w:id="23" w:name="page24"/>
    <w:bookmarkEnd w:id="2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 (in millions)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4,203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5,033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5,644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5,107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6,225</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3,846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5,395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4,762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5,009</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3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576.8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692.4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746.8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763.1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810.8</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 date retirement trusts, open-ended investment products offered to investors outside the U.S., and portfolios offered through variable annuity life insurance plans in the U.S.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manage a broad range of U.S., international and global stock, bond, and money market mutual funds and other investment portfolios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attract new investment advisory clients and additional investments from our existing clients. These efforts involve costs that precede any future revenues that we recognize from an increase to our assets under management.</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expect to increase our pace of spending on a series of key strategic priorities to address evolving client needs and to grow and further diversify our business. Based on these planned initiatives, we currently expect that our planned operating expenses, excluding the net charge related to the Dell appraisal rights matter, will grow in the high-single-digit range in 2017 versus 2016. We could elect to moderate the pace of spending on our planned initiatives should markets decline significantly. In addition, other events not currently planned or expected could impact our expense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U.S. stocks rose strongly in 2016, with major indexes finishing the year near record highs. Small-cap stocks substantially outperformed large-caps, and it was the eighth consecutive year for a positive S&amp;P 500 Index total return. The year began with fears of a global economic slowdown, which caused a short but sharp correction in equities and commodities. U.S. shares bottomed in mid-February and worked their way higher through late June, as commodity prices rebounded and the U.S. dollar weakened due to diminishing expectations for Federal Reserve interest rate increases in 2016. In late June, world equity markets experienced a brief but intense sell-off as the UK unexpectedly voted in favor of leaving the European Union. However, stocks resumed rising amid expectations that global central banks would provide additional monetary stimulus. In the months prior to the November U.S. elections, the U.S. market’s advance was hindered by political uncertainty, as well as uncertainty about the timing of a possible interest rate increase, as Fed officials started cautioning that the case for raising short-term rates had “strengthened.” Stocks surged following the U.S. election results. However, the rally lost some steam in December, as the Fed raised short-term rates in mid-December and projected more-than-expected increases in 2017.</w:t>
      </w:r>
    </w:p>
    <w:p>
      <w:pPr>
        <w:spacing w:after="0" w:line="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Developed non-U.S. equity markets significantly underperformed U.S. shares for the year, as returns to U.S. investors were hurt by a stronger dollar versus some major currencies. In dollar terms, Asian markets advanced for the year, though Japan,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25" w:right="239" w:bottom="1440" w:gutter="0" w:footer="0" w:header="0"/>
        </w:sectPr>
      </w:pPr>
    </w:p>
    <w:bookmarkStart w:id="24" w:name="page25"/>
    <w:bookmarkEnd w:id="24"/>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Hong Kong, and Singapore gained less than 3%. European equity markets were widely mixed, with Italy—one of the worst-performing markets—dropping more than 9%, due in part to its troubled banking sector.</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Emerging equity markets outperformed developed non-U.S. markets. Brazil led the Latin America region with a nearly 67% gain, helped by rebounding commodity prices and by a new president pursuing reforms. In emerging Europe, Russian shares soared amid firming oil prices, a stronger ruble, and hopes for better relations with the U.S. Emerging Asian markets were widely mixed.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equity market indexes for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4260" w:type="dxa"/>
            <w:vAlign w:val="bottom"/>
            <w:shd w:val="clear" w:color="auto" w:fill="CCEEFF"/>
          </w:tcPr>
          <w:p>
            <w:pPr>
              <w:jc w:val="center"/>
              <w:ind w:left="2470"/>
              <w:spacing w:after="0"/>
              <w:rPr>
                <w:sz w:val="20"/>
                <w:szCs w:val="20"/>
                <w:color w:val="auto"/>
              </w:rPr>
            </w:pPr>
            <w:r>
              <w:rPr>
                <w:rFonts w:ascii="Arial" w:cs="Arial" w:eastAsia="Arial" w:hAnsi="Arial"/>
                <w:sz w:val="18"/>
                <w:szCs w:val="18"/>
                <w:color w:val="auto"/>
                <w:w w:val="90"/>
              </w:rPr>
              <w:t>12.0%</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NASDAQ Composite Index (excluding dividends)</w:t>
            </w:r>
          </w:p>
        </w:tc>
        <w:tc>
          <w:tcPr>
            <w:tcW w:w="4260" w:type="dxa"/>
            <w:vAlign w:val="bottom"/>
          </w:tcPr>
          <w:p>
            <w:pPr>
              <w:jc w:val="center"/>
              <w:ind w:left="2470"/>
              <w:spacing w:after="0"/>
              <w:rPr>
                <w:sz w:val="20"/>
                <w:szCs w:val="20"/>
                <w:color w:val="auto"/>
              </w:rPr>
            </w:pPr>
            <w:r>
              <w:rPr>
                <w:rFonts w:ascii="Arial" w:cs="Arial" w:eastAsia="Arial" w:hAnsi="Arial"/>
                <w:sz w:val="18"/>
                <w:szCs w:val="18"/>
                <w:color w:val="auto"/>
                <w:w w:val="92"/>
              </w:rPr>
              <w:t>7.5%</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4260" w:type="dxa"/>
            <w:vAlign w:val="bottom"/>
            <w:tcBorders>
              <w:bottom w:val="single" w:sz="8" w:color="CCEEFF"/>
            </w:tcBorders>
            <w:shd w:val="clear" w:color="auto" w:fill="CCEEFF"/>
          </w:tcPr>
          <w:p>
            <w:pPr>
              <w:jc w:val="center"/>
              <w:ind w:left="2470"/>
              <w:spacing w:after="0"/>
              <w:rPr>
                <w:sz w:val="20"/>
                <w:szCs w:val="20"/>
                <w:color w:val="auto"/>
              </w:rPr>
            </w:pPr>
            <w:r>
              <w:rPr>
                <w:rFonts w:ascii="Arial" w:cs="Arial" w:eastAsia="Arial" w:hAnsi="Arial"/>
                <w:sz w:val="18"/>
                <w:szCs w:val="18"/>
                <w:color w:val="auto"/>
                <w:w w:val="90"/>
              </w:rPr>
              <w:t>21.3%</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4260" w:type="dxa"/>
            <w:vAlign w:val="bottom"/>
          </w:tcPr>
          <w:p>
            <w:pPr>
              <w:jc w:val="center"/>
              <w:ind w:left="2470"/>
              <w:spacing w:after="0"/>
              <w:rPr>
                <w:sz w:val="20"/>
                <w:szCs w:val="20"/>
                <w:color w:val="auto"/>
              </w:rPr>
            </w:pPr>
            <w:r>
              <w:rPr>
                <w:rFonts w:ascii="Arial" w:cs="Arial" w:eastAsia="Arial" w:hAnsi="Arial"/>
                <w:sz w:val="18"/>
                <w:szCs w:val="18"/>
                <w:color w:val="auto"/>
                <w:w w:val="92"/>
              </w:rPr>
              <w:t>1.5%</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4260" w:type="dxa"/>
            <w:vAlign w:val="bottom"/>
            <w:shd w:val="clear" w:color="auto" w:fill="CCEEFF"/>
          </w:tcPr>
          <w:p>
            <w:pPr>
              <w:jc w:val="center"/>
              <w:ind w:left="2470"/>
              <w:spacing w:after="0"/>
              <w:rPr>
                <w:sz w:val="20"/>
                <w:szCs w:val="20"/>
                <w:color w:val="auto"/>
              </w:rPr>
            </w:pPr>
            <w:r>
              <w:rPr>
                <w:rFonts w:ascii="Arial" w:cs="Arial" w:eastAsia="Arial" w:hAnsi="Arial"/>
                <w:sz w:val="18"/>
                <w:szCs w:val="18"/>
                <w:color w:val="auto"/>
                <w:w w:val="90"/>
              </w:rPr>
              <w:t>11.6%</w:t>
            </w:r>
          </w:p>
        </w:tc>
      </w:tr>
      <w:tr>
        <w:trPr>
          <w:trHeight w:val="27"/>
        </w:trPr>
        <w:tc>
          <w:tcPr>
            <w:tcW w:w="71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Global bond returns were mostly positive in 2016. In the U.S., intermediate- and long-term Treasury yields declined in the first half of the year, then rebounded in the second half and finished the year above their year-end 2015 levels. The 10-year Treasury note yield decreased from 2.3% at the end of 2015 to less than 1.4% around midyear, then it rose to around 2.5% by the end of 2016. In the investment-grade universe, corporate bonds were among the best performers. Longer-term Treasuries generated modest returns. Municipal securities were flat for the year, as they surrendered earlier gains during the fourth quarter amid rising interest rates and cash outflows. High yield bonds strongly outperformed, helped by their lower interest rate sensitivity, investors’ demand for securities with attractive yields, and a rebound in oil prices.</w:t>
      </w:r>
    </w:p>
    <w:p>
      <w:pPr>
        <w:spacing w:after="0" w:line="1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Bonds in developed non-U.S. markets produced modest positive returns in dollar terms, as significant first-half gains driven by U.S. currency weakness and falling sovereign debt yields were largely offset by a reversal of these trends in the latter half of the year. Bonds in emerging markets produced solid gains, as first-half returns driven by dollar weakness and investors’ search for attractive yields were only partially eroded by a stronger U.S. dollar in the second half.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38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92"/>
              </w:rPr>
              <w:t>2.7%</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JPMorgan Global High Yield Index</w:t>
            </w:r>
          </w:p>
        </w:tc>
        <w:tc>
          <w:tcPr>
            <w:tcW w:w="3820" w:type="dxa"/>
            <w:vAlign w:val="bottom"/>
          </w:tcPr>
          <w:p>
            <w:pPr>
              <w:jc w:val="center"/>
              <w:ind w:left="2030"/>
              <w:spacing w:after="0"/>
              <w:rPr>
                <w:sz w:val="20"/>
                <w:szCs w:val="20"/>
                <w:color w:val="auto"/>
              </w:rPr>
            </w:pPr>
            <w:r>
              <w:rPr>
                <w:rFonts w:ascii="Arial" w:cs="Arial" w:eastAsia="Arial" w:hAnsi="Arial"/>
                <w:sz w:val="18"/>
                <w:szCs w:val="18"/>
                <w:color w:val="auto"/>
                <w:w w:val="90"/>
              </w:rPr>
              <w:t>18.3%</w:t>
            </w:r>
          </w:p>
        </w:tc>
      </w:tr>
      <w:tr>
        <w:trPr>
          <w:trHeight w:val="27"/>
        </w:trPr>
        <w:tc>
          <w:tcPr>
            <w:tcW w:w="76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3820" w:type="dxa"/>
            <w:vAlign w:val="bottom"/>
            <w:tcBorders>
              <w:bottom w:val="single" w:sz="8" w:color="CCEEFF"/>
            </w:tcBorders>
            <w:shd w:val="clear" w:color="auto" w:fill="CCEEFF"/>
          </w:tcPr>
          <w:p>
            <w:pPr>
              <w:jc w:val="center"/>
              <w:ind w:left="2030"/>
              <w:spacing w:after="0"/>
              <w:rPr>
                <w:sz w:val="20"/>
                <w:szCs w:val="20"/>
                <w:color w:val="auto"/>
              </w:rPr>
            </w:pPr>
            <w:r>
              <w:rPr>
                <w:rFonts w:ascii="Arial" w:cs="Arial" w:eastAsia="Arial" w:hAnsi="Arial"/>
                <w:sz w:val="18"/>
                <w:szCs w:val="18"/>
                <w:color w:val="auto"/>
                <w:w w:val="96"/>
              </w:rPr>
              <w:t>.3%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3820" w:type="dxa"/>
            <w:vAlign w:val="bottom"/>
          </w:tcPr>
          <w:p>
            <w:pPr>
              <w:jc w:val="center"/>
              <w:ind w:left="2030"/>
              <w:spacing w:after="0"/>
              <w:rPr>
                <w:sz w:val="20"/>
                <w:szCs w:val="20"/>
                <w:color w:val="auto"/>
              </w:rPr>
            </w:pPr>
            <w:r>
              <w:rPr>
                <w:rFonts w:ascii="Arial" w:cs="Arial" w:eastAsia="Arial" w:hAnsi="Arial"/>
                <w:sz w:val="18"/>
                <w:szCs w:val="18"/>
                <w:color w:val="auto"/>
                <w:w w:val="92"/>
              </w:rPr>
              <w:t>1.5%</w:t>
            </w:r>
          </w:p>
        </w:tc>
      </w:tr>
      <w:tr>
        <w:trPr>
          <w:trHeight w:val="27"/>
        </w:trPr>
        <w:tc>
          <w:tcPr>
            <w:tcW w:w="76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38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92"/>
              </w:rPr>
              <w:t>9.6%</w:t>
            </w:r>
          </w:p>
        </w:tc>
      </w:tr>
      <w:tr>
        <w:trPr>
          <w:trHeight w:val="27"/>
        </w:trPr>
        <w:tc>
          <w:tcPr>
            <w:tcW w:w="76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125" w:right="239" w:bottom="1440" w:gutter="0" w:footer="0" w:header="0"/>
        </w:sectPr>
      </w:pPr>
    </w:p>
    <w:bookmarkStart w:id="25" w:name="page26"/>
    <w:bookmarkEnd w:id="25"/>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assets under management ended 2016 at $810.8 billion, an increase of $47.7 billion from the end of 2015. During 2016, market appreciation and income, net of distributions not reinvested, of $50.5 billion was offset in part by net cash outflows of $2.8 billion. Investment advisory clients outside the U.S. account for about 5% of our assets under management at December 31,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Assets under management by investment vehicle</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As of</w:t>
            </w: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8340" w:type="dxa"/>
            <w:vAlign w:val="bottom"/>
            <w:gridSpan w:val="6"/>
          </w:tcPr>
          <w:p>
            <w:pPr>
              <w:ind w:left="40"/>
              <w:spacing w:after="0"/>
              <w:rPr>
                <w:sz w:val="20"/>
                <w:szCs w:val="20"/>
                <w:color w:val="auto"/>
              </w:rPr>
            </w:pPr>
            <w:r>
              <w:rPr>
                <w:rFonts w:ascii="Arial" w:cs="Arial" w:eastAsia="Arial" w:hAnsi="Arial"/>
                <w:sz w:val="14"/>
                <w:szCs w:val="14"/>
                <w:color w:val="auto"/>
              </w:rPr>
              <w:t>(in billions)</w:t>
            </w: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w w:val="97"/>
              </w:rPr>
              <w:t>December 31,</w:t>
            </w: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90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CCEEFF"/>
              <w:bottom w:val="single" w:sz="8" w:color="CCEEFF"/>
            </w:tcBorders>
            <w:shd w:val="clear" w:color="auto" w:fill="CCEEFF"/>
          </w:tcPr>
          <w:p>
            <w:pPr>
              <w:spacing w:after="0"/>
              <w:rPr>
                <w:sz w:val="23"/>
                <w:szCs w:val="23"/>
                <w:color w:val="auto"/>
              </w:rPr>
            </w:pPr>
          </w:p>
        </w:tc>
        <w:tc>
          <w:tcPr>
            <w:tcW w:w="46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3"/>
                <w:szCs w:val="23"/>
                <w:color w:val="auto"/>
              </w:rPr>
            </w:pPr>
          </w:p>
        </w:tc>
      </w:tr>
      <w:tr>
        <w:trPr>
          <w:trHeight w:val="237"/>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Sponsored U.S. mutual funds</w:t>
            </w:r>
          </w:p>
        </w:tc>
        <w:tc>
          <w:tcPr>
            <w:tcW w:w="96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487.1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514.2</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276.0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296.6</w:t>
            </w:r>
          </w:p>
        </w:tc>
        <w:tc>
          <w:tcPr>
            <w:tcW w:w="20" w:type="dxa"/>
            <w:vAlign w:val="bottom"/>
          </w:tcPr>
          <w:p>
            <w:pPr>
              <w:spacing w:after="0"/>
              <w:rPr>
                <w:sz w:val="23"/>
                <w:szCs w:val="23"/>
                <w:color w:val="auto"/>
              </w:rPr>
            </w:pPr>
          </w:p>
        </w:tc>
      </w:tr>
      <w:tr>
        <w:trPr>
          <w:trHeight w:val="257"/>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Total assets under management</w:t>
            </w:r>
          </w:p>
        </w:tc>
        <w:tc>
          <w:tcPr>
            <w:tcW w:w="960" w:type="dxa"/>
            <w:vAlign w:val="bottom"/>
            <w:tcBorders>
              <w:top w:val="single" w:sz="8" w:color="auto"/>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763.1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810.8</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7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34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Assets under management by asset class</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rPr>
              <w:t>As of</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64"/>
        </w:trPr>
        <w:tc>
          <w:tcPr>
            <w:tcW w:w="8340" w:type="dxa"/>
            <w:vAlign w:val="bottom"/>
            <w:gridSpan w:val="6"/>
          </w:tcPr>
          <w:p>
            <w:pPr>
              <w:ind w:left="40"/>
              <w:spacing w:after="0"/>
              <w:rPr>
                <w:sz w:val="20"/>
                <w:szCs w:val="20"/>
                <w:color w:val="auto"/>
              </w:rPr>
            </w:pPr>
            <w:r>
              <w:rPr>
                <w:rFonts w:ascii="Arial" w:cs="Arial" w:eastAsia="Arial" w:hAnsi="Arial"/>
                <w:sz w:val="14"/>
                <w:szCs w:val="14"/>
                <w:color w:val="auto"/>
              </w:rPr>
              <w:t>(in billions)</w:t>
            </w: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auto"/>
                <w:w w:val="95"/>
              </w:rPr>
              <w:t>December 31,</w:t>
            </w: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90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CCEEFF"/>
              <w:bottom w:val="single" w:sz="8" w:color="CCEEFF"/>
            </w:tcBorders>
            <w:shd w:val="clear" w:color="auto" w:fill="CCEEFF"/>
          </w:tcPr>
          <w:p>
            <w:pPr>
              <w:spacing w:after="0"/>
              <w:rPr>
                <w:sz w:val="23"/>
                <w:szCs w:val="23"/>
                <w:color w:val="auto"/>
              </w:rPr>
            </w:pPr>
          </w:p>
        </w:tc>
        <w:tc>
          <w:tcPr>
            <w:tcW w:w="46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439.4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Asset allocation</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8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9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763.1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20" w:type="dxa"/>
            <w:vAlign w:val="bottom"/>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target date retirement portfolios, which invest in a broadly diversified portfolio of other T. Rowe Price funds or T. Rowe Price collective investment trusts and automatically rebalance to maintain their specific asset allocation weightings, continue to be a significant part of our assets under management. Assets under management at December 31, 2016, in these target date portfolios totaled $189.2 billion, including $150.9 billion in target date retirement funds and $38.3 billion in target date retirement trusts.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 changes in assets under management for 2014, 2015, and 2016.</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Sponsored U.S.</w:t>
            </w:r>
          </w:p>
        </w:tc>
        <w:tc>
          <w:tcPr>
            <w:tcW w:w="15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investment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mutual funds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5"/>
              </w:rPr>
              <w:t>portfolios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Total</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Assets under management at December 31, 2013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692.4</w:t>
            </w: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cash flows before client transfers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 transfers from mutual funds to other portfolios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Net cash flows after client transfers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market appreciation and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Distributions not reinvested</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during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r>
      <w:tr>
        <w:trPr>
          <w:trHeight w:val="277"/>
        </w:trPr>
        <w:tc>
          <w:tcPr>
            <w:tcW w:w="6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under management at December 31, 2014</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746.8</w:t>
            </w:r>
          </w:p>
        </w:tc>
      </w:tr>
      <w:tr>
        <w:trPr>
          <w:trHeight w:val="277"/>
        </w:trPr>
        <w:tc>
          <w:tcPr>
            <w:tcW w:w="6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before client transfers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Client transfers from mutual funds to other portfolios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after client transfers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market appreciation and income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w:t>
            </w: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not reinvested</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Change during the period</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2760" w:type="dxa"/>
            <w:vAlign w:val="bottom"/>
            <w:gridSpan w:val="4"/>
          </w:tcPr>
          <w:p>
            <w:pPr>
              <w:jc w:val="right"/>
              <w:ind w:right="82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42"/>
        </w:trPr>
        <w:tc>
          <w:tcPr>
            <w:tcW w:w="4520" w:type="dxa"/>
            <w:vAlign w:val="bottom"/>
          </w:tcPr>
          <w:p>
            <w:pPr>
              <w:ind w:left="20"/>
              <w:spacing w:after="0"/>
              <w:rPr>
                <w:sz w:val="20"/>
                <w:szCs w:val="20"/>
                <w:color w:val="auto"/>
              </w:rPr>
            </w:pPr>
            <w:r>
              <w:rPr>
                <w:rFonts w:ascii="Arial" w:cs="Arial" w:eastAsia="Arial" w:hAnsi="Arial"/>
                <w:sz w:val="18"/>
                <w:szCs w:val="18"/>
                <w:color w:val="auto"/>
              </w:rPr>
              <w:t>Assets under management at December 31, 2015</w:t>
            </w:r>
          </w:p>
        </w:tc>
        <w:tc>
          <w:tcPr>
            <w:tcW w:w="660" w:type="dxa"/>
            <w:vAlign w:val="bottom"/>
          </w:tcPr>
          <w:p>
            <w:pPr>
              <w:spacing w:after="0"/>
              <w:rPr>
                <w:sz w:val="24"/>
                <w:szCs w:val="24"/>
                <w:color w:val="auto"/>
              </w:rPr>
            </w:pPr>
          </w:p>
        </w:tc>
        <w:tc>
          <w:tcPr>
            <w:tcW w:w="1280" w:type="dxa"/>
            <w:vAlign w:val="bottom"/>
            <w:tcBorders>
              <w:top w:val="single" w:sz="8" w:color="006EBF"/>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763.1</w:t>
            </w:r>
          </w:p>
        </w:tc>
      </w:tr>
      <w:tr>
        <w:trPr>
          <w:trHeight w:val="27"/>
        </w:trPr>
        <w:tc>
          <w:tcPr>
            <w:tcW w:w="4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45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Net cash flows before client transfers</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 transfers from mutual funds to other portfolios</w:t>
            </w:r>
          </w:p>
        </w:tc>
        <w:tc>
          <w:tcPr>
            <w:tcW w:w="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Net cash flows after client transfers</w:t>
            </w: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market appreciation and income</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Distributions not reinvested</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5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during the period</w:t>
            </w:r>
          </w:p>
        </w:tc>
        <w:tc>
          <w:tcPr>
            <w:tcW w:w="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r>
      <w:tr>
        <w:trPr>
          <w:trHeight w:val="277"/>
        </w:trPr>
        <w:tc>
          <w:tcPr>
            <w:tcW w:w="4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under management at December 31, 2016</w:t>
            </w:r>
          </w:p>
        </w:tc>
        <w:tc>
          <w:tcPr>
            <w:tcW w:w="27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2014, the majority of the assets transferred by clients from our sponsored mutual funds to our other investment portfolios disclosed in the table above were moved from our target date retirement funds to our collective investment trusts and target date retirement trusts. In 2015 and 2016, assets were transferred from both target date retirement funds and other mutual funds to our collective investment trusts, target date retirement trusts, and separate accounts.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net cash flows after client transfers (in billions), by investment vehicle and asset class, over the last three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5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Sponsored U.S. 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60"/>
              <w:spacing w:after="0"/>
              <w:rPr>
                <w:sz w:val="20"/>
                <w:szCs w:val="20"/>
                <w:color w:val="auto"/>
              </w:rPr>
            </w:pPr>
            <w:r>
              <w:rPr>
                <w:rFonts w:ascii="Arial" w:cs="Arial" w:eastAsia="Arial" w:hAnsi="Arial"/>
                <w:sz w:val="18"/>
                <w:szCs w:val="18"/>
                <w:color w:val="auto"/>
              </w:rPr>
              <w:t>Stock and blended asset funds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740" w:type="dxa"/>
            <w:vAlign w:val="bottom"/>
          </w:tcPr>
          <w:p>
            <w:pPr>
              <w:ind w:left="6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Other investment portfolios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 and blended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740" w:type="dxa"/>
            <w:vAlign w:val="bottom"/>
          </w:tcPr>
          <w:p>
            <w:pPr>
              <w:ind w:left="60"/>
              <w:spacing w:after="0"/>
              <w:rPr>
                <w:sz w:val="20"/>
                <w:szCs w:val="20"/>
                <w:color w:val="auto"/>
              </w:rPr>
            </w:pPr>
            <w:r>
              <w:rPr>
                <w:rFonts w:ascii="Arial" w:cs="Arial" w:eastAsia="Arial" w:hAnsi="Arial"/>
                <w:sz w:val="18"/>
                <w:szCs w:val="18"/>
                <w:color w:val="auto"/>
              </w:rPr>
              <w:t>Fixed income, money market, and stable value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cash flows after client transfers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cash flows after client transfers originating in target date</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2"/>
        </w:trPr>
        <w:tc>
          <w:tcPr>
            <w:tcW w:w="6740" w:type="dxa"/>
            <w:vAlign w:val="bottom"/>
          </w:tcPr>
          <w:p>
            <w:pPr>
              <w:ind w:left="20"/>
              <w:spacing w:after="0"/>
              <w:rPr>
                <w:sz w:val="20"/>
                <w:szCs w:val="20"/>
                <w:color w:val="auto"/>
              </w:rPr>
            </w:pPr>
            <w:r>
              <w:rPr>
                <w:rFonts w:ascii="Arial" w:cs="Arial" w:eastAsia="Arial" w:hAnsi="Arial"/>
                <w:sz w:val="18"/>
                <w:szCs w:val="18"/>
                <w:color w:val="auto"/>
              </w:rPr>
              <w:t>retirement portfolios</w:t>
            </w:r>
          </w:p>
        </w:tc>
        <w:tc>
          <w:tcPr>
            <w:tcW w:w="3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net cash inflows in our sponsored U.S. mutual funds over the last three years were sourced primarily from third-party financial intermediaries across various mandates as detailed below.</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2014, the net outflows from our other investment portfolios were primarily from a few institutional and subadvisory clients who redeemed significant amounts from a small number of equity and fixed income strategies. In 2015, the net inflows in our other investment portfolios resulted primarily from the client transfers received from the mutual funds. The net outflows prior to the transfers into these portfolios were largely concentrated among a small number of institutional clients who redeemed primarily from large-cap U.S. equity strategies. In 2016, our net cash outflows are largely attributable to institutional and intermediary clients reallocating to passive investments and the impact of our closed investment strategies. The general trend to passive also impacted the net cash flows originating in our target date retirement portfolios. This trend has been persistent and has accelerated in recent years. However, over the long term we expect well-executed active management to play an important role for investors, and we are reinvesting in our company with the objective of delivering strong investment performance and excellent client service like we have historically achieved.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108" w:right="239" w:bottom="1440" w:gutter="0" w:footer="0" w:header="0"/>
        </w:sectPr>
      </w:pPr>
    </w:p>
    <w:bookmarkStart w:id="27" w:name="page28"/>
    <w:bookmarkEnd w:id="2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INVESTMENT PERFORMANCE.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Although investment performance relative to our peers has weakened in 2016, it has been strong over the longer term. The percentage of our Price Funds across their share classes that outperformed their comparable Lipper averages on a total return basis and percentage in top Lipper quartile for the 1-, 3-, 5- and 10-years ended December 31, 2016, were: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 year</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11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equity</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51%</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93%</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94%</w:t>
            </w:r>
          </w:p>
        </w:tc>
      </w:tr>
      <w:tr>
        <w:trPr>
          <w:trHeight w:val="27"/>
        </w:trPr>
        <w:tc>
          <w:tcPr>
            <w:tcW w:w="6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76%</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77%</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46%</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46%</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68%</w:t>
            </w:r>
          </w:p>
        </w:tc>
      </w:tr>
      <w:tr>
        <w:trPr>
          <w:trHeight w:val="27"/>
        </w:trPr>
        <w:tc>
          <w:tcPr>
            <w:tcW w:w="6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allocation</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97%</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All Price Funds (across their share classes)</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53%</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84%</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80%</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86%</w:t>
            </w:r>
          </w:p>
        </w:tc>
      </w:tr>
      <w:tr>
        <w:trPr>
          <w:trHeight w:val="27"/>
        </w:trPr>
        <w:tc>
          <w:tcPr>
            <w:tcW w:w="6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Price Funds in top Lipper quartile</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26%</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54%</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addition, nearly 86% of our Price Funds' assets under management ended December 31, 2016, with an overall rating of four or five stars from Morningstar.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performance of our institutional strategies against their benchmarks weakened in 2016 but remains very competitive over longer time periods.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table below presents financial results on a U.S. GAAP basis, as well as a non-GAAP basis to adjust for the non-recurring charge related to the Dell appraisal rights matter, the impact of the consolidated sponsored investment portfolios, and other non-operating income. We believe the non-GAAP financial measures below provide relevant and meaningful information to investors about our core operating results.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3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8"/>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Dollar change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620" w:type="dxa"/>
            <w:vAlign w:val="bottom"/>
            <w:tcBorders>
              <w:top w:val="single" w:sz="8" w:color="CCEEFF"/>
            </w:tcBorders>
            <w:shd w:val="clear" w:color="auto" w:fill="CCEEFF"/>
          </w:tcPr>
          <w:p>
            <w:pPr>
              <w:spacing w:after="0"/>
              <w:rPr>
                <w:sz w:val="24"/>
                <w:szCs w:val="24"/>
                <w:color w:val="auto"/>
              </w:rPr>
            </w:pPr>
          </w:p>
        </w:tc>
        <w:tc>
          <w:tcPr>
            <w:tcW w:w="344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r>
      <w:tr>
        <w:trPr>
          <w:trHeight w:val="203"/>
        </w:trPr>
        <w:tc>
          <w:tcPr>
            <w:tcW w:w="64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4,222.9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2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03"/>
        </w:trPr>
        <w:tc>
          <w:tcPr>
            <w:tcW w:w="642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23"/>
                <w:szCs w:val="23"/>
                <w:b w:val="1"/>
                <w:bCs w:val="1"/>
                <w:color w:val="auto"/>
                <w:vertAlign w:val="superscript"/>
              </w:rPr>
              <w:t>(2)</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3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4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Ending assets under management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ind w:left="140" w:hanging="132"/>
        <w:spacing w:after="0" w:line="205"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Non-operating income varies from year to year due to a number of factors; accordingly the percentage change in non-operating income is not believed to be meaningful.</w:t>
      </w:r>
    </w:p>
    <w:p>
      <w:pPr>
        <w:ind w:left="140" w:hanging="132"/>
        <w:spacing w:after="0"/>
        <w:tabs>
          <w:tab w:leader="none" w:pos="140" w:val="left"/>
        </w:tabs>
        <w:numPr>
          <w:ilvl w:val="0"/>
          <w:numId w:val="16"/>
        </w:numPr>
        <w:rPr>
          <w:rFonts w:ascii="Arial" w:cs="Arial" w:eastAsia="Arial" w:hAnsi="Arial"/>
          <w:sz w:val="8"/>
          <w:szCs w:val="8"/>
          <w:i w:val="1"/>
          <w:iCs w:val="1"/>
          <w:color w:val="auto"/>
        </w:rPr>
      </w:pPr>
      <w:r>
        <w:rPr>
          <w:rFonts w:ascii="Arial" w:cs="Arial" w:eastAsia="Arial" w:hAnsi="Arial"/>
          <w:sz w:val="10"/>
          <w:szCs w:val="10"/>
          <w:i w:val="1"/>
          <w:iCs w:val="1"/>
          <w:color w:val="auto"/>
        </w:rPr>
        <w:t>See the reconciliation to the comparable U.S. GAAP measures at the end of the Results of Operations sections of Part II, Item 7 - Management's Discussion and Analysis of Financial Condition and Results of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27</w:t>
      </w:r>
    </w:p>
    <w:p>
      <w:pPr>
        <w:sectPr>
          <w:pgSz w:w="11900" w:h="16838" w:orient="portrait"/>
          <w:cols w:equalWidth="0" w:num="1">
            <w:col w:w="11420"/>
          </w:cols>
          <w:pgMar w:left="240" w:top="125" w:right="239" w:bottom="1440" w:gutter="0" w:footer="0" w:header="0"/>
          <w:type w:val="continuous"/>
        </w:sectPr>
      </w:pPr>
    </w:p>
    <w:bookmarkStart w:id="28" w:name="page29"/>
    <w:bookmarkEnd w:id="2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detailed in the table above, the percentage increase in investment advisory revenues in 2016 was in line with the increase in our average assets under management. We waived $10.5 million in money market-related fees (including advisory fees and fund expenses) in 2016, a decrease of $37.1 million from the $47.6 million waived in the 2015 period. The fee waivers in 2016 represent less than .5% of total investment advisory revenues earned during the same period. These fees were waived from certain of our money market mutual funds and trusts, which have combined net assets of $15.7 billion at December 31, 2016. We expect money market fee waivers, if any, will be insignificant in 2017. The annual fee rate earned on our assets under management was 47.9 basis points in 2016, virtually unchanged from the 48.0 basis points earned in 2015. The impact on our effective fee rate from the reduction in money market waivers in 2016 was offset by effective fee rate reductions in certain of our sponsored U.S. mutual funds.</w:t>
      </w:r>
    </w:p>
    <w:p>
      <w:pPr>
        <w:spacing w:after="0" w:line="17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operating expenses include a non-recurring charge, net of insurance recovery, of $66.2 million, or $.15 per share after tax related to the Dell appraisal rights matter. In 2016, we paid our clients $166.2 million to compensate them for the denial of their appraisal rights in connection with the 2013 leveraged buyout of Dell. We made claims with our insurance carriers and, on December 30, 2016, entered into an agreement with our primary insurance carrier to recover $100 million from the claim. The insurance proceeds were recognized as an offset to the related $166.2 million charge recognized in the second quarter of 2016. Remaining insurance claims filed with respect to this matter that could result in an additional recovery of up to $50 million are still pending.</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operating margin in 2016 was 41.0% compared to 45.2% in the 2015 period. Without the impact of the non-recurring charge relating to the Dell appraisal rights matter, our operating margin in 2016 would have been 42.6%. The additional decline in our 2016 operating margin results primarily from the investments we have been making to broaden and deepen our investment management, distribution, and service capabilities around the world.</w:t>
      </w:r>
    </w:p>
    <w:p>
      <w:pPr>
        <w:spacing w:after="0" w:line="147"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 xml:space="preserve">Our 2016 results were significantly impacted by the adoption of new accounting guidance related to consolidation and stock-based compensation. The impacts of implementing this new guidance is discussed in more detail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of our consolidated financial statements contained in Item 8 of this filing.</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impact (in millions) the consolidated sponsored investment portfolios have on the individual lines of our 2016 consolidated statement of income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9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firm's interest in the consolidated sponsored investment portfolios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1.4%, or $37.5 million, to $2.7 billion. Average mutual fund assets in 2016 were $495.5 billion, an increase of .4% from the average for the comparable 2015 period. The increase in advisory revenues was due in part to the reduction in money market fee waivers realized in 2016 compared with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on the other investment portfolios for 2016 were $1,023.3 million, an increase of $3.9 million, or .4%, from the</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$1,019.4 million earned in 2015. Average assets in these portfolios were $282.7 billion during 2016, up 3.1% from the comparable 2015 period. In 2016, our advisory revenues are presented net of $7.0 million related to the elimination of management fees earned on the net assets of certain of our consolidated sponsored investment portfolios. We eliminated these advisory fees in preparing our consolidated financial statements.</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Administrative fee revenues decreased $9.3 million to $352.5 million in 2016. The decrease is primarily attributable to transfer agent servicing activities provided to the mutual funds and their investors, as well as the shift of fund accounting and portfolio recordkeeping operations to BNY Mellon that, prior to August 2015, we provided to our sponsored U.S. mutual funds. Changes in administrative fee revenues are generally offset by similar changes in related operating expenses that are incurred to provide services to the funds and their investors.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II Class shares of our sponsored portfolios were $141.7 million in 2016, a decrease of $9.8 million from the comparable 2015 period on lower average assets under management in these share classes. The 12b-1 fees earned are offset entirely by the costs paid to third- party intermediaries who source these assets. These costs are reported as distribution and servicing costs in the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related costs was $1,494.0 million in 2016, an increase of $50.4 million, or 3.5%, compared to the 2015 period. The largest part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is attributable to a $56.7 million increase in salaries and related benefits, which resulted from a modest increase in salaries at the beginning of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combined with a 3.2% increase in average headcount from 2015. Noncash stock-based compensation expense and annual variable compensation were 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 million and $4.9 million, respectively. These increases were offset by a higher level of technology labor capitalized in 2016 compared with 2015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in temporary labor cost as the 2016 projects used more professional service resources. The overall increase in compensation and related costs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average staff size from 2015 were muted by lower compensation costs resulting from shifting 210 associates in August 2015 to BNY Mellon and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ongoing transition support we provide to them. However, these lower compensation costs are generally offset by increases in costs paid to BNY Mellon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 these administrative services and other transition-related activities, which are reflected in other operating expenses.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Advertising and promotion costs were $79.9 million in 2016 compared with $79.7 million in 2015. We currently expect advertising and promotion costs for 2017 to be up to 10% higher than the 2016 year as we execute on a number of strategic initiatives.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$20.7 million, or 7.3%, compared to 2015. The increase is primarily attributable to the added costs to update and enhance technology capabilities, including related maintenance programs.</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Other operating expenses were $401.5 million in 2016, an increase of $60.1 million from 2015. About half of this increase is attributable to costs being paid to BNY Mellon since August 2015 for the performance of certain administrative services, as mentioned above. The increase also includes $6.5 million in operating expenses, net of investment advisory fees earned by us, of those sponsored investment portfolios that we began consolidating at the beginning of 2016. The remaining balance of the change is due to increased business demands and our continued investment in capabilities.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non-operating investment activity during 2016 resulted in income of $227.1 million compared with $103.5 million in 2015. The following table details the components of non-operating income (in millions) during the 2015 and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Other-than-temporary impairments of available-for-sale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gains (losses) recognized on deconsolidation of sponsored funds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and capital gain dividends from sponsored fund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 gains (losses) on sponsored equity method and trading investments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income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investment income on consolidated sponsored investment portfolios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119.6</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57"/>
        </w:trPr>
        <w:tc>
          <w:tcPr>
            <w:tcW w:w="732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227.1</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123.6</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investment gains on sponsored equity method and trading investments is driven by an increase in the number of sponsored funds accounted for as equity method investments as well as market gains. The investment income on consolidated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125" w:right="239" w:bottom="1440" w:gutter="0" w:footer="0" w:header="0"/>
        </w:sectPr>
      </w:pPr>
    </w:p>
    <w:bookmarkStart w:id="30" w:name="page31"/>
    <w:bookmarkEnd w:id="30"/>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sponsored investment portfolios has increased in 2016 as the number of portfolios we consolidate, as discussed earlier in this section, increased significantly upon the adoption of the new consolidation accounting guidance. See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consolidated financial statements contained in Part II, Item 8 of this filing for more information related to the impact of the guidance.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Our effective tax rate for 2016 was 36.0% compared to 38.9% in 2015. The decrease in the effective tax rate is related in part to the increase in net income attributable to redeemable non-controlling interest related to our consolidated sponsored investment portfolios as we do not recognize taxes associated with these earnings. Additionally, the estimated effective tax rate has declined as a result of adopting the new stock-based compensation accounting guidance as discussed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consolidated financial statements contained in Part II, Item 8 of this filing. Under the new guidance, tax benefits and shortfalls on exercised options and vested restricted stock relative to the stock-based compensation expense recognized are included in the provision for income taxes rather than as additional paid in capital on the consolidated balance sheet. Our effective income tax rate also reflects the relative contribution of pretax income generated by our foreign subsidiaries that are subject to tax rates lower than our U.S. rates. Changes in the relative contribution of pretax income from U.S. and foreign sources or changes in tax rates in relevant jurisdictions may affect our effective income tax rate and overall net income in the future. We currently estimate that our effective tax rate for 2017 to be 36.5%. Our 2017 estimate assumes the tax benefits related to stock-based compensation will be similar to those realized in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versus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100330</wp:posOffset>
            </wp:positionV>
            <wp:extent cx="71608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31750</wp:posOffset>
            </wp:positionV>
            <wp:extent cx="18522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Dollar change</w:t>
            </w:r>
          </w:p>
        </w:tc>
        <w:tc>
          <w:tcPr>
            <w:tcW w:w="1480" w:type="dxa"/>
            <w:vAlign w:val="bottom"/>
          </w:tcPr>
          <w:p>
            <w:pPr>
              <w:jc w:val="right"/>
              <w:spacing w:after="0"/>
              <w:rPr>
                <w:sz w:val="20"/>
                <w:szCs w:val="20"/>
                <w:color w:val="auto"/>
              </w:rPr>
            </w:pPr>
            <w:r>
              <w:rPr>
                <w:rFonts w:ascii="Arial" w:cs="Arial" w:eastAsia="Arial" w:hAnsi="Arial"/>
                <w:sz w:val="18"/>
                <w:szCs w:val="18"/>
                <w:color w:val="auto"/>
                <w:w w:val="88"/>
              </w:rPr>
              <w:t>Percentage change</w:t>
            </w:r>
          </w:p>
        </w:tc>
      </w:tr>
      <w:tr>
        <w:trPr>
          <w:trHeight w:val="27"/>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millions, except per-share data)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3,464.5</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3,687.3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2,091.2</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2,301.7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Investment advisory revenues earned in 2015 increased over 2014 as our average assets under management increased $43.2 billion, or 6.0%, to $767.9 billion. The average annualized fee rate earned on our assets under management was 48.0 basis points in 2015, up from the 47.8 basis points earned in 2014, as money market fee waivers declined and equity valuations, which on average carry a higher fee rate, increased in 2015. We waived $47.6 million in money market-related fees in 2015, including advisory fees and fund expenses, a decrease of $10.8 million from the $58.4 million waived in 2014. The fee waivers in 2015 represent 1.3% of total investment advisory revenues earned during the same period. Fees were waived from all our money market mutual funds and trusts, which have combined net assets of $15.7 billion at December 31, 2015.</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operating margin in 2015 was 45.2% compared to 47.5% in the 2014 period. The decline is a result of the investments we have been making to broaden and deepen our investment management, distribution, and service capabilities around the world despite the impact of market volatility on our net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7.3%, or $182.1 million, to nearly $2.7 billion, on higher average mutual fund assets. Average mutual fund assets in 2015 were $493.6 billion, an increase of 7.1% from the average for the comparable 2014 period.</w:t>
      </w:r>
    </w:p>
    <w:p>
      <w:pPr>
        <w:spacing w:after="0" w:line="181"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Investment advisory revenues earned on the other investment portfolios in 2015 were $1.0 billion, an increase of $40.7 million, or 4.2%, from the $978.7 million earned in the comparable 2014 period. Average assets in these portfolios were $274.3 billion in 2015, up 4.0% from the comparable 2014 period.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125" w:right="239" w:bottom="1440" w:gutter="0" w:footer="0" w:header="0"/>
        </w:sectPr>
      </w:pPr>
    </w:p>
    <w:bookmarkStart w:id="31" w:name="page32"/>
    <w:bookmarkEnd w:id="31"/>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Administrative fee revenues decreased $12.2 million to $361.8 million in 2015. The decrease includes the reduction in certain administrative service fee rates paid by certain fund shareholders at the beginning of 2015. Additionally, fees earned from the mutual funds for fund accounting has declined in 2015 compared to 2014, as such services began to be performed by BNY Mellon in August 2015. The mutual funds have contracted directly with BNY Mellon to provide such services. Changes in administrative fee revenues are generally offset by similar changes in related operating expenses that are incurred to provide services to the funds and their investors.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Class, R Class, and Variable Annuity II Class shares of our sponsored portfolios were $151.5 million in 2015, an increase of $7.9 million from 2014 on greater average assets under management in these share classes. The 12b-1 fees earned are offset entirely by the costs paid to third-party intermediaries who source these assets. These costs are reported as distribution and servicing costs in the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Compensation and related costs were $1.4 billion in 2015, an increase of $114.0 million, or 8.6%, compared to 2014. The largest part of the increase is attributable to a $52.6 million increase in salaries and related benefits and a $43.0 million increase in our annual variable compensation program. Our average staff size in 2015 increased 3.7% over 2014, and we employed 5,999 associates at December 31, 2015. Higher noncash stock-based compensation expense and temporary staff expense account for the remainder of the increase in compensation and related costs in the 2015 period. The increase in compensation and related costs and our average staff size were muted by the lower compensation costs resulting from shifting 210 associates and providing ongoing transition support to BNY Mellon, with whom we contracted to provide fund accounting and recordkeeping operations. However, these lower compensation costs are offset by increases in costs paid to BNY Mellon to provide these administrative services, which are reflected in other operating expenses.</w:t>
      </w:r>
    </w:p>
    <w:p>
      <w:pPr>
        <w:spacing w:after="0" w:line="16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Advertising and promotion costs were $79.7 million in 2015, an increase of $3.7 million from 2014. The higher cost is primarily attributable to the creation and launch of a new advertising campaign and increased participation in promotional activities as we broaden our distribution reach.</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$29.9 million, or 11.7%, compared to 2014. The increase is primarily attributable to the added costs to update and enhance technology capabilities, including related maintenance programs.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were $341.4 million in 2015, an increase of $55.0 million from 2014. About a third of the increase is attributable to costs being paid to BNY Mellon since August 2015 for the performance of certain administrative services. The balance of the change is due to increased business demands and our continued investment in capabilities. These costs include information and third-party service costs, costs related to our defined contribution recordkeeping business, travel-related costs, and other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00"/>
          </w:cols>
          <w:pgMar w:left="240" w:top="125" w:right="259" w:bottom="1440" w:gutter="0" w:footer="0" w:header="0"/>
        </w:sectPr>
      </w:pPr>
    </w:p>
    <w:bookmarkStart w:id="32" w:name="page33"/>
    <w:bookmarkEnd w:id="32"/>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non-operating investment activity during 2015 resulted in income of $103.5 million, a decrease of $8.7 million from 2014. Net losses recognized on our sponsored fund investments of $12.3 million were offset in part by other investment income of $3.6 million. The following table details the components of non-operating investment income (in millions) during 2014 and 2015.</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140" w:type="dxa"/>
            <w:vAlign w:val="bottom"/>
            <w:shd w:val="clear" w:color="auto" w:fill="CCEEFF"/>
          </w:tcPr>
          <w:p>
            <w:pPr>
              <w:spacing w:after="0"/>
              <w:rPr>
                <w:sz w:val="22"/>
                <w:szCs w:val="22"/>
                <w:color w:val="auto"/>
              </w:rPr>
            </w:pPr>
          </w:p>
        </w:tc>
        <w:tc>
          <w:tcPr>
            <w:tcW w:w="286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Year ended December 31,</w:t>
            </w: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614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7"/>
              </w:rPr>
              <w:t>Dollar change</w:t>
            </w:r>
          </w:p>
        </w:tc>
      </w:tr>
      <w:tr>
        <w:trPr>
          <w:trHeight w:val="27"/>
        </w:trPr>
        <w:tc>
          <w:tcPr>
            <w:tcW w:w="6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6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Net gains realized on sponsored fund dispositions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and capital gain dividends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Other-than-temporary impairment</w:t>
            </w:r>
          </w:p>
        </w:tc>
        <w:tc>
          <w:tcPr>
            <w:tcW w:w="1040" w:type="dxa"/>
            <w:vAlign w:val="bottom"/>
          </w:tcPr>
          <w:p>
            <w:pPr>
              <w:spacing w:after="0"/>
              <w:rPr>
                <w:sz w:val="21"/>
                <w:szCs w:val="21"/>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(losses) on equity method fund holdings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Net losses recognized on trading securities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recognized on deconsolidation of a sponsored fund</w:t>
            </w: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Net investment gains recognized on sponsored funds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 income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57"/>
        </w:trPr>
        <w:tc>
          <w:tcPr>
            <w:tcW w:w="614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112.2</w:t>
            </w:r>
          </w:p>
        </w:tc>
        <w:tc>
          <w:tcPr>
            <w:tcW w:w="2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103.5</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6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net loss recognized on deconsolidation represents the reclassification of a foreign currency loss that was accumulated in other comprehensive income from the date we made our initial seed capital investment in an Australian dollar-denominated fund. Since the deconsolidation, we are accounting for the investment under the equity method of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effective tax rate was 38.9% in 2015 compared to 38.6% in 2014. Our effective income tax rate reflects the relative contribution of pretax income generated by our foreign subsidiaries that are subject to tax rates lower than our U.S.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125" w:right="259" w:bottom="1440" w:gutter="0" w:footer="0" w:header="0"/>
        </w:sectPr>
      </w:pPr>
    </w:p>
    <w:bookmarkStart w:id="33" w:name="page34"/>
    <w:bookmarkEnd w:id="3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 The following schedule reconciles (in millions, except for per-share amounts) U.S. GAAP financial measures to non-GAAP measures for each of the last five years.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millions, except for per-share amounts</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6"/>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Expenses of consolidated sponsored investment portfolios, net of</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526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elimination of our related management fee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Nonrecurring charge related to Dell appraisal rights matter</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57"/>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expenses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1,846.8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2,416.8</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Net income attributable to T. Rowe Price Group, Inc., GAAP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Net income of consolidated sponsored investment portfolios, net of</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526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w w:val="95"/>
              </w:rPr>
              <w:t>Non-operating income, excluding impact of consolidated sponsored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5260" w:type="dxa"/>
            <w:vAlign w:val="bottom"/>
          </w:tcPr>
          <w:p>
            <w:pPr>
              <w:ind w:left="120"/>
              <w:spacing w:after="0" w:line="257" w:lineRule="exact"/>
              <w:rPr>
                <w:sz w:val="20"/>
                <w:szCs w:val="20"/>
                <w:color w:val="auto"/>
              </w:rPr>
            </w:pPr>
            <w:r>
              <w:rPr>
                <w:rFonts w:ascii="Arial" w:cs="Arial" w:eastAsia="Arial" w:hAnsi="Arial"/>
                <w:sz w:val="18"/>
                <w:szCs w:val="18"/>
                <w:color w:val="auto"/>
              </w:rPr>
              <w:t>investment portfolios</w:t>
            </w:r>
            <w:r>
              <w:rPr>
                <w:rFonts w:ascii="Arial" w:cs="Arial" w:eastAsia="Arial" w:hAnsi="Arial"/>
                <w:sz w:val="25"/>
                <w:szCs w:val="25"/>
                <w:color w:val="auto"/>
                <w:vertAlign w:val="superscript"/>
              </w:rPr>
              <w:t>(2)</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70"/>
        </w:trPr>
        <w:tc>
          <w:tcPr>
            <w:tcW w:w="52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Non-recurring charge related to Dell appraisal rights matter</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5260" w:type="dxa"/>
            <w:vAlign w:val="bottom"/>
            <w:tcBorders>
              <w:bottom w:val="single" w:sz="8" w:color="CCEEFF"/>
            </w:tcBorders>
          </w:tcPr>
          <w:p>
            <w:pPr>
              <w:ind w:left="120"/>
              <w:spacing w:after="0" w:line="270" w:lineRule="exact"/>
              <w:rPr>
                <w:sz w:val="20"/>
                <w:szCs w:val="20"/>
                <w:color w:val="auto"/>
              </w:rPr>
            </w:pPr>
            <w:r>
              <w:rPr>
                <w:rFonts w:ascii="Arial" w:cs="Arial" w:eastAsia="Arial" w:hAnsi="Arial"/>
                <w:sz w:val="18"/>
                <w:szCs w:val="18"/>
                <w:color w:val="auto"/>
              </w:rPr>
              <w:t>Income tax impacts of non-GAAP adjustments</w:t>
            </w:r>
            <w:r>
              <w:rPr>
                <w:rFonts w:ascii="Arial" w:cs="Arial" w:eastAsia="Arial" w:hAnsi="Arial"/>
                <w:sz w:val="25"/>
                <w:szCs w:val="25"/>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42.8</w:t>
            </w: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Adjusted net income attributable to T. Rowe Price Group,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1,148.9</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Consolidated sponsored investment portfolios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w w:val="95"/>
              </w:rPr>
              <w:t>Non-operating income, excluding impact of consolidated sponsored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5260" w:type="dxa"/>
            <w:vAlign w:val="bottom"/>
          </w:tcPr>
          <w:p>
            <w:pPr>
              <w:ind w:left="120"/>
              <w:spacing w:after="0" w:line="257" w:lineRule="exact"/>
              <w:rPr>
                <w:sz w:val="20"/>
                <w:szCs w:val="20"/>
                <w:color w:val="auto"/>
              </w:rPr>
            </w:pPr>
            <w:r>
              <w:rPr>
                <w:rFonts w:ascii="Arial" w:cs="Arial" w:eastAsia="Arial" w:hAnsi="Arial"/>
                <w:sz w:val="18"/>
                <w:szCs w:val="18"/>
                <w:color w:val="auto"/>
              </w:rPr>
              <w:t>investment portfolios</w:t>
            </w:r>
            <w:r>
              <w:rPr>
                <w:rFonts w:ascii="Arial" w:cs="Arial" w:eastAsia="Arial" w:hAnsi="Arial"/>
                <w:sz w:val="25"/>
                <w:szCs w:val="25"/>
                <w:color w:val="auto"/>
                <w:vertAlign w:val="superscript"/>
              </w:rPr>
              <w:t>(2)</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52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Non-recurring charge related to Dell appraisal rights matter</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64"/>
        </w:trPr>
        <w:tc>
          <w:tcPr>
            <w:tcW w:w="526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5"/>
                <w:szCs w:val="25"/>
                <w:b w:val="1"/>
                <w:bCs w:val="1"/>
                <w:color w:val="auto"/>
                <w:vertAlign w:val="superscript"/>
              </w:rPr>
              <w:t>(5)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40" w:firstLine="8"/>
        <w:spacing w:after="0" w:line="274" w:lineRule="auto"/>
        <w:tabs>
          <w:tab w:leader="none" w:pos="192"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We implemented new consolidation accounting guidance on January 1, 2016, that resulted in a larger number of our sponsored investment portfolios, that we provide seed capital to at inception, to be consolidated in our financial statements as we were deemed to have a controlling financial interest. We now recognize investment gains and losses on a larger number of the investments in sponsored portfolios in our consolidated statement of income compared to our consolidated statement of comprehensive income in 2015. The non-GAAP adjustments add back the management fees we earn from the consolidated sponsored investment portfolios and remove the investment income and operating expenses of these portfolios that have been included in our U.S. GAAP consolidated statements of income. We believe the consolidated sponsored investment portfolios may impact the reader's ability to understand our core operating results. The following table details the amounts and consolidated statement of income line items in which the amounts were recognized: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6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gridSpan w:val="6"/>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92"/>
              </w:rPr>
              <w:t>Year ended December 31</w:t>
            </w: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of consolidated sponsored portfolios</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 of consolidated sponsored portfolios</w:t>
            </w:r>
          </w:p>
        </w:tc>
        <w:tc>
          <w:tcPr>
            <w:tcW w:w="7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of consolidated sponsored portfolios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5"/>
              </w:rPr>
              <w:t>Less: net income attributable to redeemable non-controlling interests</w:t>
            </w:r>
          </w:p>
        </w:tc>
        <w:tc>
          <w:tcPr>
            <w:tcW w:w="7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39.0</w:t>
            </w:r>
          </w:p>
        </w:tc>
      </w:tr>
      <w:tr>
        <w:trPr>
          <w:trHeight w:val="27"/>
        </w:trPr>
        <w:tc>
          <w:tcPr>
            <w:tcW w:w="5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Price's portion of net income</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80" w:right="80" w:hanging="172"/>
        <w:spacing w:after="0" w:line="262" w:lineRule="auto"/>
        <w:tabs>
          <w:tab w:leader="none" w:pos="196"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non-operating income that remains after backing out the portion related to the consolidated sponsored investment portfolios. We believe excluding non-operating income helps the reader's ability to understand the firm’s core operating results and increases comparability to prior years. Additionally, we do not emphasize the impact of non-operating income when managing our firm and evaluating our performance.</w:t>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50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gridSpan w:val="6"/>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92"/>
              </w:rPr>
              <w:t>Year ended December 31</w:t>
            </w: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227.1</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w w:val="96"/>
              </w:rPr>
              <w:t>Less: net investment income of consolidated sponsored portfolios</w:t>
            </w: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121.1</w:t>
            </w:r>
          </w:p>
        </w:tc>
      </w:tr>
      <w:tr>
        <w:trPr>
          <w:trHeight w:val="27"/>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non-operating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right="60" w:hanging="172"/>
        <w:spacing w:after="0" w:line="250" w:lineRule="auto"/>
        <w:tabs>
          <w:tab w:leader="none" w:pos="196"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As previously disclosed, we made the decision in 2016 to compensate certain clients in regard to the Dell appraisal rights matter. We also recognized an offset to this charge for a related insurance recovery. We believe it is useful to readers of our consolidated statement of income to adjust for this non-recurring charge, net of the insurance recovery, in arriving at adjusted operating expenses, net income attributable to T. Rowe Price Group, Inc., and diluted earnings per share, as this will aid with comparability to prior periods and analyzing our core business results.</w:t>
      </w:r>
    </w:p>
    <w:p>
      <w:pPr>
        <w:spacing w:after="0" w:line="182"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These were calculated using the effective tax rate applicable to the related items.</w:t>
      </w:r>
    </w:p>
    <w:p>
      <w:pPr>
        <w:spacing w:after="0" w:line="201" w:lineRule="exact"/>
        <w:rPr>
          <w:rFonts w:ascii="Arial" w:cs="Arial" w:eastAsia="Arial" w:hAnsi="Arial"/>
          <w:sz w:val="21"/>
          <w:szCs w:val="21"/>
          <w:color w:val="auto"/>
          <w:vertAlign w:val="superscript"/>
        </w:rPr>
      </w:pPr>
    </w:p>
    <w:p>
      <w:pPr>
        <w:ind w:left="180" w:right="40" w:hanging="172"/>
        <w:spacing w:after="0" w:line="227" w:lineRule="auto"/>
        <w:tabs>
          <w:tab w:leader="none" w:pos="21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Inc., divided by the weighted-average common shares outstanding assuming dilution.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2016, stockholders’ equity increased from $4.8 billion to $5.0 billion. Tangible book value increased to $4.3 billion at December 31, 2016. We paid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$2.16 per share in regular dividends in 2016, an increase of 3.8% over the $2.08 per share in regular dividends paid in 2015. Additionally, we expended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$676.9 million to repurchase 10.0 million shares, or 4.0%, of our outstanding common stock in 2016. These dividends and repurchases were expended using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cash balances and cash generated from operations. We will generally repurchase our common stock over time to offset the dilution created by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plans. In December 2016, our Board of Directors increased our share repurchase program by 12 million shares.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detailed below, we have returned $4.1 billion to stockholders over the last three years through stock repurchases, our regular quarterly dividends, and a special dividend in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Recurring dividend</w:t>
            </w:r>
          </w:p>
        </w:tc>
        <w:tc>
          <w:tcPr>
            <w:tcW w:w="24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274"/>
              <w:spacing w:after="0"/>
              <w:rPr>
                <w:sz w:val="20"/>
                <w:szCs w:val="20"/>
                <w:color w:val="auto"/>
              </w:rPr>
            </w:pPr>
            <w:r>
              <w:rPr>
                <w:rFonts w:ascii="Arial" w:cs="Arial" w:eastAsia="Arial" w:hAnsi="Arial"/>
                <w:sz w:val="14"/>
                <w:szCs w:val="14"/>
                <w:b w:val="1"/>
                <w:bCs w:val="1"/>
                <w:color w:val="auto"/>
                <w:w w:val="99"/>
              </w:rPr>
              <w:t>Special dividend</w:t>
            </w:r>
          </w:p>
        </w:tc>
        <w:tc>
          <w:tcPr>
            <w:tcW w:w="2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54"/>
              <w:spacing w:after="0"/>
              <w:rPr>
                <w:sz w:val="20"/>
                <w:szCs w:val="20"/>
                <w:color w:val="auto"/>
              </w:rPr>
            </w:pPr>
            <w:r>
              <w:rPr>
                <w:rFonts w:ascii="Arial" w:cs="Arial" w:eastAsia="Arial" w:hAnsi="Arial"/>
                <w:sz w:val="14"/>
                <w:szCs w:val="14"/>
                <w:b w:val="1"/>
                <w:bCs w:val="1"/>
                <w:color w:val="auto"/>
                <w:w w:val="92"/>
              </w:rPr>
              <w:t>Stock repurchases</w:t>
            </w:r>
          </w:p>
        </w:tc>
        <w:tc>
          <w:tcPr>
            <w:tcW w:w="2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Arial" w:cs="Arial" w:eastAsia="Arial" w:hAnsi="Arial"/>
                <w:sz w:val="14"/>
                <w:szCs w:val="14"/>
                <w:b w:val="1"/>
                <w:bCs w:val="1"/>
                <w:color w:val="auto"/>
                <w:w w:val="92"/>
              </w:rPr>
              <w:t>Total cash returned to</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462.1</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2,046.8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541.2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676.9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1,537.8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2,080.2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4,142.5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remain debt-free with ample liquidity, including cash and discretionary sponsored portfolio investment holdings of $1.9 billion at December 31, 2016. We also have seed capital investments in sponsored investment portfolios of $1.3 billion that are redeemable, although we generally expect to be invested for several years until unrelated third-party investors substantially reduce our relative ownership percentage. The cash and discretionary sponsored investment holdings held by our subsidiaries outside the U.S. is $.4 million at December 31, 2016.</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details (in millions) the line items of the consolidated balance sheet as of December 31, 2016, where our cash and discretionary sponsored portfolio investment holdings and seed capital investments are presented, as well as the amount of other investments we hold that make up the remainder of the investments line in the financial statements. The investment presentation on the consolidated balance sheet is based on the type of investment, as well as how we account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2"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Interest Held by 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3481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Cash and discretionary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Seed capital</w:t>
            </w:r>
          </w:p>
        </w:tc>
        <w:tc>
          <w:tcPr>
            <w:tcW w:w="13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7"/>
              </w:rPr>
              <w:t>Investment in UTI</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As reported on</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investments in</w:t>
            </w: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Redeemable non-</w:t>
            </w: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investments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sponsored</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280" w:type="dxa"/>
            <w:vAlign w:val="bottom"/>
          </w:tcPr>
          <w:p>
            <w:pPr>
              <w:spacing w:after="0"/>
              <w:rPr>
                <w:sz w:val="12"/>
                <w:szCs w:val="12"/>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balance sheet</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8"/>
              </w:rPr>
              <w:t>sponsored portfolios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portfolios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w w:val="91"/>
              </w:rPr>
              <w:t>controlling 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12/31/2016</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1,257.5</w:t>
            </w: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of consolidated sponsored</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927.7</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1,905.5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1,263.8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3,390.1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4,077.3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On January 1, 2016, we implemented new consolidation accounting guidance that resulted in the consolidation of sponsored investment portfolios in which we have a controlling interest. Our consolidated balance sheet now reflects the cash and cash equivalents, investments, other assets and liabilities of the sponsored portfolios, as well as redeemable non-controlling interests for the portion of the sponsored portfolios that are held by unrelated third-party investors. 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 Our interest in these sponsored investment portfolios was used as initial seed capital and is recategorized as discretionary when it is determined by management that the seed capital is no longer needed. We assess the discretionary investment portfolio and when we liquidate our interest, we do so in a way as to not impact the portfolio and, ultimately, the unrelated third-party investors.</w:t>
      </w:r>
    </w:p>
    <w:p>
      <w:pPr>
        <w:spacing w:after="0" w:line="1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anticipate property and equipment expenditures in 2017 to be up to $175 million, of which about two-thirds is planned for technology initiatives. Given the availability of our financial resources, we expect to fund our anticipated capital expenditures with operating resources and do not maintain an available external source of liquidity.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versus 2015.</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the cash flows (in millions) for 2016, that are attributable to T. Rowe Price Group, our consolidated sponsored investment portfolios, and the related eliminations required in preparing the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For year ended 12/31/2016</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Cash flow</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As reported for</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Cash flow</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 T.</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statement of cash</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12/31/2015</w:t>
            </w:r>
          </w:p>
        </w:tc>
        <w:tc>
          <w:tcPr>
            <w:tcW w:w="10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Rowe Price Group</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investment portfolios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flows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1,254.0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income to net cash provided by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3"/>
              </w:rPr>
              <w:t>Realized gains on dispositions of available-for-sale sponsored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0"/>
              </w:rPr>
              <w:t>Net change in trading securities held by consolidated sponsored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activities attributable to T. Rowe Price Group during 2016 provided cash flows of $1,343.7 million, a decrease of $186.8 million from the 2015 period. The decline is primarily related to the payments totaling $166.2 million we made in 2016 to compensate certain clients in regard to the Dell appraisal rights matter. We entered into an agreement on December 30, 2016, for a $100 million insurance recovery that we received in January 2017. The net cash provided by operating activities attributable to T. Rowe Price Group was offset in part by the net change in trading securities held in our consolidated sponsored investments’ underlying investment portfolios.</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cash used in investing activities that are attributable to T. Rowe Price Group totaled $219.7 million in 2016. In 2016, we provided $284.5 million in seed capital to new and existing sponsored investment portfolios. We utilized a portion of the $219.5 million in proceeds from the sale of certain available-for-sale investments and equity method investments in 2016 to fund these seed capital investments. Since we consolidate these sponsored investment portfolios, the seed capital that we provided was eliminated in preparing our consolidated statement of cash flow. In 2015, cash proceeds from the sale of certain sponsored fund holdings, net of new investments, resulted in investing cash flows of $269.7 million. Additionally, our net property and equipment additions were $148.3 million in 2016 compared to $151.3 million in the 2015 period. The cash flow attributable to consolidated sponsored investment portfolios of $41.4 million represents the net cash added to our consolidated balance sheet from consolidating and deconsolidating portfolios in 2016.</w:t>
      </w:r>
    </w:p>
    <w:p>
      <w:pPr>
        <w:spacing w:after="0" w:line="1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financing activities attributable to T. Rowe Price Group was $1,091.4 million in 2016 compared with $1,973.3 million in the 2015 period. The decline in cash used in financing activities is largely related to the $2.00 per share, or $524 million, special dividend we paid in April 2015. We also expended $310.9 million less in common stock purchases in 2016 compared to the 2015 period. The cash proceeds received from stock option exercises were higher in 2016 by $52.8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125" w:right="239" w:bottom="1440" w:gutter="0" w:footer="0" w:header="0"/>
        </w:sectPr>
      </w:pPr>
    </w:p>
    <w:bookmarkStart w:id="37" w:name="page38"/>
    <w:bookmarkEnd w:id="3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compared with the 2015 period. The net cash used in financing activities attributable to T. Rowe Price Group was largely offset by the $915.0 million of net subscriptions into the consolidated sponsored investment portfolios.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versus 2014.</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Operating activities during 2015 provided cash flows of $1.5 billion, up $215.1 million from the 2014 period. We used $75.0 million less cash in 2015 compared with the 2014 period as we seeded fewer new sponsored investment portfolios. Higher noncash depreciation and amortization and noncash stock-based compensation in 2015 increased cash flows by $30.2 million. Timing differences on the cash settlement of our assets and liabilities increased our operating cash flows by $114.8 million compared to 2014. More than half of the timing difference on the cash settlement of our assets and liabilities is related to bonus compensation that was deferred by certain employees under the new Supplemental Savings Plan that went into effect in 2015. The Supplemental Savings Plan provides certain senior officers the opportunity to defer any portion of their cash incentive compensation earned for a respective calendar year during which services are provided for a period of two or more years.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provided by investing activities totaled $109.0 million in 2015 compared with net cash used of $443.4 million in the 2014 period. In 2015, cash proceeds from the sale of certain sponsored fund holdings, net of new investments, resulted in investing cash flows of $269.7 million. This compares with net investments of $305.3 million that we made into our sponsored fund investments in 2014. We increased our property and equipment additions by $25.1 million during 2015 compared to the 2014 period.</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was $1,949.2 million in 2015, up $1,209.4 million from the comparable 2014 period. The payment of a $2.00 special dividend on April 23, 2015, and an 18% increase in our regular quarterly per-share dividend accounted for $596.9 million of the increase from 2014. We also increased our common stock repurchases by $572.3 million during 2015 compared with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2016.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2017 and future years. The information also excludes the $6.2 million of unrecognized tax benefits discussed in Note 7 to our consolidated financial statements because it is not possible to estimate the time period in which a payment might be made to the tax authorities.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2018—19</w:t>
            </w:r>
          </w:p>
        </w:tc>
        <w:tc>
          <w:tcPr>
            <w:tcW w:w="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2020—21</w:t>
            </w:r>
          </w:p>
        </w:tc>
        <w:tc>
          <w:tcPr>
            <w:tcW w:w="3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Later</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$46.4 million at December 31, 2016. The vast majority of these additional contributions will be made to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125" w:right="239" w:bottom="1440" w:gutter="0" w:footer="0" w:header="0"/>
        </w:sectPr>
      </w:pPr>
    </w:p>
    <w:bookmarkStart w:id="38" w:name="page39"/>
    <w:bookmarkEnd w:id="38"/>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2016 Annual Report. In the following discussion, we highlight and explain further certain of those policies that are most critical to the preparation and understanding of our financial statements.</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u w:val="single" w:color="auto"/>
          <w:color w:val="auto"/>
        </w:rPr>
        <w:t>Consolidation.</w:t>
      </w:r>
      <w:r>
        <w:rPr>
          <w:rFonts w:ascii="Arial" w:cs="Arial" w:eastAsia="Arial" w:hAnsi="Arial"/>
          <w:sz w:val="16"/>
          <w:szCs w:val="16"/>
          <w:color w:val="auto"/>
        </w:rPr>
        <w:t xml:space="preserve"> We consolidate all subsidiaries and sponsored investment portfolios in which we have a controlling interest. We are generally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sponsored investment entities and our variable interest consists of our equity ownership in and investment management fees earned from these entities.</w:t>
      </w:r>
    </w:p>
    <w:p>
      <w:pPr>
        <w:spacing w:after="0" w:line="16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sponsored investment portfolios regulated outside the U.S. are determined to be VIEs. At December 31, 2016, we consolidated VIEs with net assets of $1,389.3 million.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Other-than-temporary impairments of available-for-sale securities</w:t>
      </w:r>
      <w:r>
        <w:rPr>
          <w:rFonts w:ascii="Arial" w:cs="Arial" w:eastAsia="Arial" w:hAnsi="Arial"/>
          <w:sz w:val="18"/>
          <w:szCs w:val="18"/>
          <w:color w:val="auto"/>
        </w:rPr>
        <w:t>. We generally classify our investment holdings in sponsored funds as available-for-sale if we are not deemed to a have a controlling financial interest nor exercise significant influence over its operating and financial policies. At the end of each quarter, we mark the carrying amount of each investment holding to fair value and recognize an unrealized gain or loss as a component of comprehensive income within the consolidated statements of comprehensive income. We review each individual security position that has an unrealized loss or impairment to determine if that impairment is other than temporary.</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determining whether a mutual fund holding is other-than-temporarily impaired, we consider many factors, including the duration of time the impairment has existed, the severity of the impairment, any subsequent changes in value, and our intent and ability to hold the security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impairment for losses that have existed for less than six months in our consolidated statements of income if the particular circumstances of the underlying investment do not warrant our belief that a near-term recovery is possible.</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u w:val="single" w:color="auto"/>
          <w:color w:val="auto"/>
        </w:rPr>
        <w:t>Other-than-temporary impairments of equity method investments</w:t>
      </w:r>
      <w:r>
        <w:rPr>
          <w:rFonts w:ascii="Arial" w:cs="Arial" w:eastAsia="Arial" w:hAnsi="Arial"/>
          <w:sz w:val="18"/>
          <w:szCs w:val="18"/>
          <w:color w:val="auto"/>
        </w:rPr>
        <w:t>. We evaluate our equity method investments, including our investment in UTI and other sponsored investment holdings, for impairment when events or changes in circumstances indicate that the carrying value of the investment exceeds its fair value, and the decline in fair value is other than temporary.</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statements of income using a fair value-based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125" w:right="239" w:bottom="1440" w:gutter="0" w:footer="0" w:header="0"/>
        </w:sectPr>
      </w:pPr>
    </w:p>
    <w:bookmarkStart w:id="39" w:name="page40"/>
    <w:bookmarkEnd w:id="39"/>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value-based method is a noncash charge that is never measured by, or adjusted based on, a cash outflow.</w:t>
      </w:r>
    </w:p>
    <w:p>
      <w:pPr>
        <w:spacing w:after="0" w:line="14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2014, the FASB issued Accounting Standards Update No. 2014-09 — Revenue from Contracts with Customers, and subsequently has issued five related accounting standard updates clarifying several aspects of ASU 2014-09, including technical corrections and improvements. The overall objective of the new standards updates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anticipate adopting the new standard on its effective date, January 1, 2018, though we have not yet selected whether we would adopt using the retrospective approach with adjustments to each prior period or the retrospective method with the cumulative effect of initial application recognized at the date of initial application. While we are continuing to assess all potential impacts these standards will have on our financial position and results of operations, early conclusions indicate that these standards will not have a material impact. Our implementation efforts include the identification of revenue within the scope of the guidance, as well as the evaluation of revenue contracts. While we have not identified material changes in the timing of revenue recognition, we continue to evaluate the presentation of certain revenue-related costs on a gross versus net basis and related disclosures of revenue.</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2016, the FASB issued Accounting Standards Update No. 2016-01 — Financial Instruments — 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investments will be recognized in our consolidated income statement rather than our consolidated statement of comprehensive income.</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February 2016, the FASB issued Accounting Standards Update No. 2016-02 — Leases (Topic 842). The objective of the update is to increase transparency and comparability among organizations by recognizing lease assets and lease liabilities on the balance sheet and disclosing key information about leasing arrangements. The amendments in this update are effective for fiscal years beginning after December 15, 2018, including interim periods within those fiscal years. Early adoption is permitted. We are currently evaluating the impact this standard will have on our financial position and results of operations, though we expect that our real estate leases will be recognized on our consolidated balance sheet.</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August 2016, the FASB issued Accounting Standards Update No. 2016-05 — Statement of Cash Flows (Topic 230): Classification of Certain Cash Receipts and Cash Payments (a consensus of the Emerging Issues Task Force). The amendments in this update provide guidance on eight specific cash flow issues. The new guidance is intended to reduce diversity in practice in how certain transactions are classified in the statement of cash flows. The amendments in this update are effective for fiscal</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years beginning after December 15, 2017, and interim periods within those fiscal years. Early adoption is permitted. We are currently evaluating the impact this standard will have on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00"/>
          </w:cols>
          <w:pgMar w:left="240" w:top="125" w:right="259" w:bottom="1440" w:gutter="0" w:footer="0" w:header="0"/>
        </w:sectPr>
      </w:pPr>
    </w:p>
    <w:bookmarkStart w:id="40" w:name="page41"/>
    <w:bookmarkEnd w:id="4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financial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our planned increase in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and portfolio recordkeeping, facilities, communications, power, and the mutual fund transfer agent and accounting systems.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125" w:right="239" w:bottom="1440" w:gutter="0" w:footer="0" w:header="0"/>
        </w:sectPr>
      </w:pPr>
    </w:p>
    <w:bookmarkStart w:id="41" w:name="page42"/>
    <w:bookmarkEnd w:id="41"/>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(in millions) presents the equity price risk from our investments in our sponsored investment portfolios as they are carried at fair value. Investments in these portfolios generally moderate market risk as they are diversified portfolios that invest in a number of different financial instruments. T. Rowe Price further manages its exposure to market risk by diversifying its investments among many domestic and international funds as well as diversification among equity and fixed income portfolios. In addition, investment holdings may be altered from time to time in response to changes in market risks and other factors, as management deems appropriate.</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chosen to use a variant of each portfolio's net asset value to quantify the equity price risk, as we believe the volatility in each portfolio's net asset value best reflects the underlying risk potential as well as the market trends surrounding each of its investment objectives. The potential future loss of value, before any income tax benefits, of these fund investments at year-end was determined by using the lower of each portfolio’s lowest net asset value per share during 2016 or its net asset value per share at December 31, 2016, reduced by 10%. In considering this presentation, it is important to note that: Not all portfolios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 potential</w:t>
            </w:r>
          </w:p>
        </w:tc>
        <w:tc>
          <w:tcPr>
            <w:tcW w:w="380" w:type="dxa"/>
            <w:vAlign w:val="bottom"/>
            <w:shd w:val="clear" w:color="auto" w:fill="CCEEFF"/>
          </w:tcPr>
          <w:p>
            <w:pPr>
              <w:spacing w:after="0"/>
              <w:rPr>
                <w:sz w:val="19"/>
                <w:szCs w:val="19"/>
                <w:color w:val="auto"/>
              </w:rPr>
            </w:pPr>
          </w:p>
        </w:tc>
      </w:tr>
      <w:tr>
        <w:trPr>
          <w:trHeight w:val="257"/>
        </w:trPr>
        <w:tc>
          <w:tcPr>
            <w:tcW w:w="55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Fair value 12/31/2016</w:t>
            </w:r>
          </w:p>
        </w:tc>
        <w:tc>
          <w:tcPr>
            <w:tcW w:w="1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Potential lower value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loss</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Investments—available-for-sale</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81.2</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w:t>
            </w:r>
          </w:p>
        </w:tc>
      </w:tr>
      <w:tr>
        <w:trPr>
          <w:trHeight w:val="27"/>
        </w:trPr>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Investments—trading</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Direct investment in consolidated sponsored investment portfolios</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113.8</w:t>
            </w: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12%</w:t>
            </w:r>
          </w:p>
        </w:tc>
      </w:tr>
    </w:tbl>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available-for-sale securities, any losses arising from changes in fair value are recognized in other comprehensive income, net of tax, until the investment is disposed of, or if the investment is determined to be other-than-temporarily impaired. We review the carrying amount of each investment on a quarterly basis and recognize an impairment charge in non-operating income (loss) whenever an unrealized loss is considered other than temporary.</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direct investment in consolidated sponsored investment portfolios represents our portion of the net assets of the portfolio. Upon consolidation of these portfolios, our direct investment is eliminated and the net assets of the portfolio are combined in our consolidated balance sheet, together with redeemable non-controlling interest, which represents the portion of the portfolio that is owned by unrelated third-party investors. Any losses arising from the change in fair value of our direct investments in consolidated sponsored investment portfolios would result in a corresponding decrease, net of tax, in our net income attributable to T. Rowe Price Group.</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Certain of our investments, including a few consolidated sponsored investment portfolios, expose us to foreign currency translation risk when their foreign denominated financial statements are translated into U.S. dollars. Our most significant exposure relates to the translation of the financial statements of our equity method investment in UTI ($140.9 million at December 31, 2016), whose financial statements are denominated in Indian rupees (INR) and are translated to U.S. dollars (USD) each reporting period. We do not use derivative financial instruments to manage this foreign currency risk, so both positive and negative fluctuations in the INR against the USD will affect accumulated other comprehensive income and the carrying amount of our investment. We had a cumulative translation loss, net of tax, of $32.3 million at December 31, 2016, related to our investment in UTI. Given the nature of UTI’s business, should conditions deteriorate in markets in which they operate, we are at risk for loss up to our carrying amount.</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operate in several foreign countries of which the United Kingdom is the most prominent. We incur operating expenses and have foreign currency-denominated assets and liabilities associated with these operations, although our revenues are predominately realized in USD. We do not believe that foreign currency fluctuations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360"/>
          </w:cols>
          <w:pgMar w:left="240" w:top="125"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gridSpan w:val="8"/>
          </w:tcPr>
          <w:p>
            <w:pPr>
              <w:ind w:left="60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80"/>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80" w:type="dxa"/>
            <w:vAlign w:val="bottom"/>
            <w:tcBorders>
              <w:top w:val="single" w:sz="8" w:color="006EBF"/>
            </w:tcBorders>
          </w:tcPr>
          <w:p>
            <w:pPr>
              <w:spacing w:after="0"/>
              <w:rPr>
                <w:sz w:val="24"/>
                <w:szCs w:val="24"/>
                <w:color w:val="auto"/>
              </w:rPr>
            </w:pPr>
          </w:p>
        </w:tc>
        <w:tc>
          <w:tcPr>
            <w:tcW w:w="358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27"/>
        </w:trPr>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060" w:type="dxa"/>
            <w:vAlign w:val="bottom"/>
            <w:gridSpan w:val="12"/>
          </w:tcPr>
          <w:p>
            <w:pPr>
              <w:ind w:left="40"/>
              <w:spacing w:after="0"/>
              <w:rPr>
                <w:sz w:val="20"/>
                <w:szCs w:val="20"/>
                <w:color w:val="auto"/>
              </w:rPr>
            </w:pPr>
            <w:r>
              <w:rPr>
                <w:rFonts w:ascii="Arial" w:cs="Arial" w:eastAsia="Arial" w:hAnsi="Arial"/>
                <w:sz w:val="18"/>
                <w:szCs w:val="18"/>
                <w:color w:val="auto"/>
              </w:rPr>
              <w:t>Index to Financial Statements:</w:t>
            </w:r>
          </w:p>
        </w:tc>
        <w:tc>
          <w:tcPr>
            <w:tcW w:w="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Consolidated Balance Sheets at December 31, 2015 and 2016</w:t>
            </w:r>
          </w:p>
        </w:tc>
        <w:tc>
          <w:tcPr>
            <w:tcW w:w="1340" w:type="dxa"/>
            <w:vAlign w:val="bottom"/>
            <w:gridSpan w:val="2"/>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Consolidated Statements of Income for each of the years in the three-year period ended December 31, 2016</w:t>
            </w:r>
          </w:p>
        </w:tc>
        <w:tc>
          <w:tcPr>
            <w:tcW w:w="2140" w:type="dxa"/>
            <w:vAlign w:val="bottom"/>
            <w:gridSpan w:val="4"/>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2016</w:t>
            </w:r>
          </w:p>
        </w:tc>
        <w:tc>
          <w:tcPr>
            <w:tcW w:w="134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80" w:type="dxa"/>
            <w:vAlign w:val="bottom"/>
          </w:tcPr>
          <w:p>
            <w:pPr>
              <w:spacing w:after="0"/>
              <w:rPr>
                <w:sz w:val="21"/>
                <w:szCs w:val="21"/>
                <w:color w:val="auto"/>
              </w:rPr>
            </w:pPr>
          </w:p>
        </w:tc>
        <w:tc>
          <w:tcPr>
            <w:tcW w:w="80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89"/>
              </w:rPr>
              <w:t>Consolidated Statements of Cash Flows for each of the years in the three-year period ended December 31, 2016</w:t>
            </w:r>
          </w:p>
        </w:tc>
        <w:tc>
          <w:tcPr>
            <w:tcW w:w="860" w:type="dxa"/>
            <w:vAlign w:val="bottom"/>
            <w:tcBorders>
              <w:top w:val="single" w:sz="8" w:color="auto"/>
            </w:tcBorders>
            <w:gridSpan w:val="2"/>
          </w:tcPr>
          <w:p>
            <w:pPr>
              <w:spacing w:after="0"/>
              <w:rPr>
                <w:sz w:val="21"/>
                <w:szCs w:val="21"/>
                <w:color w:val="auto"/>
              </w:rPr>
            </w:pPr>
          </w:p>
        </w:tc>
        <w:tc>
          <w:tcPr>
            <w:tcW w:w="980" w:type="dxa"/>
            <w:vAlign w:val="bottom"/>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Consolidated Statements of Stockholders' Equity for each of the years in the three-year period ended December 31, 2016</w:t>
            </w:r>
          </w:p>
        </w:tc>
        <w:tc>
          <w:tcPr>
            <w:tcW w:w="134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250"/>
        </w:trPr>
        <w:tc>
          <w:tcPr>
            <w:tcW w:w="180" w:type="dxa"/>
            <w:vAlign w:val="bottom"/>
          </w:tcPr>
          <w:p>
            <w:pPr>
              <w:spacing w:after="0"/>
              <w:rPr>
                <w:sz w:val="21"/>
                <w:szCs w:val="21"/>
                <w:color w:val="auto"/>
              </w:rPr>
            </w:pPr>
          </w:p>
        </w:tc>
        <w:tc>
          <w:tcPr>
            <w:tcW w:w="3220" w:type="dxa"/>
            <w:vAlign w:val="bottom"/>
            <w:tcBorders>
              <w:top w:val="single" w:sz="8" w:color="auto"/>
              <w:bottom w:val="single" w:sz="8" w:color="auto"/>
            </w:tcBorders>
          </w:tcPr>
          <w:p>
            <w:pPr>
              <w:spacing w:after="0"/>
              <w:rPr>
                <w:rFonts w:ascii="Arial" w:cs="Arial" w:eastAsia="Arial" w:hAnsi="Arial"/>
                <w:sz w:val="18"/>
                <w:szCs w:val="18"/>
                <w:color w:val="auto"/>
                <w:w w:val="92"/>
              </w:rPr>
            </w:pPr>
            <w:hyperlink w:anchor="page49">
              <w:r>
                <w:rPr>
                  <w:rFonts w:ascii="Arial" w:cs="Arial" w:eastAsia="Arial" w:hAnsi="Arial"/>
                  <w:sz w:val="18"/>
                  <w:szCs w:val="18"/>
                  <w:color w:val="auto"/>
                  <w:w w:val="92"/>
                </w:rPr>
                <w:t>Summary of Significant Accounting Policies</w:t>
              </w:r>
            </w:hyperlink>
          </w:p>
        </w:tc>
        <w:tc>
          <w:tcPr>
            <w:tcW w:w="5460" w:type="dxa"/>
            <w:vAlign w:val="bottom"/>
            <w:tcBorders>
              <w:top w:val="single" w:sz="8" w:color="auto"/>
            </w:tcBorders>
            <w:gridSpan w:val="8"/>
          </w:tcPr>
          <w:p>
            <w:pPr>
              <w:spacing w:after="0"/>
              <w:rPr>
                <w:sz w:val="21"/>
                <w:szCs w:val="21"/>
                <w:color w:val="auto"/>
              </w:rPr>
            </w:pPr>
          </w:p>
        </w:tc>
        <w:tc>
          <w:tcPr>
            <w:tcW w:w="1200" w:type="dxa"/>
            <w:vAlign w:val="bottom"/>
            <w:gridSpan w:val="2"/>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50"/>
        </w:trPr>
        <w:tc>
          <w:tcPr>
            <w:tcW w:w="180" w:type="dxa"/>
            <w:vAlign w:val="bottom"/>
          </w:tcPr>
          <w:p>
            <w:pPr>
              <w:spacing w:after="0"/>
              <w:rPr>
                <w:sz w:val="21"/>
                <w:szCs w:val="21"/>
                <w:color w:val="auto"/>
              </w:rPr>
            </w:pPr>
          </w:p>
        </w:tc>
        <w:tc>
          <w:tcPr>
            <w:tcW w:w="6880" w:type="dxa"/>
            <w:vAlign w:val="bottom"/>
            <w:tcBorders>
              <w:bottom w:val="single" w:sz="8" w:color="auto"/>
            </w:tcBorders>
            <w:gridSpan w:val="6"/>
          </w:tcPr>
          <w:p>
            <w:pPr>
              <w:spacing w:after="0"/>
              <w:rPr>
                <w:rFonts w:ascii="Arial" w:cs="Arial" w:eastAsia="Arial" w:hAnsi="Arial"/>
                <w:sz w:val="18"/>
                <w:szCs w:val="18"/>
                <w:color w:val="auto"/>
                <w:w w:val="90"/>
              </w:rPr>
            </w:pPr>
            <w:hyperlink w:anchor="page54">
              <w:r>
                <w:rPr>
                  <w:rFonts w:ascii="Arial" w:cs="Arial" w:eastAsia="Arial" w:hAnsi="Arial"/>
                  <w:sz w:val="18"/>
                  <w:szCs w:val="18"/>
                  <w:color w:val="auto"/>
                  <w:w w:val="90"/>
                </w:rPr>
                <w:t>Notes to Consolidated Financial Statements, including Supplementary Quarterly Financial Data</w:t>
              </w:r>
            </w:hyperlink>
          </w:p>
        </w:tc>
        <w:tc>
          <w:tcPr>
            <w:tcW w:w="3000" w:type="dxa"/>
            <w:vAlign w:val="bottom"/>
            <w:gridSpan w:val="5"/>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rFonts w:ascii="Arial" w:cs="Arial" w:eastAsia="Arial" w:hAnsi="Arial"/>
                <w:sz w:val="18"/>
                <w:szCs w:val="18"/>
                <w:color w:val="auto"/>
              </w:rPr>
            </w:pPr>
            <w:hyperlink w:anchor="page69">
              <w:r>
                <w:rPr>
                  <w:rFonts w:ascii="Arial" w:cs="Arial" w:eastAsia="Arial" w:hAnsi="Arial"/>
                  <w:sz w:val="18"/>
                  <w:szCs w:val="18"/>
                  <w:color w:val="auto"/>
                </w:rPr>
                <w:t>Report of Independent Registered Public Accounting Firm</w:t>
              </w:r>
            </w:hyperlink>
          </w:p>
        </w:tc>
        <w:tc>
          <w:tcPr>
            <w:tcW w:w="1340" w:type="dxa"/>
            <w:vAlign w:val="bottom"/>
            <w:gridSpan w:val="2"/>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68</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00"/>
          </w:cols>
          <w:pgMar w:left="240" w:top="108" w:right="259" w:bottom="1440" w:gutter="0" w:footer="0" w:header="0"/>
        </w:sectPr>
      </w:pPr>
    </w:p>
    <w:bookmarkStart w:id="43" w:name="page44"/>
    <w:bookmarkEnd w:id="4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12/31/2015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12/31/2016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455.1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1,257.5</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Assets of consolidated sponsored investment portfolios ($0 and $1,446.1 million, respectively, related to variable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interest entities)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1,680.5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665.7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5,106.9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6,225.0</w:t>
            </w:r>
          </w:p>
        </w:tc>
      </w:tr>
      <w:tr>
        <w:trPr>
          <w:trHeight w:val="311"/>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9"/>
              </w:rPr>
              <w:t>Liabilities of consolidated sponsored investment portfolios ($0 and $56.8 million, respectively, related to</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variable interest entities)</w:t>
            </w: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687.2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authorized and unissued 20,000,000 shares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Common stock, $.20 par value—authorized 750,000,000; issued 250,469,000 shares at December 31, 2015,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244,784,000 at December 31, 2016</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4,293.6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permanent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5,008.6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6,225.0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43</w:t>
      </w:r>
    </w:p>
    <w:p>
      <w:pPr>
        <w:sectPr>
          <w:pgSz w:w="11900" w:h="16838" w:orient="portrait"/>
          <w:cols w:equalWidth="0" w:num="1">
            <w:col w:w="11420"/>
          </w:cols>
          <w:pgMar w:left="240" w:top="125" w:right="239" w:bottom="1440" w:gutter="0" w:footer="0" w:header="0"/>
        </w:sectPr>
      </w:pPr>
    </w:p>
    <w:bookmarkStart w:id="44" w:name="page45"/>
    <w:bookmarkEnd w:id="44"/>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3,464.5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3,687.3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3,728.7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4,222.9</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1,494.0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6"/>
              </w:rPr>
              <w:t>Nonrecurring charge, net of insurance recovery, related to Dell appraisal rights matter</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2,489.5</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1,733.4</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investment income on investments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income on consolidated sponsored investment portfolios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227.1</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706.5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1,215.0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44</w:t>
      </w:r>
    </w:p>
    <w:p>
      <w:pPr>
        <w:sectPr>
          <w:pgSz w:w="11900" w:h="16838" w:orient="portrait"/>
          <w:cols w:equalWidth="0" w:num="1">
            <w:col w:w="11400"/>
          </w:cols>
          <w:pgMar w:left="240" w:top="125" w:right="259" w:bottom="1440" w:gutter="0" w:footer="0" w:header="0"/>
        </w:sectPr>
      </w:pPr>
    </w:p>
    <w:bookmarkStart w:id="45" w:name="page46"/>
    <w:bookmarkEnd w:id="45"/>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1,254.0</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holding losses on available-for-sale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6720" w:type="dxa"/>
            <w:vAlign w:val="bottom"/>
          </w:tcPr>
          <w:p>
            <w:pPr>
              <w:ind w:left="240"/>
              <w:spacing w:after="0"/>
              <w:rPr>
                <w:sz w:val="20"/>
                <w:szCs w:val="20"/>
                <w:color w:val="auto"/>
              </w:rPr>
            </w:pPr>
            <w:r>
              <w:rPr>
                <w:rFonts w:ascii="Arial" w:cs="Arial" w:eastAsia="Arial" w:hAnsi="Arial"/>
                <w:sz w:val="18"/>
                <w:szCs w:val="18"/>
                <w:color w:val="auto"/>
                <w:w w:val="95"/>
              </w:rPr>
              <w:t>Reclassification of (gains) and losses in accumulated other comprehensive income to</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non-operating investment income: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gain distributions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Other-than-temporary impairments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ind w:left="380"/>
              <w:spacing w:after="0"/>
              <w:rPr>
                <w:sz w:val="20"/>
                <w:szCs w:val="20"/>
                <w:color w:val="auto"/>
              </w:rPr>
            </w:pPr>
            <w:r>
              <w:rPr>
                <w:rFonts w:ascii="Arial" w:cs="Arial" w:eastAsia="Arial" w:hAnsi="Arial"/>
                <w:sz w:val="18"/>
                <w:szCs w:val="18"/>
                <w:color w:val="auto"/>
              </w:rPr>
              <w:t>Total reclassification adjustments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unrealized holding losses recognized in other comprehensive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Currency translation adjustments of consolidated sponsored investment portfolios—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variable interest entities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720" w:type="dxa"/>
            <w:vAlign w:val="bottom"/>
          </w:tcPr>
          <w:p>
            <w:pPr>
              <w:ind w:left="160"/>
              <w:spacing w:after="0"/>
              <w:rPr>
                <w:sz w:val="20"/>
                <w:szCs w:val="20"/>
                <w:color w:val="auto"/>
              </w:rPr>
            </w:pPr>
            <w:r>
              <w:rPr>
                <w:rFonts w:ascii="Arial" w:cs="Arial" w:eastAsia="Arial" w:hAnsi="Arial"/>
                <w:sz w:val="18"/>
                <w:szCs w:val="18"/>
                <w:color w:val="auto"/>
                <w:w w:val="96"/>
              </w:rPr>
              <w:t>Reclassification: losses (gains) recognized in non-operating investment income upon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20" w:type="dxa"/>
            <w:vAlign w:val="bottom"/>
          </w:tcPr>
          <w:p>
            <w:pPr>
              <w:ind w:left="160"/>
              <w:spacing w:after="0"/>
              <w:rPr>
                <w:sz w:val="20"/>
                <w:szCs w:val="20"/>
                <w:color w:val="auto"/>
              </w:rPr>
            </w:pPr>
            <w:r>
              <w:rPr>
                <w:rFonts w:ascii="Arial" w:cs="Arial" w:eastAsia="Arial" w:hAnsi="Arial"/>
                <w:sz w:val="18"/>
                <w:szCs w:val="18"/>
                <w:color w:val="auto"/>
              </w:rPr>
              <w:t>deconsolidation of sponsored fund subsidiaries</w:t>
            </w:r>
          </w:p>
        </w:tc>
        <w:tc>
          <w:tcPr>
            <w:tcW w:w="3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Total currency translation adjustments of consolidated sponsored investment portfolios—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variable interest entities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currency translation 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318"/>
        </w:trPr>
        <w:tc>
          <w:tcPr>
            <w:tcW w:w="6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Deferred tax benefits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1,173.2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1,208.9</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Comprehensive income attributable to T. Rowe Price Group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1,177.7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1,172.4</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45</w:t>
      </w:r>
    </w:p>
    <w:p>
      <w:pPr>
        <w:sectPr>
          <w:pgSz w:w="11900" w:h="16838" w:orient="portrait"/>
          <w:cols w:equalWidth="0" w:num="1">
            <w:col w:w="11400"/>
          </w:cols>
          <w:pgMar w:left="240" w:top="125" w:right="259" w:bottom="1440" w:gutter="0" w:footer="0" w:header="0"/>
        </w:sectPr>
      </w:pPr>
    </w:p>
    <w:bookmarkStart w:id="46" w:name="page47"/>
    <w:bookmarkEnd w:id="46"/>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4"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Realized gains on the dispositions of sponsored funds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gains recognized on 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3"/>
              </w:rPr>
              <w:t>Net change in trading securities held by consolidated sponsored investment portfolios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accounts receivable and accrued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Changes in payables and accrued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sponsored fund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Dispositions of available-for-sale sponsored fund investments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of sponsored investment portfolios on consolidation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 consolidated sponsored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Cash and cash equivalents at end of year, including $65.6 million held by consolidated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1,506.1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1,172.3</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at December 31, 2016</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See note 14 for a supplemental consolidating cash flow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-181610</wp:posOffset>
            </wp:positionV>
            <wp:extent cx="2958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46</w:t>
      </w:r>
    </w:p>
    <w:p>
      <w:pPr>
        <w:sectPr>
          <w:pgSz w:w="11900" w:h="16838" w:orient="portrait"/>
          <w:cols w:equalWidth="0" w:num="1">
            <w:col w:w="11400"/>
          </w:cols>
          <w:pgMar w:left="240" w:top="125" w:right="259" w:bottom="1440" w:gutter="0" w:footer="0" w:header="0"/>
        </w:sectPr>
      </w:pPr>
    </w:p>
    <w:bookmarkStart w:id="47" w:name="page48"/>
    <w:bookmarkEnd w:id="4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94"/>
              </w:rPr>
              <w:t>Additional</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90"/>
              </w:rPr>
              <w:t>Accumulated</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35"/>
        </w:trPr>
        <w:tc>
          <w:tcPr>
            <w:tcW w:w="39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0"/>
              </w:rPr>
              <w:t>Common</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9"/>
              </w:rPr>
              <w:t>capital in</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7"/>
              </w:rPr>
              <w:t>other</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9"/>
              </w:rPr>
              <w:t>Total</w:t>
            </w:r>
          </w:p>
        </w:tc>
        <w:tc>
          <w:tcPr>
            <w:tcW w:w="10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Redeemable non-</w:t>
            </w:r>
          </w:p>
        </w:tc>
      </w:tr>
      <w:tr>
        <w:trPr>
          <w:trHeight w:val="135"/>
        </w:trPr>
        <w:tc>
          <w:tcPr>
            <w:tcW w:w="39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1"/>
              </w:rPr>
              <w:t>shares</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0"/>
              </w:rPr>
              <w:t>Common</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5"/>
              </w:rPr>
              <w:t>excess of par</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Retained</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6"/>
              </w:rPr>
              <w:t>comprehensive</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9"/>
              </w:rPr>
              <w:t>stockholders’</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94"/>
              </w:rPr>
              <w:t>controlling</w:t>
            </w:r>
          </w:p>
        </w:tc>
      </w:tr>
      <w:tr>
        <w:trPr>
          <w:trHeight w:val="170"/>
        </w:trPr>
        <w:tc>
          <w:tcPr>
            <w:tcW w:w="39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outstanding</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85"/>
              </w:rPr>
              <w:t>stock</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83"/>
              </w:rPr>
              <w:t>value</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earnings</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87"/>
              </w:rPr>
              <w:t>income (loss)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2"/>
              </w:rPr>
              <w:t>equity</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5"/>
              </w:rPr>
              <w:t>interests</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2013</w:t>
            </w: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262,073</w:t>
            </w:r>
          </w:p>
        </w:tc>
        <w:tc>
          <w:tcPr>
            <w:tcW w:w="140" w:type="dxa"/>
            <w:vAlign w:val="bottom"/>
          </w:tcPr>
          <w:p>
            <w:pPr>
              <w:spacing w:after="0"/>
              <w:rPr>
                <w:sz w:val="22"/>
                <w:szCs w:val="22"/>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52.4</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894.6</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3,682.8</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188.3</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4,818.1</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3,679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625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3900" w:type="dxa"/>
            <w:vAlign w:val="bottom"/>
          </w:tcPr>
          <w:p>
            <w:pPr>
              <w:ind w:left="40"/>
              <w:spacing w:after="0"/>
              <w:rPr>
                <w:sz w:val="20"/>
                <w:szCs w:val="20"/>
                <w:color w:val="auto"/>
              </w:rPr>
            </w:pPr>
            <w:r>
              <w:rPr>
                <w:rFonts w:ascii="Arial" w:cs="Arial" w:eastAsia="Arial" w:hAnsi="Arial"/>
                <w:sz w:val="13"/>
                <w:szCs w:val="13"/>
                <w:color w:val="auto"/>
              </w:rPr>
              <w:t>Common shares repurchased</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(5,313)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(414.4)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2014</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261,110</w:t>
            </w: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756.5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4,450.1</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136.4</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5,395.2</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1,223.0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1,223.0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Dividends</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(1,059.0)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Shares issued upon option exercises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2,471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7"/>
              </w:rPr>
              <w:t>Shares issued upon vesting of restricted stock units, net of shares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236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Forfeiture of restricted awards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Net tax benefits</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shares repurchased</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(13,109)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2015</w:t>
            </w: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250,469</w:t>
            </w: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654.6</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3,970.7</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4,762.0</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Reclassification of sponsored investment portfolios upon adoption of new</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accounting guidance on January 1, 2016</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672.7</w:t>
            </w:r>
          </w:p>
        </w:tc>
      </w:tr>
      <w:tr>
        <w:trPr>
          <w:trHeight w:val="148"/>
        </w:trPr>
        <w:tc>
          <w:tcPr>
            <w:tcW w:w="3900" w:type="dxa"/>
            <w:vAlign w:val="bottom"/>
          </w:tcPr>
          <w:p>
            <w:pPr>
              <w:ind w:left="40"/>
              <w:spacing w:after="0" w:line="148" w:lineRule="exact"/>
              <w:rPr>
                <w:sz w:val="20"/>
                <w:szCs w:val="20"/>
                <w:color w:val="auto"/>
              </w:rPr>
            </w:pPr>
            <w:r>
              <w:rPr>
                <w:rFonts w:ascii="Arial" w:cs="Arial" w:eastAsia="Arial" w:hAnsi="Arial"/>
                <w:sz w:val="13"/>
                <w:szCs w:val="13"/>
                <w:color w:val="auto"/>
              </w:rPr>
              <w:t>Cumulative effect adjustment upon adoption of new stock-based</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0"/>
        </w:trPr>
        <w:tc>
          <w:tcPr>
            <w:tcW w:w="3900" w:type="dxa"/>
            <w:vAlign w:val="bottom"/>
          </w:tcPr>
          <w:p>
            <w:pPr>
              <w:ind w:left="40"/>
              <w:spacing w:after="0"/>
              <w:rPr>
                <w:sz w:val="20"/>
                <w:szCs w:val="20"/>
                <w:color w:val="auto"/>
              </w:rPr>
            </w:pPr>
            <w:r>
              <w:rPr>
                <w:rFonts w:ascii="Arial" w:cs="Arial" w:eastAsia="Arial" w:hAnsi="Arial"/>
                <w:sz w:val="13"/>
                <w:szCs w:val="13"/>
                <w:color w:val="auto"/>
              </w:rPr>
              <w:t>compensation guidance on January 1, 2016</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January 1, 2016</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250,469</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667.5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3,994.2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4,765.9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672.7</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1,215.0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1,215.0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39.0</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Dividends</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Shares issued upon option exercises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4,140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shares withheld for taxes, net of shares issued</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7"/>
              </w:rPr>
              <w:t>Shares issued upon vesting of restricted stock units, net of shares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409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Forfeiture of restricted awards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shares repurchased</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(9,995)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(300.6)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(676.9)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subscriptions into sponsored investment portfolios</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945.3</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deconsolidations of sponsored investment portfolios</w:t>
            </w:r>
          </w:p>
        </w:tc>
        <w:tc>
          <w:tcPr>
            <w:tcW w:w="9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(967.3)</w:t>
            </w:r>
          </w:p>
        </w:tc>
      </w:tr>
      <w:tr>
        <w:trPr>
          <w:trHeight w:val="242"/>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2016</w:t>
            </w: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244,784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687.2</w:t>
            </w: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71" w:gutter="0" w:footer="0" w:header="0"/>
        </w:sectPr>
      </w:pPr>
    </w:p>
    <w:p>
      <w:pPr>
        <w:spacing w:after="0" w:line="353"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47</w:t>
      </w:r>
    </w:p>
    <w:p>
      <w:pPr>
        <w:sectPr>
          <w:pgSz w:w="11900" w:h="16838" w:orient="portrait"/>
          <w:cols w:equalWidth="0" w:num="1">
            <w:col w:w="11420"/>
          </w:cols>
          <w:pgMar w:left="240" w:top="125" w:right="239" w:bottom="1071" w:gutter="0" w:footer="0" w:header="0"/>
          <w:type w:val="continuous"/>
        </w:sectPr>
      </w:pPr>
    </w:p>
    <w:bookmarkStart w:id="48" w:name="page49"/>
    <w:bookmarkEnd w:id="4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U.S. These principles require that we make certain estimates and assumptions. Actual results may vary from our estimates. Certain prior year amounts have been reclassified to conform to the 2016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implemented Accounting Standards Update No. 2015-02—Consolidation (Topic 810): Amendments to the Consolidation Analysis on January 1, 2016, which did not require the restatement of prior-year periods. In connection with the adoption of this guidance, we reevaluated all of our investments for consolidation, including our investments in sponsored investment portfolios. The adoption of the guidance resulted in sponsored investment products regulated outside the U.S. previously accounted for as voting interest entities (VOE) to be evaluated as variable interest entities (VIE) and led to the consolidation of an additional 24 portfolios that were previously accounted for as available-for-sale securities. The adoption also resulted in the consolidation of an additional eight U.S. sponsored investment portfolios that were previously accounted for as available-for-sale securities. The impact to the consolidated balance sheet upon adoption was the consolidation of $1.6 billion of assets, $21.3 million of liabilities, and $672.7 million of redeemable non-controlling interests. We also reclassified $32.5 million in accumulated other comprehensive income to retained earnings. Additional disclosures relating to consolidated voting interest entities and variable interest entities, and the impact the new accounting guidance has had on 2016, are included in Note 5.</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early adopted Accounting Standards Update No. 2016-09—Compensation-Stock Compensation (Topic 718): Improvements to Employee Share-Based Payment Accounting on July 1, 2016, which required adjustments to be reflected as of January 1, 2016. The amendments in this update change the accounting for certain aspects of stock-based compensation awards, including the accounting for income taxes upon settlement of awards, the classification of cash flows associated with awards, and the accounting for award forfeitures. Upon implementation, we reduced retained earnings by $9.0 million and increased other assets $3.9 million and additional paid-in capital $12.9 million, respectively. The $9.0 million reduction in retained earnings is related to the reversal of cumulative forfeiture estimates, net of deferred taxes, recognized as we elected to account for forfeitures of stock-based compensation awards going forward as they occur. Lastly, the guidance requires excess tax benefits from share-based compensation awards to be reported as operating activities in the consolidated statements of cash flows rather than financing activities. As permitted by the guidance, we elected to apply this guidance retrospectively and have reclassified $52.6 million and $24.1 million of excess tax benefits previously disclosed as a financing activity in the statement of cash flows for the years ended December 31, 2014, and December 31, 2015, respectively, to operating activities. In 2016, the recognition of net tax benefits on exercised options and vested restricted stock relative to the stock-based compensation expense reduced our income tax provision by $31.6 million. See Note 7 for further details on the impact this guidance had on our effective tax rate.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125" w:right="239" w:bottom="1440" w:gutter="0" w:footer="0" w:header="0"/>
        </w:sectPr>
      </w:pPr>
    </w:p>
    <w:bookmarkStart w:id="49" w:name="page50"/>
    <w:bookmarkEnd w:id="49"/>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consolidated financial statements include the accounts of all subsidiaries and sponsored investment portfolios in which we have a controlling interest. We are generally deemed to have a controlling interest when we own the majority of the VOE or are deemed to be the primary beneficiary of a VIE. We perform an analysis of our investments to determine if the investment entity is a VOE or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Upon consolidation of sponsored investment portfolios, the Company retains the specialized investment company accounting principles of the underlying funds. All material accounts and transactions between consolidated entities are eliminated in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VIEs are entities that, by design: (i</w:t>
      </w:r>
      <w:r>
        <w:rPr>
          <w:rFonts w:ascii="Arial" w:cs="Arial" w:eastAsia="Arial" w:hAnsi="Arial"/>
          <w:sz w:val="18"/>
          <w:szCs w:val="18"/>
          <w:b w:val="1"/>
          <w:bCs w:val="1"/>
          <w:color w:val="auto"/>
        </w:rPr>
        <w:t>)</w:t>
      </w:r>
      <w:r>
        <w:rPr>
          <w:rFonts w:ascii="Arial" w:cs="Arial" w:eastAsia="Arial" w:hAnsi="Arial"/>
          <w:sz w:val="18"/>
          <w:szCs w:val="18"/>
          <w:color w:val="auto"/>
        </w:rPr>
        <w:t xml:space="preserve">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funds and other sponsored investment portfolios regulated outside the U.S. were determined to be VIEs.</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sponsored investment portfolios held by unrelated third-party investors as their interest is convertible to cash and other assets at their option. As such, we reflect redeemable non-controlling interests as temporary equity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sponsored money market mutual funds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do not consider our investments in our sponsored money market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Available-for-sale sponsored investment portfolios have been made for both general corporate investment purposes and to provide seed capital for newly formed funds. These investments are carried at fair value using the quoted closing net asset value, or NAV, per share of each fund as of the balance sheet date. Changes in net unrealized holding gains or losses on these investments are recognized in other comprehensive income.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review the carrying amount of each investment on a quarterly basis and recognize an impairment charge in non-operating investment income whenever an unrealized loss is considered other than temporary. In determining whether a fund holding is other-than-temporarily impaired, we consider various factors, including the duration of time it has existed, the severity of the impairment, any subsequent changes in value, and our intent and ability to hold the fund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impairment if particular circumstances of the underlying investment do not warrant our belief that a near-term recovery is possible.</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Equity method investments consist of investments in entities, including sponsored portfolios, over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400"/>
          </w:cols>
          <w:pgMar w:left="240" w:top="125" w:right="259" w:bottom="1440" w:gutter="0" w:footer="0" w:header="0"/>
        </w:sectPr>
      </w:pPr>
    </w:p>
    <w:bookmarkStart w:id="50" w:name="page51"/>
    <w:bookmarkEnd w:id="50"/>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method investments consist of investments in entities over which we do not exercise significant influence over the operating and financial policies of the investee. We evaluate our equity and cost method investments for impairment when events or changes in circumstances indicate that the carrying value of the investment exceeds its fair value, and the decline in fair value is other than temporary.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Sponsored investments portfolios held as trading include seed capital investments in mutual funds and separately managed account products. The mutual funds and the underlying investments of the separately managed account products are carried at fair value.</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Investments held by our consolidated sponsored investment portfolios are considered trading securities that are carried at fair value with corresponding changes in the investments’ fair values reflected in non-operating income in our consolidated statements of income. These investments are valued in accordance with the valuation and pricing policy used to value our assets under management and further described in the Revenue Recognition section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investments in sponsored funds and investments held as trading expose us to market risk, that is, the potential future loss of value that would result from a decline in the fair value of each investment or its underlying net assets. Our underlying holdings of our assets under management are also subject to market risk, which may arise from changes in equity prices, credit ratings, foreign currency exchange rates, and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33 years; leasehold improvements, 8 years; furniture and other equipment, 7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Fees for investment advisory services, which are based on a percentage of assets under management, and related administrative services that we provide to investment advisory clients, including our sponsored funds and portfolios, are recognized in the period that our services are provided.</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assets under management are valued in accordance with a valuation and pricing policy that defines the valuation and pricing processes for each major type of investment held in our sponsored U.S.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380"/>
          </w:cols>
          <w:pgMar w:left="240" w:top="125" w:right="279" w:bottom="1440" w:gutter="0" w:footer="0" w:header="0"/>
        </w:sectPr>
      </w:pPr>
    </w:p>
    <w:bookmarkStart w:id="51" w:name="page52"/>
    <w:bookmarkEnd w:id="51"/>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Distribution and servicing fees earned from 12b-1 plans of the Advisor Class, R Class, and Variable Annuity II Class shares of our sponsored U.S. mutual funds are recognized in the period that they are earned, which is the same period that the related mutual funds recognize their expense. These fees are offset entirely by the distribution and servicing costs paid to third-party financial intermediaries that source the assets of these share classes.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provide all services to the sponsored U.S. mutual funds under contracts that are subject to periodic review and approval by the funds’ Boards. Regulations require that the funds’ shareholders also approve material changes to investment advisory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three stockholder-approved employee long-term incentive plans (2012 Long-Term Incentive Plan, 2004 Stock Incentive Plan, and 2001 Stock Incentive Plan, collectively the LTI Plans) and one stockholder-approved non-employee director plan (2007 Non-Employee Director Equity Plan). We believe that our stock-based compensation programs align the interests of our employees and directors with those of our common stockholders. As of December 31, 2016, a total of 14,490,787 shares were available for future grant under the 2012 Long-Term Incentive Plan and the 2007 Non-Employee Director Equity Plan.</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Under our LTI Plans, we have issued restricted shares and restricted stock units to employees that settle in shares of our common stock after vesting. Vesting of these awards is based on the individual continuing to render service over an average 5.5-year graded schedule. All restricted shareholders and restricted stock unitholders receive non-forfeitable cash dividends and cash dividend equivalents, respectively, on our dividend payable date.</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the same time-based vesting requirement as the other restricted shares or restricted stock units described above. Cash dividends and cash dividend equivalents are accrued and paid to the holders of performance-based restricted stock units only after the performance period has lapsed and the performance thresholds have been met.</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our LTI plans, we have granted qualified incentive and nonqualified fixed stock options with a maximum term of 10 years to employees. Vesting of our employee option grants is based on the individual continuing to render service and generally occurs over an average 5.5-year graded schedule. The exercise price of each option granted is equivalent to the market price of the common stock at the date of grant. We did not grant options to our employees in 2016.</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grant options, with a maximum term of 10 years, restricted shares, and restricted stock units to non-employee directors under the stockholder-approved 2007 Non-Employee Director Plan. These grants vest over six months to one year and, in the case of restricted stock units, are settled upon the non-employee directors’ departure from the Board. Non-employee directors holding restricted shares receive non-forfeitable dividends while restricted stock unitholders are issued non-forfeitable dividend equivalents in the form of vested stock units on our dividend payable date.</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 the grant-date fair value of these awards as compensation expense ratably over the awards' requisite service period. The expense recognized prior to 2016 includes an estimate of awards that will be forfeited and considers, in the case of our performance-based restricted shares and units, the probability of the performance thresholds being met. Upon implementation of the new stock-based compensation accounting guidance, we elected to account for forfeitures as they occur. Both time-based and performance-based units are valued on the grant-date using the closing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00"/>
          </w:cols>
          <w:pgMar w:left="240" w:top="125" w:right="259" w:bottom="1440" w:gutter="0" w:footer="0" w:header="0"/>
        </w:sectPr>
      </w:pPr>
    </w:p>
    <w:bookmarkStart w:id="52" w:name="page53"/>
    <w:bookmarkEnd w:id="52"/>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use the Black-Scholes option-pricing model to estimate the fair value of each option grant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Weighted-average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2016</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 awarded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Assumptions used:</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the change in net unrealized security holding gains (losses), and the change in our currency translation adjustments. The currency translation adjustments result from translating our proportionate share of the financial statements of UTI, our equity method investment, and certain consolidated investment portfolios into U.S. dollars. Assets and liabilities are translated into U.S. dollars using year-end exchange rates, and revenues and expenses are translated using weighted-average exchange rates for the period.</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to which the significant reclassifications were recognized.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20"/>
          </w:cols>
          <w:pgMar w:left="240" w:top="125" w:right="239" w:bottom="1440" w:gutter="0" w:footer="0" w:header="0"/>
        </w:sectPr>
      </w:pPr>
    </w:p>
    <w:bookmarkStart w:id="53" w:name="page54"/>
    <w:bookmarkEnd w:id="5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equivalent investments in our sponsored money market mutual funds aggregate $997.5 million at December 31, 2015, and $1,052.3 million at December 31, 2016. Dividends earned on these investments in each of the last three years were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Accounts receivable from our sponsored investment portfolios, including our U.S. mutual funds, for advisory fees and advisory-related administrative services aggregate $287.1 million at December 31, 2015, and $303.1 million at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2,228.1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477.3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3,687.3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3,728.7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investment portfolios include advisory revenues of $313.4 million, $367.8 million, and $386.0 million for the year ended December 31, 2014, 2015, and 2016, respectively, that were earned on other sponsored investment portfolios.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voluntarily waived $58.4 million, $47.6 million, and $10.5 million in money market related fees, including advisory fees and fund expenses, during the year ended December 31, 2014, 2015, and 2016, respectively, in order to maintain a positive yield for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during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720" w:type="dxa"/>
            <w:vAlign w:val="bottom"/>
            <w:tcBorders>
              <w:bottom w:val="single" w:sz="8" w:color="auto"/>
            </w:tcBorders>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As of December 31,</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401.3</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514.2</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220.8</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296.6</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810.8</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4.9% and 4.7% of our assets under management at December 31, 2015 and 2016,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125" w:right="239" w:bottom="1440" w:gutter="0" w:footer="0" w:header="0"/>
        </w:sectPr>
      </w:pPr>
    </w:p>
    <w:bookmarkStart w:id="54" w:name="page55"/>
    <w:bookmarkEnd w:id="54"/>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Administrative fees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296.1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servicing fees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NOTE 3 – INVESTMENTS.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w w:val="95"/>
              </w:rPr>
              <w:t>The carrying values of investments (in millions) we do not consolidate at December 31 are as follows: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6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Sponsored investment portfolios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 partnerships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1,257.5</w:t>
            </w:r>
          </w:p>
        </w:tc>
      </w:tr>
      <w:tr>
        <w:trPr>
          <w:trHeight w:val="20"/>
        </w:trPr>
        <w:tc>
          <w:tcPr>
            <w:tcW w:w="6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adoption of the new consolidation accounting guidance on January 1, 2016, we reevaluated all of our investments for consolidation, including our investments in sponsored investment portfolios. We determined that our interests in a number of our available-for-sale holdings held at December 31, 2015, were deemed controlling interests under the new accounting standard and resulted in these sponsored investment portfolios being consolidated on January 1, 2016.</w:t>
      </w:r>
    </w:p>
    <w:p>
      <w:pPr>
        <w:spacing w:after="0" w:line="13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2015 and 2016, certain sponsored investment portfolios in which we provided initial seed capital at the time of formation were deconsolidated, as we no longer had a controlling interest. The impact of deconsolidating certain sponsored investment portfolios on our consolidated statements of income during 2015 and 2016 was a loss of $5.8 million and a gain of $2.2 million, respectively. These losses and gains were the result of reclassifying currency translation adjustments accumulated on sponsored investment portfolios’ with non-USD functional currencies from accumulated other comprehensive income to non-operating income. Depending on our ownership interest, we are now reporting our residual interests of $338.2 million, which is value on the date of deconsolidation or consolidation, in these sponsored investment portfolios as either equity method or available-for-sale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SPONSORED INVESTMENT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available-for-sale sponsored investment portfolios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Unrealized holding</w:t>
            </w: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gains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losses</w:t>
            </w: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fair value</w:t>
            </w:r>
          </w:p>
        </w:tc>
      </w:tr>
      <w:tr>
        <w:trPr>
          <w:trHeight w:val="196"/>
        </w:trPr>
        <w:tc>
          <w:tcPr>
            <w:tcW w:w="516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1,012.5</w:t>
            </w: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1,419.1</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51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December 31, 2016</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162.9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249.0</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460.0</w:t>
            </w: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709.0</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20"/>
          </w:cols>
          <w:pgMar w:left="240" w:top="125" w:right="239" w:bottom="1440" w:gutter="0" w:footer="0" w:header="0"/>
        </w:sectPr>
      </w:pPr>
    </w:p>
    <w:bookmarkStart w:id="55" w:name="page56"/>
    <w:bookmarkEnd w:id="55"/>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following table details the number of holdings, the unrealized holding losses, and the aggregate fair value of available-for-sale sponsored investment portfolios with unrealized losses categorized by the length of time they have been in a continuous unrealized loss position: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2"/>
              </w:rPr>
              <w:t>Number of</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Unrealized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Aggregate</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holdings</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holding losses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fair value</w:t>
            </w:r>
          </w:p>
        </w:tc>
      </w:tr>
      <w:tr>
        <w:trPr>
          <w:trHeight w:val="196"/>
        </w:trPr>
        <w:tc>
          <w:tcPr>
            <w:tcW w:w="67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89"/>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419.6</w:t>
            </w:r>
          </w:p>
        </w:tc>
      </w:tr>
      <w:tr>
        <w:trPr>
          <w:trHeight w:val="243"/>
        </w:trPr>
        <w:tc>
          <w:tcPr>
            <w:tcW w:w="7960" w:type="dxa"/>
            <w:vAlign w:val="bottom"/>
            <w:gridSpan w:val="4"/>
          </w:tcPr>
          <w:p>
            <w:pPr>
              <w:ind w:left="40"/>
              <w:spacing w:after="0"/>
              <w:rPr>
                <w:sz w:val="20"/>
                <w:szCs w:val="20"/>
                <w:color w:val="auto"/>
              </w:rPr>
            </w:pPr>
            <w:r>
              <w:rPr>
                <w:rFonts w:ascii="Arial" w:cs="Arial" w:eastAsia="Arial" w:hAnsi="Arial"/>
                <w:sz w:val="18"/>
                <w:szCs w:val="18"/>
                <w:color w:val="auto"/>
              </w:rPr>
              <w:t>12 months or more</w:t>
            </w:r>
          </w:p>
        </w:tc>
        <w:tc>
          <w:tcPr>
            <w:tcW w:w="280" w:type="dxa"/>
            <w:vAlign w:val="bottom"/>
          </w:tcPr>
          <w:p>
            <w:pPr>
              <w:ind w:left="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298.6</w:t>
            </w: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79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December 31, 2016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7960" w:type="dxa"/>
            <w:vAlign w:val="bottom"/>
            <w:gridSpan w:val="4"/>
          </w:tcPr>
          <w:p>
            <w:pPr>
              <w:ind w:left="40"/>
              <w:spacing w:after="0"/>
              <w:rPr>
                <w:sz w:val="20"/>
                <w:szCs w:val="20"/>
                <w:color w:val="auto"/>
              </w:rPr>
            </w:pPr>
            <w:r>
              <w:rPr>
                <w:rFonts w:ascii="Arial" w:cs="Arial" w:eastAsia="Arial" w:hAnsi="Arial"/>
                <w:sz w:val="18"/>
                <w:szCs w:val="18"/>
                <w:color w:val="auto"/>
              </w:rPr>
              <w:t>Less than 12 months</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328.1</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12 months or more</w:t>
            </w:r>
          </w:p>
        </w:tc>
        <w:tc>
          <w:tcPr>
            <w:tcW w:w="1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497.6</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these impaired investment holdings are considered temporary at December 31, 2015 and 2016.</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Dividends, excluding capital gain distributions, earned on available-for-sale sponsored investment portfolios totaled $14.7 million in 2014, $18.1 million in 2015, and $8.7 million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investments at December 31, 2016, include $149.2 million of investments in variable interest entities that we do not consolidate as we are not deemed the primary beneficiary. Our maximum risk of loss (in millions) related to our involvement with these entities at December 31, 2016,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carrying values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Unfunded capital commitments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994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9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unfunded capital commitments totaling $46.4 million relate primarily to investment partnerships in which we have an existing investment. In addition to such amounts, a percentage of prior distributions may be called under certain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FAIR VALUE MEASUREMENTS.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340" w:right="460" w:hanging="323"/>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125" w:right="239" w:bottom="1440" w:gutter="0" w:footer="0" w:header="0"/>
        </w:sectPr>
      </w:pPr>
    </w:p>
    <w:bookmarkStart w:id="56" w:name="page57"/>
    <w:bookmarkEnd w:id="5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(in millions) that are recognized in our consolidated balance sheets using fair value measurements determined based on the differing levels of inputs.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Level 2</w:t>
            </w: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4"/>
              </w:rPr>
              <w:t>2015</w:t>
            </w:r>
          </w:p>
        </w:tc>
        <w:tc>
          <w:tcPr>
            <w:tcW w:w="79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2,635.6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311"/>
        </w:trPr>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84"/>
              </w:rPr>
              <w:t>2016</w:t>
            </w:r>
          </w:p>
        </w:tc>
        <w:tc>
          <w:tcPr>
            <w:tcW w:w="7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5 – CONSOLIDATED SPONSORED INVESTMENT PORTFOLIOS.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sponsored investment portfolios that we consolidate in our consolidated financial statements are generally those products we provided initial seed capital at the time of their formation and have a controlling interest. Our U.S. sponsored investment portfolios are considered voting interest entities, while those regulated outside the U.S. are considered variable interest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portfolios at December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1"/>
              </w:rPr>
              <w:t>Voting</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3"/>
              </w:rPr>
              <w:t>Variable interest</w:t>
            </w: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0"/>
              </w:rPr>
              <w:t>interest entities</w:t>
            </w: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89"/>
              </w:rPr>
              <w:t>entities</w:t>
            </w:r>
          </w:p>
        </w:tc>
        <w:tc>
          <w:tcPr>
            <w:tcW w:w="3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third-party investors in these investment funds have no recourse to our credit, our overall risk related to the net assets of consolidated sponsored investment portfolios is limited to valuation changes associated with our net interest. We, however, are required to recognize the valuation changes associated with all underlying investments held by these portfolios in our consolidated statements of income and disclose the portion attributable to third-party investors as net income attributable to redeemable non-controlling interests.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125" w:right="239" w:bottom="1440" w:gutter="0" w:footer="0" w:header="0"/>
        </w:sectPr>
      </w:pPr>
    </w:p>
    <w:bookmarkStart w:id="57" w:name="page58"/>
    <w:bookmarkEnd w:id="5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operating results (in millions) of the consolidated sponsored investment portfolios for the year ended December 31, 2016, are reflected in our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7"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Year ended 12/31/2016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2023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operating expenses of these consolidated portfolios are reflected in other operating expenses. For the year ended December 31, 2016, we eliminated $6.5 million of these expenses against our investment advisory and administrative fees earned in preparing our consolidated financial statements. The net investment income reflected in non-operating income includes dividend and interest income and realized and unrealized gains and losses on the underlying securities held by the consolidated sponsored investment portfolios.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details the impact of these consolidated investment portfolios on the individual lines of our consolidated statement of cash flows (in millions)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7"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Year ended 12/31/2016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Voting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Variable interest</w:t>
            </w: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interest entities</w:t>
            </w:r>
          </w:p>
        </w:tc>
        <w:tc>
          <w:tcPr>
            <w:tcW w:w="2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entities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1,192.9</w:t>
            </w:r>
          </w:p>
        </w:tc>
        <w:tc>
          <w:tcPr>
            <w:tcW w:w="0" w:type="dxa"/>
            <w:vAlign w:val="bottom"/>
          </w:tcPr>
          <w:p>
            <w:pPr>
              <w:spacing w:after="0"/>
              <w:rPr>
                <w:sz w:val="1"/>
                <w:szCs w:val="1"/>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net cash provided by (used in) financing activities during 2016 includes $277.9 million of net subscriptions we made into the consolidated sponsored investment portfolios, net of dividends received. These cash flows were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determine the fair value of investments held by consolidated sponsored investment portfolios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50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420"/>
          </w:cols>
          <w:pgMar w:left="240" w:top="125" w:right="239" w:bottom="1440" w:gutter="0" w:footer="0" w:header="0"/>
        </w:sectPr>
      </w:pPr>
    </w:p>
    <w:bookmarkStart w:id="58" w:name="page59"/>
    <w:bookmarkEnd w:id="5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sponsored investment portfolios (in millions)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83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82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1"/>
                <w:szCs w:val="21"/>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Other investments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December 31, 2016</w:t>
            </w: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Cash equivalents</w:t>
            </w:r>
          </w:p>
        </w:tc>
        <w:tc>
          <w:tcPr>
            <w:tcW w:w="82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1"/>
                <w:szCs w:val="21"/>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Equity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Fixed income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 investments</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690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NOTE 6 – PROPERTY AND EQUIPMENT.</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3"/>
          </w:tcPr>
          <w:p>
            <w:pPr>
              <w:spacing w:after="0"/>
              <w:rPr>
                <w:sz w:val="20"/>
                <w:szCs w:val="20"/>
                <w:color w:val="auto"/>
              </w:rPr>
            </w:pPr>
            <w:r>
              <w:rPr>
                <w:rFonts w:ascii="Arial" w:cs="Arial" w:eastAsia="Arial" w:hAnsi="Arial"/>
                <w:sz w:val="18"/>
                <w:szCs w:val="18"/>
                <w:color w:val="auto"/>
              </w:rPr>
              <w:t>Property and equipment (in millions) at December 31 consists of:</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5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w w:val="94"/>
              </w:rPr>
              <w:t>2016</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Land</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1,313.5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820.4</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$19.6 million in 2014, $22.3 million in 2015, and $28.9 million in 2016 have been capitalized.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lease computer and other equipment under noncancelable operating leases. Related rental expense was $29.3 million in 2014, $31.1 million in 2015, and $32.8 million in 2016. Future minimum payments under these leases aggregate $29.1 million in 2017, $32.0 million in 2018, $31.4 million in 2019, $27.9 million in 2020, $26.2 million in 2021, and $115.1 million in later years.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20"/>
          </w:cols>
          <w:pgMar w:left="240" w:top="125" w:right="239" w:bottom="1440" w:gutter="0" w:footer="0" w:header="0"/>
        </w:sectPr>
      </w:pPr>
    </w:p>
    <w:bookmarkStart w:id="59" w:name="page60"/>
    <w:bookmarkEnd w:id="59"/>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7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 (tax benefits)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773.5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706.5</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(tax benefits) recognized as part of our provision for income taxes is related 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4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savings plan liability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Other-than-temporary impairments of available-for-sale investments</w:t>
            </w:r>
          </w:p>
        </w:tc>
        <w:tc>
          <w:tcPr>
            <w:tcW w:w="10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holding gains recognized in non-operating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taxes (tax benefits)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0"/>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2016</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Statutory U.S. federal income tax rate</w:t>
            </w:r>
          </w:p>
        </w:tc>
        <w:tc>
          <w:tcPr>
            <w:tcW w:w="580" w:type="dxa"/>
            <w:vAlign w:val="bottom"/>
          </w:tcPr>
          <w:p>
            <w:pPr>
              <w:jc w:val="right"/>
              <w:spacing w:after="0"/>
              <w:rPr>
                <w:sz w:val="20"/>
                <w:szCs w:val="20"/>
                <w:color w:val="auto"/>
              </w:rPr>
            </w:pPr>
            <w:r>
              <w:rPr>
                <w:rFonts w:ascii="Arial" w:cs="Arial" w:eastAsia="Arial" w:hAnsi="Arial"/>
                <w:sz w:val="18"/>
                <w:szCs w:val="18"/>
                <w:color w:val="auto"/>
                <w:w w:val="92"/>
              </w:rPr>
              <w:t>35.0 %</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35.0 %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680" w:type="dxa"/>
            <w:vAlign w:val="bottom"/>
            <w:gridSpan w:val="3"/>
          </w:tcPr>
          <w:p>
            <w:pPr>
              <w:jc w:val="right"/>
              <w:ind w:right="12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68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Other items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7"/>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38.6 %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38.9 %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20"/>
          </w:cols>
          <w:pgMar w:left="240" w:top="125" w:right="239" w:bottom="1440" w:gutter="0" w:footer="0" w:header="0"/>
        </w:sectPr>
      </w:pPr>
    </w:p>
    <w:bookmarkStart w:id="60" w:name="page61"/>
    <w:bookmarkEnd w:id="6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(in millions) recognized in our consolidated balance sheets in other assets relate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Net unrealized holding gains recognized in income</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Net unrealized holding gains on available-for-sale portfolio</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165.1</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Other-than-temporary impairments of investments in sponsored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Supplemental savings plan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Currency translation adjustment</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0"/>
        </w:trPr>
        <w:tc>
          <w:tcPr>
            <w:tcW w:w="8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right="240"/>
        <w:spacing w:after="0" w:line="232"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Upon adoption of ASU 2015-2 on January 1, 2016, $17.0 million of deferred tax liabilities associated with unrealized holding gains on our available-for-sale portfolio and $.3 million of deferred tax assets associated with currency translation adjustments were reclassified to deferred tax liabilities associated with unrealized holding gains recognized in income as the related sponsored investment portfolios are now consolidated and underlying investments are accounted for as trading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-556260</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2" w:lineRule="exact"/>
        <w:rPr>
          <w:sz w:val="20"/>
          <w:szCs w:val="20"/>
          <w:color w:val="auto"/>
        </w:rPr>
      </w:pPr>
    </w:p>
    <w:p>
      <w:pPr>
        <w:ind w:right="180"/>
        <w:spacing w:after="0" w:line="252"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6"/>
          <w:szCs w:val="16"/>
          <w:color w:val="auto"/>
        </w:rPr>
        <w:t>Upon adoption of ASU 2016-9 on January 1, 2016, we elected to account for forfeitures of stock-based compensation awards as they occur; therefore, the related deferred tax asset was increased $3.9 million for the cumulative effect adjustment recognized upon implementation of the new guidance.</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 deferred tax liability for unremitted earnings of our foreign subsidiaries has not been recognized, as it is our intention to indefinitely reinvest these earnings outside the U.S. The unremitted earnings of these subsidiaries are estimated to be $464 million at December 31, 2016. If these earnings were distributed to the U.S. in the form of dividends or otherwise, or if any of the entities were sold or otherwise transferred, we would be subject to U.S. income taxes, less any foreign tax credits. Determination of the amount of the unrecognized deferred tax liability related to these earnings is not practicable.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$2.4 million at December 31, 2015, and $8.1 million at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outflows from operating activities include net income taxes paid of $763.7 million in 2014, $778.6 million in 2015, and $680.6 million in 2016.</w:t>
      </w:r>
    </w:p>
    <w:p>
      <w:pPr>
        <w:spacing w:after="0" w:line="2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Additional income tax benefits of $53.4 million in 2014 and $23.2 million in 2015 arising from stock-based compensation plans activity reduced the amount of income taxes that would have otherwise been payable. The additional income tax benefits related to stock-based compensation in 2016 totaled $31.6 million and were recognized in the income tax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Expired statute of limitations</w:t>
            </w:r>
          </w:p>
        </w:tc>
        <w:tc>
          <w:tcPr>
            <w:tcW w:w="10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125" w:right="239" w:bottom="1440" w:gutter="0" w:footer="0" w:header="0"/>
        </w:sectPr>
      </w:pPr>
    </w:p>
    <w:bookmarkStart w:id="61" w:name="page62"/>
    <w:bookmarkEnd w:id="61"/>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recognized, these tax benefits would affect our effective tax rate; however, we do not expect that unrecognized tax benefits for tax positions taken with respect to 2016 and prior years will significantly change in 2017. The U.S. has concluded examinations related to federal tax obligations through the year 2015. A net interest payable related to our unrecognized tax benefits of $.9 million at December 31, 2015, and $1.2 million at December 31, 2016,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8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21,796,197 common shares as of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Regular cash dividends declared per share were $1.76 in 2014, $2.08 in 2015, and $2.16 in 2016. A $2.00 per share special dividend was also declared and paid during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CAPITAL.</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consolidated stockholders' equity at December 31, 2016, includes about $120 million that is restricted as to use by various regulations and agreements arising in the ordinary course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9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At December 31, 2016, a total of 43,550,967 shares of unissued common stock were authorized for issuance under our stock-based compensation plans. Additionally, a total of 561,646 shares are authorized for issuance under a plan whereby substantially all employees may acquire common stock through payroll deductions at prevailing market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Weighted-average</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remaining</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average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contractual</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exercise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term in</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2"/>
              </w:rPr>
              <w:t>price</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30,818,229</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59.24</w:t>
            </w: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26,100</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(5,943,654)</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47.21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(497,671)</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72.26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Pr>
          <w:p>
            <w:pPr>
              <w:jc w:val="right"/>
              <w:spacing w:after="0"/>
              <w:rPr>
                <w:sz w:val="20"/>
                <w:szCs w:val="20"/>
                <w:color w:val="auto"/>
              </w:rPr>
            </w:pPr>
            <w:r>
              <w:rPr>
                <w:rFonts w:ascii="Arial" w:cs="Arial" w:eastAsia="Arial" w:hAnsi="Arial"/>
                <w:sz w:val="18"/>
                <w:szCs w:val="18"/>
                <w:color w:val="auto"/>
              </w:rPr>
              <w:t>(38,682)</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74.26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24,364,322</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61.90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Exercisable at December 31, 2016</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17,528,991</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57.17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Compensation and related costs includes a charge for stock option-based compensation expense of $63.4 million in 2014, $63.7 million in 2015, and $44.9 million in 2016.</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$196.5 million in 2014, $108.1 million in 2015, and $150.5 million in 2016. At December 31, 2016, the aggregate intrinsic value of in-the-money options outstanding was $345.9 million, including $323.4 million related to options exercisable.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420"/>
          </w:cols>
          <w:pgMar w:left="240" w:top="125" w:right="239" w:bottom="1440" w:gutter="0" w:footer="0" w:header="0"/>
        </w:sectPr>
      </w:pPr>
    </w:p>
    <w:bookmarkStart w:id="62" w:name="page63"/>
    <w:bookmarkEnd w:id="62"/>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Restricted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Weighted-</w:t>
            </w:r>
          </w:p>
        </w:tc>
      </w:tr>
      <w:tr>
        <w:trPr>
          <w:trHeight w:val="216"/>
        </w:trPr>
        <w:tc>
          <w:tcPr>
            <w:tcW w:w="6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Restricted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stock</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6"/>
              </w:rPr>
              <w:t>average</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5"/>
              </w:rPr>
              <w:t>fair value</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December 31, 2015</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1,470,827</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2,216,431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74.66</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2,795,029</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259,312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69.94</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(value at vest date was $76.7 million)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(483,481)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(524,233)</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(61,038)</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(112,078)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74.54</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931,508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4,634,461</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72.19</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nonvested at December 31, 2016, includes 14,400 performance-based restricted shares and 403,448 performance-based restricted stock units. These nonvested performance-based restricted shares and units include 14,400 shares and 116,865 units for which the performance period has lapsed and the performance threshold has been met.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$70.0 million in 2014, $85.3 million in 2015, and $116.7 million in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2016, non-employee directors held 61,397 vested stock units that will convert to common shares upon their separation from the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following table presents the compensation expense (in millions) to be recognized over the remaining vesting periods of the stock-based awards outstanding at December 31, 2016. Estimated future compensation expense will change to reflect future option grants, future awards of unrestricted shares and restricted stock units,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quarter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2017</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2018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025" w:hanging="1025"/>
        <w:spacing w:after="0"/>
        <w:tabs>
          <w:tab w:leader="none" w:pos="10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37.5</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37.5</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37.6</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33.6</w:t>
      </w:r>
    </w:p>
    <w:p>
      <w:pPr>
        <w:spacing w:after="0" w:line="1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146.2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157.5</w:t>
      </w:r>
    </w:p>
    <w:p>
      <w:pPr>
        <w:spacing w:after="0" w:line="77" w:lineRule="exact"/>
        <w:rPr>
          <w:sz w:val="20"/>
          <w:szCs w:val="20"/>
          <w:color w:val="auto"/>
        </w:rPr>
      </w:pPr>
    </w:p>
    <w:p>
      <w:pPr>
        <w:ind w:left="925" w:hanging="925"/>
        <w:spacing w:after="0"/>
        <w:tabs>
          <w:tab w:leader="none" w:pos="9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303.7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125"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62</w:t>
      </w:r>
    </w:p>
    <w:p>
      <w:pPr>
        <w:sectPr>
          <w:pgSz w:w="11900" w:h="16838" w:orient="portrait"/>
          <w:cols w:equalWidth="0" w:num="1">
            <w:col w:w="11420"/>
          </w:cols>
          <w:pgMar w:left="240" w:top="125" w:right="239" w:bottom="1440" w:gutter="0" w:footer="0" w:header="0"/>
          <w:type w:val="continuous"/>
        </w:sectPr>
      </w:pPr>
    </w:p>
    <w:bookmarkStart w:id="63" w:name="page64"/>
    <w:bookmarkEnd w:id="6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10 – EARNINGS PER SHARE CALCULATIONS.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reconciliation (in millions) of net income attributable to T. Rowe Price Group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1,215.0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1,215.4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1,206.9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1,189.5</w:t>
            </w:r>
          </w:p>
        </w:tc>
      </w:tr>
      <w:tr>
        <w:trPr>
          <w:trHeight w:val="311"/>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assuming dilution</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64"/>
        </w:trPr>
        <w:tc>
          <w:tcPr>
            <w:tcW w:w="7780" w:type="dxa"/>
            <w:vAlign w:val="bottom"/>
            <w:gridSpan w:val="2"/>
          </w:tcPr>
          <w:p>
            <w:pPr>
              <w:jc w:val="right"/>
              <w:ind w:right="3770"/>
              <w:spacing w:after="0"/>
              <w:rPr>
                <w:sz w:val="20"/>
                <w:szCs w:val="20"/>
                <w:color w:val="auto"/>
              </w:rPr>
            </w:pPr>
            <w:r>
              <w:rPr>
                <w:rFonts w:ascii="Arial" w:cs="Arial" w:eastAsia="Arial" w:hAnsi="Arial"/>
                <w:sz w:val="18"/>
                <w:szCs w:val="18"/>
                <w:color w:val="auto"/>
                <w:w w:val="90"/>
              </w:rPr>
              <w:t>Weighted-average outstanding stock options excluded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0"/>
        </w:trPr>
        <w:tc>
          <w:tcPr>
            <w:tcW w:w="6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11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benefits (income taxes) impact of the components (in millions) of other comprehensive income.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benefits (income taxes) on:</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unrealized holding gains or losses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Reclassification adjustments recognized in the provision for income taxes: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6740" w:type="dxa"/>
            <w:vAlign w:val="bottom"/>
          </w:tcPr>
          <w:p>
            <w:pPr>
              <w:ind w:left="440"/>
              <w:spacing w:after="0"/>
              <w:rPr>
                <w:sz w:val="20"/>
                <w:szCs w:val="20"/>
                <w:color w:val="auto"/>
              </w:rPr>
            </w:pPr>
            <w:r>
              <w:rPr>
                <w:rFonts w:ascii="Arial" w:cs="Arial" w:eastAsia="Arial" w:hAnsi="Arial"/>
                <w:sz w:val="18"/>
                <w:szCs w:val="18"/>
                <w:color w:val="auto"/>
              </w:rPr>
              <w:t>Net gains realized on dispositions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Other-than-temporary impairments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recognized in other comprehensive income</w:t>
            </w:r>
          </w:p>
        </w:tc>
        <w:tc>
          <w:tcPr>
            <w:tcW w:w="10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Reclassification adjustment recognized in the provision for income taxes upon</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deconsolidation of sponsored fund subsidiary</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benefits (income taxes) on currency translation adjustments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tax benefits (income taxes)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125" w:right="239" w:bottom="1440" w:gutter="0" w:footer="0" w:header="0"/>
        </w:sectPr>
      </w:pPr>
    </w:p>
    <w:bookmarkStart w:id="64" w:name="page65"/>
    <w:bookmarkEnd w:id="64"/>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millions) in each component of accumulated other comprehensive income for each year ended December 31 are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Currency translation adjustments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22"/>
        </w:trPr>
        <w:tc>
          <w:tcPr>
            <w:tcW w:w="4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Consolidated</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sponsored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investment portfolios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Total currency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Net unrealized</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Equity method</w:t>
            </w:r>
          </w:p>
        </w:tc>
        <w:tc>
          <w:tcPr>
            <w:tcW w:w="1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 variable interest</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translation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holding gains</w:t>
            </w: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investments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entities</w:t>
            </w:r>
          </w:p>
        </w:tc>
        <w:tc>
          <w:tcPr>
            <w:tcW w:w="18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adjustments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37"/>
        </w:trPr>
        <w:tc>
          <w:tcPr>
            <w:tcW w:w="45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37"/>
        </w:trPr>
        <w:tc>
          <w:tcPr>
            <w:tcW w:w="45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Reclassification of accumulated other comprehensive</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income to retained earnings upon adoption of the new</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consolidation accounting guidance</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37"/>
        </w:trPr>
        <w:tc>
          <w:tcPr>
            <w:tcW w:w="45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12 – DELL APPRAISAL RIGHTS MATTER.</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20"/>
          </w:cols>
          <w:pgMar w:left="240" w:top="125" w:right="239" w:bottom="1440" w:gutter="0" w:footer="0" w:header="0"/>
        </w:sectPr>
      </w:pPr>
    </w:p>
    <w:bookmarkStart w:id="65" w:name="page66"/>
    <w:bookmarkEnd w:id="65"/>
    <w:p>
      <w:pPr>
        <w:jc w:val="center"/>
        <w:ind w:right="-3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30, 2016, we signed a settlement agreement with our insurance carrier for insurance proceeds totaling $100.0 million related to this matter. We recognized the proceeds as a reduction to the $166.2 million nonrecurring charge that we previously recognized during 2016 and have included a receivable for the proceeds in other assets at December 31, 2016. We received the insurance proceeds on January 24, 2017. Remaining insurance claims filed with respect to this matter that could result in an additional recovery of up to $50 million are still pending.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13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RETIREMENT PLANS.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$70.6 million in 2014, $74.9 million in 2015, and $80.7 million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SAVINGS PLAN.</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Supplemental Savings Plan, effective January 1, 2015, provides certain senior officers the opportunity to defer receipt of up to 100% of their cash incentive compensation earned for a respective calendar year during which services are provided. The amounts deferred are adjusted in accordance with the hypothetical investments chosen by the officer from a list of mutual funds. The officer can initially defer these amounts for a period of two to 15 years. For the year-ended December 31, 2015 and 2016, senior officers elected to defer $72.8 million and $83.4 million, respectively.</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320"/>
          </w:cols>
          <w:pgMar w:left="24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NOTE 14 – SUPPLEMENTARY CONSOLIDATING CASH FLOW SCHEDULE.</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summarizes the cash flows (in millions) for the year ended December 31, 2016, that are attributable to T. Rowe Price Group, our consolidated sponsored investment portfolios, and the related eliminations required in preparing the statement.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Year ended 12/31/2016</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Cash flow</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As reported for</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Cash flow</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 T.</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statement of cash</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12/31/2015</w:t>
            </w:r>
          </w:p>
        </w:tc>
        <w:tc>
          <w:tcPr>
            <w:tcW w:w="10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Rowe Price Group</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investment portfolios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flows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1,254.0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income to net cash provided by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3"/>
              </w:rPr>
              <w:t>Realized gains on dispositions of available-for-sale sponsored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0"/>
              </w:rPr>
              <w:t>Net change in trading securities held by consolidated sponsored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420"/>
          </w:cols>
          <w:pgMar w:left="240" w:top="368" w:right="239" w:bottom="1440" w:gutter="0" w:footer="0" w:header="0"/>
        </w:sectPr>
      </w:pPr>
    </w:p>
    <w:bookmarkStart w:id="67" w:name="page68"/>
    <w:bookmarkEnd w:id="67"/>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15 – SUPPLEMENTARY QUARTERLY FINANCIAL DATA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Net income</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attributable to 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Basic earnings 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Diluted earnings on</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5"/>
              </w:rPr>
              <w:t>Net revenues</w:t>
            </w: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Rowe Price Group</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0"/>
              <w:spacing w:after="0" w:line="257" w:lineRule="exact"/>
              <w:rPr>
                <w:sz w:val="20"/>
                <w:szCs w:val="20"/>
                <w:color w:val="auto"/>
              </w:rPr>
            </w:pPr>
            <w:r>
              <w:rPr>
                <w:rFonts w:ascii="Arial" w:cs="Arial" w:eastAsia="Arial" w:hAnsi="Arial"/>
                <w:sz w:val="18"/>
                <w:szCs w:val="18"/>
                <w:color w:val="auto"/>
                <w:w w:val="90"/>
              </w:rPr>
              <w:t>common stock</w:t>
            </w:r>
            <w:r>
              <w:rPr>
                <w:rFonts w:ascii="Arial" w:cs="Arial" w:eastAsia="Arial" w:hAnsi="Arial"/>
                <w:sz w:val="25"/>
                <w:szCs w:val="25"/>
                <w:color w:val="auto"/>
                <w:w w:val="90"/>
                <w:vertAlign w:val="superscript"/>
              </w:rPr>
              <w:t>(1)</w:t>
            </w:r>
          </w:p>
        </w:tc>
        <w:tc>
          <w:tcPr>
            <w:tcW w:w="1680" w:type="dxa"/>
            <w:vAlign w:val="bottom"/>
            <w:tcBorders>
              <w:bottom w:val="single" w:sz="8" w:color="auto"/>
            </w:tcBorders>
            <w:gridSpan w:val="2"/>
            <w:shd w:val="clear" w:color="auto" w:fill="CCEEFF"/>
          </w:tcPr>
          <w:p>
            <w:pPr>
              <w:jc w:val="right"/>
              <w:ind w:right="90"/>
              <w:spacing w:after="0" w:line="257" w:lineRule="exact"/>
              <w:rPr>
                <w:sz w:val="20"/>
                <w:szCs w:val="20"/>
                <w:color w:val="auto"/>
              </w:rPr>
            </w:pPr>
            <w:r>
              <w:rPr>
                <w:rFonts w:ascii="Arial" w:cs="Arial" w:eastAsia="Arial" w:hAnsi="Arial"/>
                <w:sz w:val="18"/>
                <w:szCs w:val="18"/>
                <w:color w:val="auto"/>
              </w:rPr>
              <w:t>common stock</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2"/>
          </w:tcPr>
          <w:p>
            <w:pPr>
              <w:jc w:val="right"/>
              <w:ind w:right="330"/>
              <w:spacing w:after="0"/>
              <w:rPr>
                <w:sz w:val="20"/>
                <w:szCs w:val="20"/>
                <w:color w:val="auto"/>
              </w:rPr>
            </w:pPr>
            <w:r>
              <w:rPr>
                <w:rFonts w:ascii="Arial" w:cs="Arial" w:eastAsia="Arial" w:hAnsi="Arial"/>
                <w:sz w:val="18"/>
                <w:szCs w:val="18"/>
                <w:color w:val="auto"/>
              </w:rPr>
              <w:t>(per share)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2015</w:t>
            </w:r>
          </w:p>
        </w:tc>
        <w:tc>
          <w:tcPr>
            <w:tcW w:w="1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80" w:type="dxa"/>
            <w:vAlign w:val="bottom"/>
            <w:gridSpan w:val="4"/>
          </w:tcPr>
          <w:p>
            <w:pPr>
              <w:ind w:left="40"/>
              <w:spacing w:after="0"/>
              <w:rPr>
                <w:sz w:val="20"/>
                <w:szCs w:val="20"/>
                <w:color w:val="auto"/>
              </w:rPr>
            </w:pPr>
            <w:r>
              <w:rPr>
                <w:rFonts w:ascii="Arial" w:cs="Arial" w:eastAsia="Arial" w:hAnsi="Arial"/>
                <w:sz w:val="18"/>
                <w:szCs w:val="18"/>
                <w:color w:val="auto"/>
              </w:rPr>
              <w:t>1st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1,027.0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8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080" w:type="dxa"/>
            <w:vAlign w:val="bottom"/>
            <w:gridSpan w:val="4"/>
          </w:tcPr>
          <w:p>
            <w:pPr>
              <w:ind w:left="40"/>
              <w:spacing w:after="0"/>
              <w:rPr>
                <w:sz w:val="20"/>
                <w:szCs w:val="20"/>
                <w:color w:val="auto"/>
              </w:rPr>
            </w:pPr>
            <w:r>
              <w:rPr>
                <w:rFonts w:ascii="Arial" w:cs="Arial" w:eastAsia="Arial" w:hAnsi="Arial"/>
                <w:sz w:val="18"/>
                <w:szCs w:val="18"/>
                <w:color w:val="auto"/>
              </w:rPr>
              <w:t>3rd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1,049.0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8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0" w:type="dxa"/>
            <w:vAlign w:val="bottom"/>
            <w:tcBorders>
              <w:bottom w:val="single" w:sz="8" w:color="CCEEFF"/>
            </w:tcBorders>
            <w:gridSpan w:val="2"/>
            <w:vMerge w:val="restart"/>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2016</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5"/>
              </w:rPr>
              <w:t>(2)</w:t>
            </w:r>
          </w:p>
        </w:tc>
        <w:tc>
          <w:tcPr>
            <w:tcW w:w="254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0" w:type="dxa"/>
            <w:vAlign w:val="bottom"/>
            <w:gridSpan w:val="2"/>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540" w:type="dxa"/>
            <w:vAlign w:val="bottom"/>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1st quarter</w:t>
            </w:r>
            <w:r>
              <w:rPr>
                <w:rFonts w:ascii="Arial" w:cs="Arial" w:eastAsia="Arial" w:hAnsi="Arial"/>
                <w:sz w:val="25"/>
                <w:szCs w:val="25"/>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994.1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30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2nd quarter</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1,044.7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8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080" w:type="dxa"/>
            <w:vAlign w:val="bottom"/>
            <w:gridSpan w:val="4"/>
          </w:tcPr>
          <w:p>
            <w:pPr>
              <w:ind w:left="40"/>
              <w:spacing w:after="0"/>
              <w:rPr>
                <w:sz w:val="20"/>
                <w:szCs w:val="20"/>
                <w:color w:val="auto"/>
              </w:rPr>
            </w:pPr>
            <w:r>
              <w:rPr>
                <w:rFonts w:ascii="Arial" w:cs="Arial" w:eastAsia="Arial" w:hAnsi="Arial"/>
                <w:sz w:val="18"/>
                <w:szCs w:val="18"/>
                <w:color w:val="auto"/>
              </w:rPr>
              <w:t>3rd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1,092.9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8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sums of quarterly earnings per share do not equal annual earnings per share because the computations are done independently.</w:t>
      </w:r>
    </w:p>
    <w:p>
      <w:pPr>
        <w:ind w:firstLine="8"/>
        <w:spacing w:after="0" w:line="278" w:lineRule="auto"/>
        <w:tabs>
          <w:tab w:leader="none" w:pos="153"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The second quarter of 2016 includes a nonrecurring operating charge of $166.2 million, or $.39 in diluted earnings per share, related to our decision to compensate certain clients in regard to the Dell appraisal rights matter. In the fourth quarter of 2016, we recognized an offset to this charge for a related insurance recovery of $100 million, or $.24 in diluted earnings per share. For more details related to the Dell appraisal rights matter, see Note 12 to the consolidated financial statements.</w:t>
      </w:r>
    </w:p>
    <w:p>
      <w:pPr>
        <w:ind w:right="260"/>
        <w:spacing w:after="0" w:line="224" w:lineRule="auto"/>
        <w:rPr>
          <w:rFonts w:ascii="Arial" w:cs="Arial" w:eastAsia="Arial" w:hAnsi="Arial"/>
          <w:sz w:val="17"/>
          <w:szCs w:val="17"/>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Net income, net income attributable to T. Rowe Price Group, and earnings per share data have been restated for the early adoption of ASU 2016-9 Improvements to Employee Share-Based Payment Accounting. See the Summary of Significant Accounting Policies in the notes to the consolidated financial statements contained in Part II, Item 8 of this filing for more information related to the impact of this new guidance.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67</w:t>
      </w:r>
    </w:p>
    <w:p>
      <w:pPr>
        <w:sectPr>
          <w:pgSz w:w="11900" w:h="16838" w:orient="portrait"/>
          <w:cols w:equalWidth="0" w:num="1">
            <w:col w:w="11400"/>
          </w:cols>
          <w:pgMar w:left="240" w:top="125" w:right="259" w:bottom="1440" w:gutter="0" w:footer="0" w:header="0"/>
        </w:sectPr>
      </w:pPr>
    </w:p>
    <w:bookmarkStart w:id="68" w:name="page69"/>
    <w:bookmarkEnd w:id="68"/>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2016 and 2015, and the related consolidated statements of income, comprehensive income, stockholders’ equity, and cash flows for each of the years in the three-year period ended December 31,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2016 and 2015, and the results of their operations and their cash flows for each of the years in the three-year period ended December 31, 2016, in conformity with U.S. generally accepted accounting principles.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 Rowe Price Group, Inc.’s internal control over financial reporting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and our report dated February 7, 2017 expressed an unqualified opinion on the effectiveness of T. Rowe Price Group, Inc.’s internal control over financial reporting.</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68</w:t>
      </w:r>
    </w:p>
    <w:p>
      <w:pPr>
        <w:sectPr>
          <w:pgSz w:w="11900" w:h="16838" w:orient="portrait"/>
          <w:cols w:equalWidth="0" w:num="1">
            <w:col w:w="11380"/>
          </w:cols>
          <w:pgMar w:left="240" w:top="125" w:right="279" w:bottom="1440" w:gutter="0" w:footer="0" w:header="0"/>
        </w:sectPr>
      </w:pPr>
    </w:p>
    <w:bookmarkStart w:id="69" w:name="page70"/>
    <w:bookmarkEnd w:id="69"/>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2016. Based on that evaluation, our principal executive and principal financial officers have concluded that our disclosure controls and procedures as of December 31, 2016,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2016, and has concluded that there was no change during the fourth quarter of 2016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69</w:t>
      </w:r>
    </w:p>
    <w:p>
      <w:pPr>
        <w:sectPr>
          <w:pgSz w:w="11900" w:h="16838" w:orient="portrait"/>
          <w:cols w:equalWidth="0" w:num="1">
            <w:col w:w="11380"/>
          </w:cols>
          <w:pgMar w:left="240" w:top="125" w:right="279" w:bottom="1440" w:gutter="0" w:footer="0" w:header="0"/>
        </w:sectPr>
      </w:pPr>
    </w:p>
    <w:bookmarkStart w:id="70" w:name="page71"/>
    <w:bookmarkEnd w:id="70"/>
    <w:p>
      <w:pPr>
        <w:jc w:val="center"/>
        <w:ind w:right="-31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Inc.,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2016,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assessment, we believe that the company’s internal control over financial reporting was effective as of December 31, 2016.</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2016.</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70</w:t>
      </w:r>
    </w:p>
    <w:p>
      <w:pPr>
        <w:sectPr>
          <w:pgSz w:w="11900" w:h="16838" w:orient="portrait"/>
          <w:cols w:equalWidth="0" w:num="1">
            <w:col w:w="11340"/>
          </w:cols>
          <w:pgMar w:left="240" w:top="125" w:right="319" w:bottom="1440" w:gutter="0" w:footer="0" w:header="0"/>
        </w:sectPr>
      </w:pPr>
    </w:p>
    <w:bookmarkStart w:id="71" w:name="page72"/>
    <w:bookmarkEnd w:id="71"/>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 Rowe Price Group, Inc. ’s (“the Company”) internal control over financial reporting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In our opinion, T. Rowe Price Group,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2016 and 2015, and the related consolidated statements of income, comprehensive income, stockholders’ equity, and cash flows for each of the years in the three-year period ended December 31, 2016, and our report dated February 7, 2017, expressed an unqualified opinion on those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71</w:t>
      </w:r>
    </w:p>
    <w:p>
      <w:pPr>
        <w:sectPr>
          <w:pgSz w:w="11900" w:h="16838" w:orient="portrait"/>
          <w:cols w:equalWidth="0" w:num="1">
            <w:col w:w="11360"/>
          </w:cols>
          <w:pgMar w:left="240" w:top="125" w:right="299" w:bottom="1440" w:gutter="0" w:footer="0" w:header="0"/>
        </w:sectPr>
      </w:pPr>
    </w:p>
    <w:bookmarkStart w:id="72" w:name="page73"/>
    <w:bookmarkEnd w:id="72"/>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2017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2017 Annual Meeting of our stockholders.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Financial Statement Schedules.</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84" w:lineRule="exact"/>
        <w:rPr>
          <w:rFonts w:ascii="Arial" w:cs="Arial" w:eastAsia="Arial" w:hAnsi="Arial"/>
          <w:sz w:val="18"/>
          <w:szCs w:val="18"/>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4" w:lineRule="exact"/>
        <w:rPr>
          <w:rFonts w:ascii="Arial" w:cs="Arial" w:eastAsia="Arial" w:hAnsi="Arial"/>
          <w:sz w:val="18"/>
          <w:szCs w:val="18"/>
          <w:color w:val="auto"/>
        </w:rPr>
      </w:pPr>
    </w:p>
    <w:p>
      <w:pPr>
        <w:ind w:left="500" w:right="480" w:hanging="465"/>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10.07 through 10.19.2.</w:t>
      </w:r>
    </w:p>
    <w:p>
      <w:pPr>
        <w:spacing w:after="0" w:line="13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w:t>
            </w:r>
          </w:p>
        </w:tc>
        <w:tc>
          <w:tcPr>
            <w:tcW w:w="9760" w:type="dxa"/>
            <w:vAlign w:val="bottom"/>
          </w:tcPr>
          <w:p>
            <w:pPr>
              <w:ind w:left="58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7"/>
              </w:rPr>
              <w:t>from Form 10-Q Report for the quarterly period ended March 31, 2008 filed on April 24, 2008;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9760" w:type="dxa"/>
            <w:vAlign w:val="bottom"/>
          </w:tcPr>
          <w:p>
            <w:pPr>
              <w:ind w:left="580"/>
              <w:spacing w:after="0"/>
              <w:rPr>
                <w:sz w:val="20"/>
                <w:szCs w:val="20"/>
                <w:color w:val="auto"/>
              </w:rPr>
            </w:pPr>
            <w:r>
              <w:rPr>
                <w:rFonts w:ascii="Arial" w:cs="Arial" w:eastAsia="Arial" w:hAnsi="Arial"/>
                <w:sz w:val="18"/>
                <w:szCs w:val="18"/>
                <w:color w:val="auto"/>
                <w:w w:val="94"/>
              </w:rPr>
              <w:t>Amended and Restated By-Laws of T. Rowe Price Group, Inc. as of December 10, 2015. (Incorporated by reference from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Form 8-K Current Report filed on December 10, 2015;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10.01.1</w:t>
            </w:r>
          </w:p>
        </w:tc>
        <w:tc>
          <w:tcPr>
            <w:tcW w:w="9760" w:type="dxa"/>
            <w:vAlign w:val="bottom"/>
          </w:tcPr>
          <w:p>
            <w:pPr>
              <w:ind w:left="580"/>
              <w:spacing w:after="0"/>
              <w:rPr>
                <w:sz w:val="20"/>
                <w:szCs w:val="20"/>
                <w:color w:val="auto"/>
              </w:rPr>
            </w:pPr>
            <w:r>
              <w:rPr>
                <w:rFonts w:ascii="Arial" w:cs="Arial" w:eastAsia="Arial" w:hAnsi="Arial"/>
                <w:sz w:val="18"/>
                <w:szCs w:val="18"/>
                <w:color w:val="auto"/>
                <w:w w:val="90"/>
              </w:rPr>
              <w:t>Representative Investment Management Agreement for the T. Rowe Price mutual funds that pay a management fee consisting</w:t>
            </w:r>
          </w:p>
        </w:tc>
      </w:tr>
      <w:tr>
        <w:trPr>
          <w:trHeight w:val="216"/>
        </w:trPr>
        <w:tc>
          <w:tcPr>
            <w:tcW w:w="1120" w:type="dxa"/>
            <w:vAlign w:val="bottom"/>
          </w:tcPr>
          <w:p>
            <w:pPr>
              <w:spacing w:after="0"/>
              <w:rPr>
                <w:sz w:val="18"/>
                <w:szCs w:val="18"/>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8"/>
              </w:rPr>
              <w:t>of two components - a group management fee and individual management fee. (Incorporated by reference from Form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485BPOS filed on August 12, 2015; File No. 002-65539.)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10.01.2</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Investment Management Agreement for the T. Rowe Price mutual funds that pay an individual management</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fee. (Incorporated by reference from Form 485BPOS filed on August 14, 2014;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10.01.3</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Investment Management Agreement for the T. Rowe Price mutual funds that pay an all-inclusive fee (i.e., a</w:t>
            </w:r>
          </w:p>
        </w:tc>
      </w:tr>
      <w:tr>
        <w:trPr>
          <w:trHeight w:val="216"/>
        </w:trPr>
        <w:tc>
          <w:tcPr>
            <w:tcW w:w="1120" w:type="dxa"/>
            <w:vAlign w:val="bottom"/>
          </w:tcPr>
          <w:p>
            <w:pPr>
              <w:spacing w:after="0"/>
              <w:rPr>
                <w:sz w:val="18"/>
                <w:szCs w:val="18"/>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single fee that covers investment management and ordinary recurring operating expenses). (Incorporated by reference from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Form 485BPOS filed on April 23, 2014; File No. 333-84634.)</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10.02</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Underwriting Agreement between a T. Rowe Price mutual fund and T. Rowe Price Investment Services, Inc.</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(Incorporated by reference from Form N-1A/A filed on August 29, 2006; File No. 333-136805.)</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10.03</w:t>
            </w:r>
          </w:p>
        </w:tc>
        <w:tc>
          <w:tcPr>
            <w:tcW w:w="9760" w:type="dxa"/>
            <w:vAlign w:val="bottom"/>
          </w:tcPr>
          <w:p>
            <w:pPr>
              <w:ind w:left="580"/>
              <w:spacing w:after="0"/>
              <w:rPr>
                <w:sz w:val="20"/>
                <w:szCs w:val="20"/>
                <w:color w:val="auto"/>
              </w:rPr>
            </w:pPr>
            <w:r>
              <w:rPr>
                <w:rFonts w:ascii="Arial" w:cs="Arial" w:eastAsia="Arial" w:hAnsi="Arial"/>
                <w:sz w:val="18"/>
                <w:szCs w:val="18"/>
                <w:color w:val="auto"/>
                <w:w w:val="92"/>
              </w:rPr>
              <w:t>Transfer Agency and Service Agreement as of January 1, 2016, between T. Rowe Price Services, Inc. and the T. Rowe Price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27, 2016; File No. 033-16567.)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9760" w:type="dxa"/>
            <w:vAlign w:val="bottom"/>
          </w:tcPr>
          <w:p>
            <w:pPr>
              <w:ind w:left="580"/>
              <w:spacing w:after="0"/>
              <w:rPr>
                <w:sz w:val="20"/>
                <w:szCs w:val="20"/>
                <w:color w:val="auto"/>
              </w:rPr>
            </w:pPr>
            <w:r>
              <w:rPr>
                <w:rFonts w:ascii="Arial" w:cs="Arial" w:eastAsia="Arial" w:hAnsi="Arial"/>
                <w:sz w:val="18"/>
                <w:szCs w:val="18"/>
                <w:color w:val="auto"/>
                <w:w w:val="94"/>
              </w:rPr>
              <w:t>Agreement as of January 1, 2016, between T. Rowe Price Retirement Plan Services, Inc. and certain of the T. Rowe Price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27, 2016; File No. 033-16567.)</w:t>
            </w:r>
          </w:p>
        </w:tc>
      </w:tr>
    </w:tbl>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72</w:t>
      </w:r>
    </w:p>
    <w:p>
      <w:pPr>
        <w:sectPr>
          <w:pgSz w:w="11900" w:h="16838" w:orient="portrait"/>
          <w:cols w:equalWidth="0" w:num="1">
            <w:col w:w="11380"/>
          </w:cols>
          <w:pgMar w:left="240" w:top="125"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80" w:type="dxa"/>
            <w:vAlign w:val="bottom"/>
            <w:tcBorders>
              <w:bottom w:val="single" w:sz="8" w:color="006EBF"/>
            </w:tcBorders>
          </w:tcPr>
          <w:p>
            <w:pPr>
              <w:spacing w:after="0"/>
              <w:rPr>
                <w:rFonts w:ascii="Arial" w:cs="Arial" w:eastAsia="Arial" w:hAnsi="Arial"/>
                <w:sz w:val="18"/>
                <w:szCs w:val="18"/>
                <w:color w:val="006EBF"/>
                <w:w w:val="88"/>
              </w:rPr>
            </w:pPr>
            <w:hyperlink w:anchor="page2">
              <w:r>
                <w:rPr>
                  <w:rFonts w:ascii="Arial" w:cs="Arial" w:eastAsia="Arial" w:hAnsi="Arial"/>
                  <w:sz w:val="18"/>
                  <w:szCs w:val="18"/>
                  <w:color w:val="006EBF"/>
                  <w:w w:val="88"/>
                </w:rPr>
                <w:t>Table of Contents</w:t>
              </w:r>
            </w:hyperlink>
          </w:p>
        </w:tc>
        <w:tc>
          <w:tcPr>
            <w:tcW w:w="4880" w:type="dxa"/>
            <w:vAlign w:val="bottom"/>
          </w:tcPr>
          <w:p>
            <w:pPr>
              <w:spacing w:after="0"/>
              <w:rPr>
                <w:sz w:val="17"/>
                <w:szCs w:val="17"/>
                <w:color w:val="auto"/>
              </w:rPr>
            </w:pPr>
          </w:p>
        </w:tc>
      </w:tr>
      <w:tr>
        <w:trPr>
          <w:trHeight w:val="627"/>
        </w:trPr>
        <w:tc>
          <w:tcPr>
            <w:tcW w:w="1120" w:type="dxa"/>
            <w:vAlign w:val="bottom"/>
          </w:tcPr>
          <w:p>
            <w:pPr>
              <w:spacing w:after="0"/>
              <w:rPr>
                <w:sz w:val="20"/>
                <w:szCs w:val="20"/>
                <w:color w:val="auto"/>
              </w:rPr>
            </w:pPr>
            <w:r>
              <w:rPr>
                <w:rFonts w:ascii="Arial" w:cs="Arial" w:eastAsia="Arial" w:hAnsi="Arial"/>
                <w:sz w:val="18"/>
                <w:szCs w:val="18"/>
                <w:color w:val="auto"/>
              </w:rPr>
              <w:t>10.05</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Agreement as of January 1, 2014, between T. Rowe Price Associates, Inc. and the T. Rowe Price Funds for Fund Accounting</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Services. (Incorporated by reference from Form 485BPOS filed on April 27, 2016; File No. 033-16567.)</w:t>
            </w:r>
          </w:p>
        </w:tc>
      </w:tr>
      <w:tr>
        <w:trPr>
          <w:trHeight w:val="499"/>
        </w:trPr>
        <w:tc>
          <w:tcPr>
            <w:tcW w:w="1120" w:type="dxa"/>
            <w:vAlign w:val="bottom"/>
          </w:tcPr>
          <w:p>
            <w:pPr>
              <w:spacing w:after="0"/>
              <w:rPr>
                <w:sz w:val="20"/>
                <w:szCs w:val="20"/>
                <w:color w:val="auto"/>
              </w:rPr>
            </w:pPr>
            <w:r>
              <w:rPr>
                <w:rFonts w:ascii="Arial" w:cs="Arial" w:eastAsia="Arial" w:hAnsi="Arial"/>
                <w:sz w:val="18"/>
                <w:szCs w:val="18"/>
                <w:color w:val="auto"/>
              </w:rPr>
              <w:t>10.08</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Statements of additional terms and conditions for awards granted under the Amended and Restated 2007 Non-Employee</w:t>
            </w:r>
          </w:p>
        </w:tc>
      </w:tr>
      <w:tr>
        <w:trPr>
          <w:trHeight w:val="216"/>
        </w:trPr>
        <w:tc>
          <w:tcPr>
            <w:tcW w:w="1120" w:type="dxa"/>
            <w:vAlign w:val="bottom"/>
          </w:tcPr>
          <w:p>
            <w:pPr>
              <w:spacing w:after="0"/>
              <w:rPr>
                <w:sz w:val="18"/>
                <w:szCs w:val="18"/>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5"/>
              </w:rPr>
              <w:t>Director Equity Plans after February 12, 2009. (Incorporated by reference from Form 10-Q for the quarterly period ended</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10.08.1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Amended and Restated 2007 Non-Employee Director Equity Plan. (Incorporated by reference from Form 10-K Annual Report</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for fiscal year ended December 31, 2015 filed on February 5, 2016;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T. Rowe Price Group, Inc. Outside Directors Deferred Compensation Plan. (Incorporated by reference from Form 10-K for</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2004 filed 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2001 Stock Incentive Plan. (Incorporated by reference from Form DEFR 14A filed on February 26, 2001; File No. 033-07012-</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First Amendment to 2001 Stock Incentive Plan dated April 8, 2004. (Incorporated by reference from Form DEF 14A filed on</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February 27, 2004;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2"/>
              </w:rPr>
              <w:t>Second Amendment to 2001 Stock Incentive Plan dated December 12, 2008. (Incorporated by reference from Form 10-Q for</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the 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2004 Stock Incentive Plan. (Incorporated by reference from Form 10-K for 2007 filed on February 7, 2008; File No. 033-</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HM Revenue and Customs Approved Sub-Plan for UK Employees under the 2004 Stock Incentive Plan. (Incorporated by</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First Amendment to 2004 Stock Incentive Plan dated December 12, 2008. (Incorporated by reference from Form 10-Q for the</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89"/>
              </w:rPr>
              <w:t>Forms of agreements available for stock-based awards issued under the 2001 and 2004 Stock Incentive Plans. (Incorporated by</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Forms of agreement for stock options issued under the HM Revenue and Customs Approved Sub-Plan for UK Employees</w:t>
            </w:r>
          </w:p>
        </w:tc>
      </w:tr>
      <w:tr>
        <w:trPr>
          <w:trHeight w:val="216"/>
        </w:trPr>
        <w:tc>
          <w:tcPr>
            <w:tcW w:w="1120" w:type="dxa"/>
            <w:vAlign w:val="bottom"/>
          </w:tcPr>
          <w:p>
            <w:pPr>
              <w:spacing w:after="0"/>
              <w:rPr>
                <w:sz w:val="18"/>
                <w:szCs w:val="18"/>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0"/>
              </w:rPr>
              <w:t>under the 2004 Stock Incentive Plan. (Incorporated by reference from Form 10-Q for the quarterly period ended June 30, 2010</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Forms of agreement for stock options issued after February 2, 2012 under the 2004 Stock Incentive Plan. (Incorporated by</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6"/>
              </w:rPr>
              <w:t>reference from Form 10-Q for the quarterly period ended June 30, 2012 filed on July 25, 2012;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 for restricted stock units issued after February 2, 2012 under the 2004 Stock Incentive Plan. (Incorporated</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4"/>
              </w:rPr>
              <w:t>by reference from Form 10-Q for the quarterly period ended June 30, 2012 filed on July 25, 2012;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10.15.4</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9"/>
              </w:rPr>
              <w:t>Forms of agreement for restricted stock awards issued after February 2, 2012 under the 2004 Stock Incentive Plan.</w:t>
            </w:r>
          </w:p>
        </w:tc>
      </w:tr>
      <w:tr>
        <w:trPr>
          <w:trHeight w:val="216"/>
        </w:trPr>
        <w:tc>
          <w:tcPr>
            <w:tcW w:w="1120" w:type="dxa"/>
            <w:vAlign w:val="bottom"/>
          </w:tcPr>
          <w:p>
            <w:pPr>
              <w:spacing w:after="0"/>
              <w:rPr>
                <w:sz w:val="18"/>
                <w:szCs w:val="18"/>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1"/>
              </w:rPr>
              <w:t>(Incorporated by reference from Form 10-Q for the quarterly period ended June 30, 2012 filed on July 25, 2012; File No. 033-</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Annual Incentive Compensation Pool. (Incorporated by reference from Form DEF 14A filed on March 3, 2003; File No. 033-</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3"/>
              </w:rPr>
              <w:t>Policy for Recoupment of Incentive Compensation. (Incorporated by reference from Form 8-K Current Report as of April 14,</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2010 filed on April 16,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10.18.1</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2"/>
              </w:rPr>
              <w:t>2012 Long-term Incentive Plan. (Incorporated by reference from Form 10-K for 2012 filed on February 4, 2013; File No. 000-</w:t>
            </w:r>
          </w:p>
        </w:tc>
      </w:tr>
      <w:tr>
        <w:trPr>
          <w:trHeight w:val="230"/>
        </w:trPr>
        <w:tc>
          <w:tcPr>
            <w:tcW w:w="1120" w:type="dxa"/>
            <w:vAlign w:val="bottom"/>
          </w:tcPr>
          <w:p>
            <w:pPr>
              <w:spacing w:after="0"/>
              <w:rPr>
                <w:sz w:val="20"/>
                <w:szCs w:val="20"/>
                <w:color w:val="auto"/>
              </w:rPr>
            </w:pPr>
          </w:p>
        </w:tc>
        <w:tc>
          <w:tcPr>
            <w:tcW w:w="3580" w:type="dxa"/>
            <w:vAlign w:val="bottom"/>
          </w:tcPr>
          <w:p>
            <w:pPr>
              <w:ind w:left="580"/>
              <w:spacing w:after="0"/>
              <w:rPr>
                <w:sz w:val="20"/>
                <w:szCs w:val="20"/>
                <w:color w:val="auto"/>
              </w:rPr>
            </w:pPr>
            <w:r>
              <w:rPr>
                <w:rFonts w:ascii="Arial" w:cs="Arial" w:eastAsia="Arial" w:hAnsi="Arial"/>
                <w:sz w:val="18"/>
                <w:szCs w:val="18"/>
                <w:color w:val="auto"/>
              </w:rPr>
              <w:t>32191.)</w:t>
            </w:r>
          </w:p>
        </w:tc>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10.18.2</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for restricted stock awards issued under the 2012 Long-term Incentive Plan. (Incorporated by reference</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from Form 10-Q Report for the quarterly period ended June 30, 2012 filed on July 25, 2012;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10.18.3</w:t>
            </w: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 for restricted stock units issued under the 2012 Long-term Incentive Plan. (Incorporated by reference from</w:t>
            </w:r>
          </w:p>
        </w:tc>
      </w:tr>
      <w:tr>
        <w:trPr>
          <w:trHeight w:val="230"/>
        </w:trPr>
        <w:tc>
          <w:tcPr>
            <w:tcW w:w="1120" w:type="dxa"/>
            <w:vAlign w:val="bottom"/>
          </w:tcPr>
          <w:p>
            <w:pPr>
              <w:spacing w:after="0"/>
              <w:rPr>
                <w:sz w:val="20"/>
                <w:szCs w:val="20"/>
                <w:color w:val="auto"/>
              </w:rPr>
            </w:pPr>
          </w:p>
        </w:tc>
        <w:tc>
          <w:tcPr>
            <w:tcW w:w="9740" w:type="dxa"/>
            <w:vAlign w:val="bottom"/>
            <w:gridSpan w:val="3"/>
          </w:tcPr>
          <w:p>
            <w:pPr>
              <w:ind w:left="580"/>
              <w:spacing w:after="0"/>
              <w:rPr>
                <w:sz w:val="20"/>
                <w:szCs w:val="20"/>
                <w:color w:val="auto"/>
              </w:rPr>
            </w:pPr>
            <w:r>
              <w:rPr>
                <w:rFonts w:ascii="Arial" w:cs="Arial" w:eastAsia="Arial" w:hAnsi="Arial"/>
                <w:sz w:val="18"/>
                <w:szCs w:val="18"/>
                <w:color w:val="auto"/>
              </w:rPr>
              <w:t>Form 10-Q Report for the quarterly period ended June 30, 2012 filed on July 25, 2012; File No. 000-32191.)</w:t>
            </w:r>
          </w:p>
        </w:tc>
      </w:tr>
    </w:tbl>
    <w:p>
      <w:pPr>
        <w:spacing w:after="0" w:line="200" w:lineRule="exact"/>
        <w:rPr>
          <w:sz w:val="20"/>
          <w:szCs w:val="20"/>
          <w:color w:val="auto"/>
        </w:rPr>
      </w:pPr>
    </w:p>
    <w:p>
      <w:pPr>
        <w:sectPr>
          <w:pgSz w:w="11900" w:h="16838" w:orient="portrait"/>
          <w:cols w:equalWidth="0" w:num="1">
            <w:col w:w="10860"/>
          </w:cols>
          <w:pgMar w:left="740" w:top="108" w:right="299" w:bottom="1440" w:gutter="0" w:footer="0" w:header="0"/>
        </w:sectPr>
      </w:pP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Page 73</w:t>
      </w:r>
    </w:p>
    <w:p>
      <w:pPr>
        <w:sectPr>
          <w:pgSz w:w="11900" w:h="16838" w:orient="portrait"/>
          <w:cols w:equalWidth="0" w:num="1">
            <w:col w:w="10860"/>
          </w:cols>
          <w:pgMar w:left="740" w:top="108" w:right="29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80" w:type="dxa"/>
            <w:vAlign w:val="bottom"/>
            <w:tcBorders>
              <w:bottom w:val="single" w:sz="8" w:color="006EBF"/>
            </w:tcBorders>
          </w:tcPr>
          <w:p>
            <w:pPr>
              <w:spacing w:after="0"/>
              <w:rPr>
                <w:rFonts w:ascii="Arial" w:cs="Arial" w:eastAsia="Arial" w:hAnsi="Arial"/>
                <w:sz w:val="18"/>
                <w:szCs w:val="18"/>
                <w:color w:val="006EBF"/>
                <w:w w:val="88"/>
              </w:rPr>
            </w:pPr>
            <w:hyperlink w:anchor="page2">
              <w:r>
                <w:rPr>
                  <w:rFonts w:ascii="Arial" w:cs="Arial" w:eastAsia="Arial" w:hAnsi="Arial"/>
                  <w:sz w:val="18"/>
                  <w:szCs w:val="18"/>
                  <w:color w:val="006EBF"/>
                  <w:w w:val="88"/>
                </w:rPr>
                <w:t>Table of Contents</w:t>
              </w:r>
            </w:hyperlink>
          </w:p>
        </w:tc>
        <w:tc>
          <w:tcPr>
            <w:tcW w:w="4900" w:type="dxa"/>
            <w:vAlign w:val="bottom"/>
          </w:tcPr>
          <w:p>
            <w:pPr>
              <w:spacing w:after="0"/>
              <w:rPr>
                <w:sz w:val="17"/>
                <w:szCs w:val="17"/>
                <w:color w:val="auto"/>
              </w:rPr>
            </w:pPr>
          </w:p>
        </w:tc>
      </w:tr>
      <w:tr>
        <w:trPr>
          <w:trHeight w:val="749"/>
        </w:trPr>
        <w:tc>
          <w:tcPr>
            <w:tcW w:w="1120" w:type="dxa"/>
            <w:vAlign w:val="bottom"/>
          </w:tcPr>
          <w:p>
            <w:pPr>
              <w:spacing w:after="0"/>
              <w:rPr>
                <w:sz w:val="20"/>
                <w:szCs w:val="20"/>
                <w:color w:val="auto"/>
              </w:rPr>
            </w:pPr>
            <w:r>
              <w:rPr>
                <w:rFonts w:ascii="Arial" w:cs="Arial" w:eastAsia="Arial" w:hAnsi="Arial"/>
                <w:sz w:val="18"/>
                <w:szCs w:val="18"/>
                <w:color w:val="auto"/>
              </w:rPr>
              <w:t>10.18.4</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of stock options issued under the 2012 Long-term Incentive Plan. (Incorporated by reference from Form</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10-Q Report for the quarterly period ended June 30, 2012 filed on July 25, 2012;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10.18.5</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1"/>
              </w:rPr>
              <w:t>HM Revenue and Customs Approved Sub-Plan for UK Employees under the 2012 Long-Term Incentive Plan. (Incorporated by</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5"/>
              </w:rPr>
              <w:t>reference from Form 10-Q for the quarterly period ended March 31, 2013 filed on April 24, 2013;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10.18.6</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Forms of Agreement for Stock Options issued under the HM Revenue and Customs Approved Sub-Plan for UK Employees</w:t>
            </w:r>
          </w:p>
        </w:tc>
      </w:tr>
      <w:tr>
        <w:trPr>
          <w:trHeight w:val="216"/>
        </w:trPr>
        <w:tc>
          <w:tcPr>
            <w:tcW w:w="1120" w:type="dxa"/>
            <w:vAlign w:val="bottom"/>
          </w:tcPr>
          <w:p>
            <w:pPr>
              <w:spacing w:after="0"/>
              <w:rPr>
                <w:sz w:val="18"/>
                <w:szCs w:val="18"/>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under the 2012 Long-Term Incentive Plan. (Incorporated by reference from Form 10-Q for the quarterly period ended March</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31, 2013 filed on April 24, 2013;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Supplemental Savings Plan (Incorporated by reference from Form S-8 registration statement filed on October 23, 2014; File</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No. 333-199560.)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10.19.1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5"/>
              </w:rPr>
              <w:t>Supplemental Savings Plan - Schedule 1 - Sponsoring Employers (Incorporated by reference from Form S-8 registration</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statement filed on October 23, 2014; File No. 333-199560.)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10.19.2</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3"/>
              </w:rPr>
              <w:t>Supplemental Savings Plan - Schedule 2 - UK Addendum (Incorporated by reference from Form S-8 registration statement</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filed on October 23, 2014; File No. 333-199560.)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4"/>
              </w:rPr>
              <w:t>Consulting agreement as of April 1, 2016, between T. Rowe Price Group, Inc. and James A.C. Kennedy. (Incorporated by</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reference from Form 8-K Current Report filed on December 10, 2015;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6"/>
              </w:rPr>
              <w:t>Employment Agreement as of March 15, 2016, between T. Rowe Price International Limited and Christopher Alderson.</w:t>
            </w:r>
          </w:p>
        </w:tc>
      </w:tr>
      <w:tr>
        <w:trPr>
          <w:trHeight w:val="230"/>
        </w:trPr>
        <w:tc>
          <w:tcPr>
            <w:tcW w:w="1120" w:type="dxa"/>
            <w:vAlign w:val="bottom"/>
          </w:tcPr>
          <w:p>
            <w:pPr>
              <w:spacing w:after="0"/>
              <w:rPr>
                <w:sz w:val="20"/>
                <w:szCs w:val="20"/>
                <w:color w:val="auto"/>
              </w:rPr>
            </w:pP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(Incorporated by reference from Form 10Q filed on April 26, 2016; File No. 000-32191).</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Agreement as of December 28, 2016, between T. Rowe Price Group, Inc. and Kenneth V. Moreland.</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Subsidiaries of T. Rowe Price Group, Inc.</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gridSpan w:val="3"/>
          </w:tcPr>
          <w:p>
            <w:pPr>
              <w:ind w:left="580"/>
              <w:spacing w:after="0"/>
              <w:rPr>
                <w:sz w:val="20"/>
                <w:szCs w:val="20"/>
                <w:color w:val="auto"/>
              </w:rPr>
            </w:pPr>
            <w:r>
              <w:rPr>
                <w:rFonts w:ascii="Arial" w:cs="Arial" w:eastAsia="Arial" w:hAnsi="Arial"/>
                <w:sz w:val="18"/>
                <w:szCs w:val="18"/>
                <w:color w:val="auto"/>
                <w:w w:val="92"/>
              </w:rPr>
              <w:t>The following series of unaudited XBRL-formatted documents are collectively included herewith as Exhibit 101. The financial</w:t>
            </w:r>
          </w:p>
        </w:tc>
      </w:tr>
    </w:tbl>
    <w:p>
      <w:pPr>
        <w:ind w:left="1700" w:right="40"/>
        <w:spacing w:after="0" w:line="261" w:lineRule="auto"/>
        <w:rPr>
          <w:sz w:val="20"/>
          <w:szCs w:val="20"/>
          <w:color w:val="auto"/>
        </w:rPr>
      </w:pPr>
      <w:r>
        <w:rPr>
          <w:rFonts w:ascii="Arial" w:cs="Arial" w:eastAsia="Arial" w:hAnsi="Arial"/>
          <w:sz w:val="18"/>
          <w:szCs w:val="18"/>
          <w:color w:val="auto"/>
        </w:rPr>
        <w:t>information is extracted from T. Rowe Price Group’s consolidated financial statements and notes that are included in this Form 10-K Report.</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101.INS XBRL Instance Document (File name: trow-20161231.xml).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101.SCH XBRL Taxonomy Extension Schema Document (File name: trow-20161231.xsd).</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101.CAL XBRL Taxonomy Calculation Linkbase Document (File name: trow-20161231_cal.xml).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101.LAB XBRL Taxonomy Label Linkbase Document (File name: trow-20161231_lab.xml).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101.PRE XBRL Taxonomy Presentation Linkbase Document (File name: trow-20161231_pre.xml).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101.DEF XBRL Taxonomy Definition Linkbase Document (File name: trow-20161231_def.xml).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74</w:t>
      </w:r>
    </w:p>
    <w:p>
      <w:pPr>
        <w:sectPr>
          <w:pgSz w:w="11900" w:h="16838" w:orient="portrait"/>
          <w:cols w:equalWidth="0" w:num="1">
            <w:col w:w="10880"/>
          </w:cols>
          <w:pgMar w:left="740" w:top="108" w:right="279" w:bottom="1440" w:gutter="0" w:footer="0" w:header="0"/>
        </w:sectPr>
      </w:pPr>
    </w:p>
    <w:bookmarkStart w:id="75" w:name="page76"/>
    <w:bookmarkEnd w:id="75"/>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7,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William J. Stromberg, President and Chief Executive Officer</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7,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 Lawrence Culp,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25" w:lineRule="exact"/>
        <w:rPr>
          <w:sz w:val="20"/>
          <w:szCs w:val="20"/>
          <w:color w:val="auto"/>
        </w:rPr>
      </w:pPr>
    </w:p>
    <w:p>
      <w:pPr>
        <w:ind w:right="5600"/>
        <w:spacing w:after="0" w:line="624" w:lineRule="auto"/>
        <w:rPr>
          <w:sz w:val="20"/>
          <w:szCs w:val="20"/>
          <w:color w:val="auto"/>
        </w:rPr>
      </w:pPr>
      <w:r>
        <w:rPr>
          <w:rFonts w:ascii="Arial" w:cs="Arial" w:eastAsia="Arial" w:hAnsi="Arial"/>
          <w:sz w:val="16"/>
          <w:szCs w:val="16"/>
          <w:color w:val="auto"/>
        </w:rPr>
        <w:t>/s/ Kenneth V. Moreland, Vice President, Chief Financial Officer and Treasurer /s/ Jessica M. Hiebler, Vice President and Principal Accounting Officer</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75</w:t>
      </w:r>
    </w:p>
    <w:p>
      <w:pPr>
        <w:sectPr>
          <w:pgSz w:w="11900" w:h="16838" w:orient="portrait"/>
          <w:cols w:equalWidth="0" w:num="1">
            <w:col w:w="11300"/>
          </w:cols>
          <w:pgMar w:left="240" w:top="125" w:right="3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[Letterhead of T. Rowe Price Group, Inc.]</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January 30, 2017</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VIA HAND DELIVERY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Kenneth Moreland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Dear Ken: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 want to thank you for your many years of service and will use this letter as the way to memorialize our discussion regarding your transition. Although you have announced that you will be retiring from T. Rowe Price, we want to retain your services to assist during the transition, while we engage in a search for a new Chief Financial Officer. I greatly appreciate your agreement to support the firm during this transition and am confident that you will remain committed to executing all of your existing responsibilities with the same care and professionalism the firm has received from you over the past several years. This letter reflects the terms of the agreement, effective December 28, 2016, under which you will continue to assist me and serve T. Rowe Price.</w:t>
      </w:r>
    </w:p>
    <w:p>
      <w:pPr>
        <w:spacing w:after="0" w:line="6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20"/>
          <w:szCs w:val="20"/>
          <w:b w:val="1"/>
          <w:bCs w:val="1"/>
          <w:u w:val="single" w:color="auto"/>
          <w:color w:val="auto"/>
        </w:rPr>
        <w:t>Resignation</w:t>
      </w:r>
    </w:p>
    <w:p>
      <w:pPr>
        <w:spacing w:after="0" w:line="2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Your resignation and the resulting end of your employment and service as an officer of T. Rowe Price Group, Inc. will be</w:t>
      </w:r>
      <w:r>
        <w:rPr>
          <w:rFonts w:ascii="Arial" w:cs="Arial" w:eastAsia="Arial" w:hAnsi="Arial"/>
          <w:sz w:val="18"/>
          <w:szCs w:val="18"/>
          <w:color w:val="auto"/>
        </w:rPr>
        <w:t xml:space="preserve"> </w:t>
      </w:r>
      <w:r>
        <w:rPr>
          <w:rFonts w:ascii="Arial" w:cs="Arial" w:eastAsia="Arial" w:hAnsi="Arial"/>
          <w:sz w:val="19"/>
          <w:szCs w:val="19"/>
          <w:color w:val="auto"/>
        </w:rPr>
        <w:t>effective the earlier of (1) ninety (90) days after a new Chief Financial Officer is hired and commences employment with T. Rowe Price, (2) December 31, 2017, or (3) a date prior to December 31, 2017 that is mutually agreed to by you and the Company. The date that your employment ends shall hereafter be referred to as the “Retirement Date”. As used in this Agreement, “T. Rowe Price” and the “Company” refer to T. Rowe Price Group, Inc. and its subsidiaries and affiliates, collectively.</w:t>
      </w:r>
    </w:p>
    <w:p>
      <w:pPr>
        <w:spacing w:after="0" w:line="19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9"/>
          <w:szCs w:val="19"/>
          <w:color w:val="auto"/>
        </w:rPr>
        <w:t>You will continue to receive your regular base salary for all days worked and your benefits will continue as an active</w:t>
      </w:r>
      <w:r>
        <w:rPr>
          <w:rFonts w:ascii="Arial" w:cs="Arial" w:eastAsia="Arial" w:hAnsi="Arial"/>
          <w:sz w:val="18"/>
          <w:szCs w:val="18"/>
          <w:color w:val="auto"/>
        </w:rPr>
        <w:t xml:space="preserve"> </w:t>
      </w:r>
      <w:r>
        <w:rPr>
          <w:rFonts w:ascii="Arial" w:cs="Arial" w:eastAsia="Arial" w:hAnsi="Arial"/>
          <w:sz w:val="19"/>
          <w:szCs w:val="19"/>
          <w:color w:val="auto"/>
        </w:rPr>
        <w:t>employee through the Retirement Date.</w:t>
      </w:r>
    </w:p>
    <w:p>
      <w:pPr>
        <w:spacing w:after="0" w:line="16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8"/>
          <w:szCs w:val="18"/>
          <w:color w:val="auto"/>
        </w:rPr>
        <w:t>Effective upon the Retirement Date, your service as a director or officer of any T. Rowe Price fund or entity also will end.</w:t>
      </w:r>
    </w:p>
    <w:p>
      <w:pPr>
        <w:spacing w:after="0" w:line="246"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Transition Period</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During the transition period leading up to your Retirement Date, we will expect the following:</w:t>
      </w:r>
    </w:p>
    <w:p>
      <w:pPr>
        <w:spacing w:after="0" w:line="12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You will continue to perform your duties as Chief Financial Officer for as long as the Company asks you to, and you will</w:t>
      </w:r>
      <w:r>
        <w:rPr>
          <w:rFonts w:ascii="Arial" w:cs="Arial" w:eastAsia="Arial" w:hAnsi="Arial"/>
          <w:sz w:val="18"/>
          <w:szCs w:val="18"/>
          <w:color w:val="auto"/>
        </w:rPr>
        <w:t xml:space="preserve"> </w:t>
      </w:r>
      <w:r>
        <w:rPr>
          <w:rFonts w:ascii="Arial" w:cs="Arial" w:eastAsia="Arial" w:hAnsi="Arial"/>
          <w:sz w:val="19"/>
          <w:szCs w:val="19"/>
          <w:color w:val="auto"/>
        </w:rPr>
        <w:t>perform those duties and any other duties that may be assigned to you to the best or your ability.</w:t>
      </w:r>
    </w:p>
    <w:p>
      <w:pPr>
        <w:spacing w:after="0" w:line="16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9"/>
          <w:szCs w:val="19"/>
          <w:color w:val="auto"/>
        </w:rPr>
        <w:t>You will cooperate and assist with the transition of functions and responsibilities as may be requested by me. Among other</w:t>
      </w:r>
      <w:r>
        <w:rPr>
          <w:rFonts w:ascii="Arial" w:cs="Arial" w:eastAsia="Arial" w:hAnsi="Arial"/>
          <w:sz w:val="18"/>
          <w:szCs w:val="18"/>
          <w:color w:val="auto"/>
        </w:rPr>
        <w:t xml:space="preserve"> </w:t>
      </w:r>
      <w:r>
        <w:rPr>
          <w:rFonts w:ascii="Arial" w:cs="Arial" w:eastAsia="Arial" w:hAnsi="Arial"/>
          <w:sz w:val="19"/>
          <w:szCs w:val="19"/>
          <w:color w:val="auto"/>
        </w:rPr>
        <w:t>things, you will assist in the search for a new Chief Financial Officer as requested, and you will be expected to cooperate and assist with the transition after a new Chief Financial Officer is identified.</w:t>
      </w:r>
    </w:p>
    <w:p>
      <w:pPr>
        <w:spacing w:after="0" w:line="18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9"/>
          <w:szCs w:val="19"/>
          <w:color w:val="auto"/>
        </w:rPr>
        <w:t>You will comply with the T. Rowe Price Code of Ethics, all T. Rowe Price policies and procedures and with all applicable</w:t>
      </w:r>
      <w:r>
        <w:rPr>
          <w:rFonts w:ascii="Arial" w:cs="Arial" w:eastAsia="Arial" w:hAnsi="Arial"/>
          <w:sz w:val="18"/>
          <w:szCs w:val="18"/>
          <w:color w:val="auto"/>
        </w:rPr>
        <w:t xml:space="preserve"> </w:t>
      </w:r>
      <w:r>
        <w:rPr>
          <w:rFonts w:ascii="Arial" w:cs="Arial" w:eastAsia="Arial" w:hAnsi="Arial"/>
          <w:sz w:val="19"/>
          <w:szCs w:val="19"/>
          <w:color w:val="auto"/>
        </w:rPr>
        <w:t>regulatory and other legal requirements.</w:t>
      </w:r>
    </w:p>
    <w:p>
      <w:pPr>
        <w:spacing w:after="0" w:line="134"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Separation Payment</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Provided that in the good faith judgment of the Company, you satisfy all of the expectations set forth above in Section 2 continuously through the date your employment ends, you will receive a lump-sum separation payment (the “Separation Payment”) in the total gross amount equal to (a) Three Hundred Fifty Thousand Dollars ($350,000.00), plus (b) Eighty-Three Thousand Three Hundred Thirty-Three Dollars ($83,333.00) times the number of full or partial months you remain employed by T. Rowe Price in 2017. This Separation Payment will be treated as supplemental wages for tax purposes, and T. Rowe Price therefore will withhold applicable taxes, including Federal Insurance Contributions Act (“FICA”) taxes and federal, state and local income taxes. The Separation Payment shall not constitute</w:t>
      </w:r>
    </w:p>
    <w:p>
      <w:pPr>
        <w:sectPr>
          <w:pgSz w:w="11900" w:h="16838" w:orient="portrait"/>
          <w:cols w:equalWidth="0" w:num="1">
            <w:col w:w="11420"/>
          </w:cols>
          <w:pgMar w:left="240" w:top="368" w:right="239" w:bottom="1440" w:gutter="0" w:footer="0" w:header="0"/>
        </w:sectPr>
      </w:pPr>
    </w:p>
    <w:bookmarkStart w:id="77" w:name="page78"/>
    <w:bookmarkEnd w:id="77"/>
    <w:p>
      <w:pPr>
        <w:jc w:val="both"/>
        <w:spacing w:after="0" w:line="291" w:lineRule="auto"/>
        <w:rPr>
          <w:sz w:val="20"/>
          <w:szCs w:val="20"/>
          <w:color w:val="auto"/>
        </w:rPr>
      </w:pPr>
      <w:r>
        <w:rPr>
          <w:rFonts w:ascii="Arial" w:cs="Arial" w:eastAsia="Arial" w:hAnsi="Arial"/>
          <w:sz w:val="18"/>
          <w:szCs w:val="18"/>
          <w:color w:val="auto"/>
        </w:rPr>
        <w:t>“Eligible Compensation” under the T. Rowe Price U.S. Retirement Program. You therefore will not be able to make pre-tax contributions from the Separation Payment, and such payment will not serve as the basis for any T. Rowe Price contributions under the U.S. Retirement Program. You will receive the Separation Payment prior to March 15, 2018 -- within thirty (30) days after your Retirement Date.</w:t>
      </w:r>
    </w:p>
    <w:p>
      <w:pPr>
        <w:spacing w:after="0" w:line="200" w:lineRule="exact"/>
        <w:rPr>
          <w:sz w:val="20"/>
          <w:szCs w:val="20"/>
          <w:color w:val="auto"/>
        </w:rPr>
      </w:pPr>
    </w:p>
    <w:p>
      <w:pPr>
        <w:spacing w:after="0" w:line="39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Business Information</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Throughout your employment with T. Rowe Price, you have been privy to T. Rowe Price’s confidential and proprietary business information, including client, account, and fund information, business plans, strategic plans, marketing strategies, financial, tax and performance information, and other information about the present and proposed business of T. Rowe Price. Accordingly, you acknowledge and affirm your continuing obligation to keep confidential any and all confidential, trade secret, business, financial, tax or proprietary information that you acquired during your employment with T. Rowe Price. You shall not disclose any such information to any person or entity outside of T. Rowe Price at any time in the future, and you shall not use any such information for the benefit of anyone other than T. Rowe Price. You also will continue to be bound by any other preexisting agreement or other legal obligation relating to the Company’s proprietary information and your obligation to maintain the confidentiality of the Company’s information.</w:t>
      </w:r>
    </w:p>
    <w:p>
      <w:pPr>
        <w:spacing w:after="0" w:line="33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Post-Employment Cooperation</w:t>
      </w:r>
    </w:p>
    <w:p>
      <w:pPr>
        <w:spacing w:after="0" w:line="2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the event the Company is or becomes a party to, or is otherwise involved in, any actual or threatened legal proceeding regarding any matter which arose or occurred during the term of your employment with the Company, you specifically agree to make yourself available to, and cooperate with, the Company and its counsel in such proceedings. You further agree that in the event that you are required by subpoena to provide testimony in any proceeding against or involving the Company, you will provide written notice of such subpoena to: David Oestreicher, T. Rowe Price Associates, Inc., 100 E. Pratt Street, Baltimore, MD 21202.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Solicitation of Employees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further consideration for the opportunity to receive the Separation Payment and other consideration under this Agreement, you agree that for a period of twelve (12) months following the end of your employment with T. Rowe Price, you shall not, either on your own behalf or on behalf of any third party, directly or indirectly:</w:t>
      </w:r>
    </w:p>
    <w:p>
      <w:pPr>
        <w:spacing w:after="0" w:line="186" w:lineRule="exact"/>
        <w:rPr>
          <w:sz w:val="20"/>
          <w:szCs w:val="20"/>
          <w:color w:val="auto"/>
        </w:rPr>
      </w:pPr>
    </w:p>
    <w:p>
      <w:pPr>
        <w:jc w:val="both"/>
        <w:ind w:left="660" w:firstLine="645"/>
        <w:spacing w:after="0" w:line="250" w:lineRule="auto"/>
        <w:tabs>
          <w:tab w:leader="none" w:pos="181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recruit, solicit, encourage or attempt to cause (or in any way assist another in recruiting, soliciting, encouraging or attempting to cause) any employee or consultant of the Company to terminate his or her employment or other relationship with the Company; or</w:t>
      </w:r>
    </w:p>
    <w:p>
      <w:pPr>
        <w:spacing w:after="0" w:line="186" w:lineRule="exact"/>
        <w:rPr>
          <w:rFonts w:ascii="Arial" w:cs="Arial" w:eastAsia="Arial" w:hAnsi="Arial"/>
          <w:sz w:val="20"/>
          <w:szCs w:val="20"/>
          <w:color w:val="auto"/>
        </w:rPr>
      </w:pPr>
    </w:p>
    <w:p>
      <w:pPr>
        <w:ind w:left="660" w:firstLine="645"/>
        <w:spacing w:after="0" w:line="260" w:lineRule="auto"/>
        <w:tabs>
          <w:tab w:leader="none" w:pos="1743" w:val="left"/>
        </w:tabs>
        <w:numPr>
          <w:ilvl w:val="0"/>
          <w:numId w:val="30"/>
        </w:numPr>
        <w:rPr>
          <w:rFonts w:ascii="Arial" w:cs="Arial" w:eastAsia="Arial" w:hAnsi="Arial"/>
          <w:sz w:val="20"/>
          <w:szCs w:val="20"/>
          <w:color w:val="auto"/>
        </w:rPr>
      </w:pPr>
      <w:r>
        <w:rPr>
          <w:rFonts w:ascii="Arial" w:cs="Arial" w:eastAsia="Arial" w:hAnsi="Arial"/>
          <w:sz w:val="20"/>
          <w:szCs w:val="20"/>
          <w:color w:val="auto"/>
        </w:rPr>
        <w:t>hire, employ or seek to employ, or cause, recommend or assist any Competing Business to employ or seek to employ any person who is then (or was at any time within the preceding six (6) months) employed by the Company.</w:t>
      </w:r>
    </w:p>
    <w:p>
      <w:pPr>
        <w:spacing w:after="0" w:line="28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“Competing Business,” for purposes of this Agreement, shall mean a business that that is engaged in the sale, marketing and/or offering of products and/or services that are similar to or competitive with products or services that are offered by T. Rowe Price to individual and institutional clients. “Competing Business” includes, but is not limited to, investment advisory and management services for domestic and international clients.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This letter sets forth the entire Agreement between you and T. Rowe Price with respect to the matters addressed, including the end of your employment, and it supersedes and replaces any prior agreements relating to such matters. You will not receive a bonus for 2017, and you will not be entitled to any bonus, compensation, remuneration, benefits or other payments, except as specifically provided in this Agreement. This Agreement may not be modified</w:t>
      </w:r>
    </w:p>
    <w:p>
      <w:pPr>
        <w:sectPr>
          <w:pgSz w:w="11900" w:h="16838" w:orient="portrait"/>
          <w:cols w:equalWidth="0" w:num="1">
            <w:col w:w="11420"/>
          </w:cols>
          <w:pgMar w:left="240" w:top="474" w:right="239" w:bottom="1440" w:gutter="0" w:footer="0" w:header="0"/>
        </w:sectPr>
      </w:pPr>
    </w:p>
    <w:bookmarkStart w:id="78" w:name="page79"/>
    <w:bookmarkEnd w:id="78"/>
    <w:p>
      <w:pPr>
        <w:jc w:val="both"/>
        <w:ind w:right="20"/>
        <w:spacing w:after="0" w:line="260" w:lineRule="auto"/>
        <w:rPr>
          <w:sz w:val="20"/>
          <w:szCs w:val="20"/>
          <w:color w:val="auto"/>
        </w:rPr>
      </w:pPr>
      <w:r>
        <w:rPr>
          <w:rFonts w:ascii="Arial" w:cs="Arial" w:eastAsia="Arial" w:hAnsi="Arial"/>
          <w:sz w:val="20"/>
          <w:szCs w:val="20"/>
          <w:color w:val="auto"/>
        </w:rPr>
        <w:t>except by a new written agreement signed by both you and an authorized representative of T. Rowe Price. Your signature below will confirm that you have not relied on any representation or statement not set forth in this Agreement.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(b</w:t>
      </w:r>
      <w:r>
        <w:rPr>
          <w:rFonts w:ascii="Arial" w:cs="Arial" w:eastAsia="Arial" w:hAnsi="Arial"/>
          <w:sz w:val="20"/>
          <w:szCs w:val="20"/>
          <w:color w:val="auto"/>
        </w:rPr>
        <w:t>.</w:t>
      </w:r>
      <w:r>
        <w:rPr>
          <w:rFonts w:ascii="Arial" w:cs="Arial" w:eastAsia="Arial" w:hAnsi="Arial"/>
          <w:sz w:val="19"/>
          <w:szCs w:val="19"/>
          <w:color w:val="auto"/>
        </w:rPr>
        <w:t>) The validity and construction of this Agreement or of any of its terms or provisions shall be determined under the laws of the State of Maryland, regardless of any principles of conflicts of laws or choice of laws of any jurisdiction. You agree that the exclusive jurisdiction and venue of any lawsuit arising out of or relating to this Agreement shall be the United States District Court for the District of Maryland, the Circuit Court of Maryland for Baltimore County or another Maryland state court, and you and T. Rowe Price hereby agree, acknowledge and submit to the exclusive jurisdiction and venue of such courts for the purposes of any such lawsuit.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 The Company does not guarantee any particular tax effect of the provisions of this Agreement. You acknowledge that you are not relying upon advice or representation of the Company with respect to the tax treatment of any payments or benefits during and after your employment.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 The various section headings are inserted for convenience of reference only and shall not affect the meaning or interpretation of this Agreement or any section thereof.</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I thank you for your years of service to T. Rowe Price, and I look forward to continuing to work with you during the transition.</w:t>
      </w: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William J. Stromberg</w:t>
      </w:r>
    </w:p>
    <w:p>
      <w:pPr>
        <w:spacing w:after="0" w:line="10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William J. Stromberg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Kenneth V. Moreland</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Kenneth Moreland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January 30, 2017</w:t>
      </w:r>
    </w:p>
    <w:p>
      <w:pPr>
        <w:sectPr>
          <w:pgSz w:w="11900" w:h="16838" w:orient="portrait"/>
          <w:cols w:equalWidth="0" w:num="1">
            <w:col w:w="11420"/>
          </w:cols>
          <w:pgMar w:left="240" w:top="47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520" w:type="dxa"/>
            <w:vAlign w:val="bottom"/>
          </w:tcPr>
          <w:p>
            <w:pPr>
              <w:ind w:left="80"/>
              <w:spacing w:after="0"/>
              <w:rPr>
                <w:sz w:val="20"/>
                <w:szCs w:val="20"/>
                <w:color w:val="auto"/>
              </w:rPr>
            </w:pPr>
            <w:r>
              <w:rPr>
                <w:rFonts w:ascii="Arial" w:cs="Arial" w:eastAsia="Arial" w:hAnsi="Arial"/>
                <w:sz w:val="18"/>
                <w:szCs w:val="18"/>
                <w:color w:val="auto"/>
              </w:rPr>
              <w:t>EXHIBIT 21</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DECEMBER 31, 2016</w:t>
            </w:r>
          </w:p>
        </w:tc>
        <w:tc>
          <w:tcPr>
            <w:tcW w:w="6520" w:type="dxa"/>
            <w:vAlign w:val="bottom"/>
          </w:tcPr>
          <w:p>
            <w:pPr>
              <w:spacing w:after="0"/>
              <w:rPr>
                <w:sz w:val="20"/>
                <w:szCs w:val="20"/>
                <w:color w:val="auto"/>
              </w:rPr>
            </w:pPr>
          </w:p>
        </w:tc>
      </w:tr>
      <w:tr>
        <w:trPr>
          <w:trHeight w:val="351"/>
        </w:trPr>
        <w:tc>
          <w:tcPr>
            <w:tcW w:w="490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324"/>
        </w:trPr>
        <w:tc>
          <w:tcPr>
            <w:tcW w:w="490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r>
      <w:tr>
        <w:trPr>
          <w:trHeight w:val="270"/>
        </w:trPr>
        <w:tc>
          <w:tcPr>
            <w:tcW w:w="490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5"/>
                <w:szCs w:val="25"/>
                <w:b w:val="1"/>
                <w:bCs w:val="1"/>
                <w:color w:val="auto"/>
                <w:vertAlign w:val="superscript"/>
              </w:rPr>
              <w:t>(1)</w:t>
            </w:r>
          </w:p>
        </w:tc>
        <w:tc>
          <w:tcPr>
            <w:tcW w:w="6520" w:type="dxa"/>
            <w:vAlign w:val="bottom"/>
          </w:tcPr>
          <w:p>
            <w:pPr>
              <w:ind w:left="4160"/>
              <w:spacing w:after="0"/>
              <w:rPr>
                <w:sz w:val="20"/>
                <w:szCs w:val="20"/>
                <w:color w:val="auto"/>
              </w:rPr>
            </w:pPr>
            <w:r>
              <w:rPr>
                <w:rFonts w:ascii="Arial" w:cs="Arial" w:eastAsia="Arial" w:hAnsi="Arial"/>
                <w:sz w:val="18"/>
                <w:szCs w:val="18"/>
                <w:b w:val="1"/>
                <w:bCs w:val="1"/>
                <w:color w:val="auto"/>
              </w:rPr>
              <w:t>Place of incorporation</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T. Rowe Price Insurance Agency, Inc.</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Associates, Inc.</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TRP Suburban, Inc.</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TRP Suburban Second, Inc.</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TRP Colorado Springs, LLC</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TRP Office Florida, LLC</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T. Rowe Price Trust Company</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Investment Services, Inc.</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T. Rowe Price Services, Inc.</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Retirement Plan Services, Inc.</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T. Rowe Price (Canada), Inc.</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TRPH Corporation</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tcPr>
          <w:p>
            <w:pPr>
              <w:ind w:left="380"/>
              <w:spacing w:after="0" w:line="270" w:lineRule="exact"/>
              <w:rPr>
                <w:sz w:val="20"/>
                <w:szCs w:val="20"/>
                <w:color w:val="auto"/>
              </w:rPr>
            </w:pPr>
            <w:r>
              <w:rPr>
                <w:rFonts w:ascii="Arial" w:cs="Arial" w:eastAsia="Arial" w:hAnsi="Arial"/>
                <w:sz w:val="18"/>
                <w:szCs w:val="18"/>
                <w:color w:val="auto"/>
              </w:rPr>
              <w:t>T. Rowe Price International Funds, Inc.</w:t>
            </w:r>
            <w:r>
              <w:rPr>
                <w:rFonts w:ascii="Arial" w:cs="Arial" w:eastAsia="Arial" w:hAnsi="Arial"/>
                <w:sz w:val="25"/>
                <w:szCs w:val="25"/>
                <w:color w:val="auto"/>
                <w:vertAlign w:val="superscript"/>
              </w:rPr>
              <w:t>(2)</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 Rowe Price Institutional Income Funds, Inc.</w:t>
            </w:r>
            <w:r>
              <w:rPr>
                <w:rFonts w:ascii="Arial" w:cs="Arial" w:eastAsia="Arial" w:hAnsi="Arial"/>
                <w:sz w:val="25"/>
                <w:szCs w:val="25"/>
                <w:color w:val="auto"/>
                <w:vertAlign w:val="superscript"/>
              </w:rPr>
              <w:t>(2)</w:t>
            </w:r>
          </w:p>
        </w:tc>
        <w:tc>
          <w:tcPr>
            <w:tcW w:w="6520" w:type="dxa"/>
            <w:vAlign w:val="bottom"/>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tcPr>
          <w:p>
            <w:pPr>
              <w:ind w:left="380"/>
              <w:spacing w:after="0" w:line="270" w:lineRule="exact"/>
              <w:rPr>
                <w:sz w:val="20"/>
                <w:szCs w:val="20"/>
                <w:color w:val="auto"/>
              </w:rPr>
            </w:pPr>
            <w:r>
              <w:rPr>
                <w:rFonts w:ascii="Arial" w:cs="Arial" w:eastAsia="Arial" w:hAnsi="Arial"/>
                <w:sz w:val="18"/>
                <w:szCs w:val="18"/>
                <w:color w:val="auto"/>
              </w:rPr>
              <w:t>T. Rowe Price Institutional International Funds, Inc.</w:t>
            </w:r>
            <w:r>
              <w:rPr>
                <w:rFonts w:ascii="Arial" w:cs="Arial" w:eastAsia="Arial" w:hAnsi="Arial"/>
                <w:sz w:val="25"/>
                <w:szCs w:val="25"/>
                <w:color w:val="auto"/>
                <w:vertAlign w:val="superscript"/>
              </w:rPr>
              <w:t>(2)</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 Rowe Price Quantitative Management Funds, Inc.</w:t>
            </w:r>
            <w:r>
              <w:rPr>
                <w:rFonts w:ascii="Arial" w:cs="Arial" w:eastAsia="Arial" w:hAnsi="Arial"/>
                <w:sz w:val="25"/>
                <w:szCs w:val="25"/>
                <w:color w:val="auto"/>
                <w:vertAlign w:val="superscript"/>
              </w:rPr>
              <w:t>(2)</w:t>
            </w:r>
          </w:p>
        </w:tc>
        <w:tc>
          <w:tcPr>
            <w:tcW w:w="6520" w:type="dxa"/>
            <w:vAlign w:val="bottom"/>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tcPr>
          <w:p>
            <w:pPr>
              <w:ind w:left="380"/>
              <w:spacing w:after="0" w:line="270" w:lineRule="exact"/>
              <w:rPr>
                <w:sz w:val="20"/>
                <w:szCs w:val="20"/>
                <w:color w:val="auto"/>
              </w:rPr>
            </w:pPr>
            <w:r>
              <w:rPr>
                <w:rFonts w:ascii="Arial" w:cs="Arial" w:eastAsia="Arial" w:hAnsi="Arial"/>
                <w:sz w:val="18"/>
                <w:szCs w:val="18"/>
                <w:color w:val="auto"/>
              </w:rPr>
              <w:t>T. Rowe Price Index Trust, Inc.</w:t>
            </w:r>
            <w:r>
              <w:rPr>
                <w:rFonts w:ascii="Arial" w:cs="Arial" w:eastAsia="Arial" w:hAnsi="Arial"/>
                <w:sz w:val="25"/>
                <w:szCs w:val="25"/>
                <w:color w:val="auto"/>
                <w:vertAlign w:val="superscript"/>
              </w:rPr>
              <w:t>(2)</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 Rowe Price Credit Opportunities Fund, Inc</w:t>
            </w:r>
            <w:r>
              <w:rPr>
                <w:rFonts w:ascii="Arial" w:cs="Arial" w:eastAsia="Arial" w:hAnsi="Arial"/>
                <w:sz w:val="25"/>
                <w:szCs w:val="25"/>
                <w:color w:val="auto"/>
                <w:vertAlign w:val="superscript"/>
              </w:rPr>
              <w:t>(2)</w:t>
            </w:r>
          </w:p>
        </w:tc>
        <w:tc>
          <w:tcPr>
            <w:tcW w:w="6520" w:type="dxa"/>
            <w:vAlign w:val="bottom"/>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tcPr>
          <w:p>
            <w:pPr>
              <w:ind w:left="380"/>
              <w:spacing w:after="0" w:line="270" w:lineRule="exact"/>
              <w:rPr>
                <w:sz w:val="20"/>
                <w:szCs w:val="20"/>
                <w:color w:val="auto"/>
              </w:rPr>
            </w:pPr>
            <w:r>
              <w:rPr>
                <w:rFonts w:ascii="Arial" w:cs="Arial" w:eastAsia="Arial" w:hAnsi="Arial"/>
                <w:sz w:val="18"/>
                <w:szCs w:val="18"/>
                <w:color w:val="auto"/>
              </w:rPr>
              <w:t>T. Rowe Price Total Return Fund, Inc.</w:t>
            </w:r>
            <w:r>
              <w:rPr>
                <w:rFonts w:ascii="Arial" w:cs="Arial" w:eastAsia="Arial" w:hAnsi="Arial"/>
                <w:sz w:val="25"/>
                <w:szCs w:val="25"/>
                <w:color w:val="auto"/>
                <w:vertAlign w:val="superscript"/>
              </w:rPr>
              <w:t>(2)</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w w:val="92"/>
              </w:rPr>
              <w:t>T. Rowe Price Intermediate Tax-Free High Yield Fund, Inc.</w:t>
            </w:r>
            <w:r>
              <w:rPr>
                <w:rFonts w:ascii="Arial" w:cs="Arial" w:eastAsia="Arial" w:hAnsi="Arial"/>
                <w:sz w:val="25"/>
                <w:szCs w:val="25"/>
                <w:color w:val="auto"/>
                <w:w w:val="92"/>
                <w:vertAlign w:val="superscript"/>
              </w:rPr>
              <w:t>(2)</w:t>
            </w:r>
          </w:p>
        </w:tc>
        <w:tc>
          <w:tcPr>
            <w:tcW w:w="6520" w:type="dxa"/>
            <w:vAlign w:val="bottom"/>
            <w:shd w:val="clear" w:color="auto" w:fill="CCEEFF"/>
          </w:tcPr>
          <w:p>
            <w:pPr>
              <w:jc w:val="center"/>
              <w:ind w:left="4050"/>
              <w:spacing w:after="0"/>
              <w:rPr>
                <w:sz w:val="20"/>
                <w:szCs w:val="20"/>
                <w:color w:val="auto"/>
              </w:rPr>
            </w:pPr>
            <w:r>
              <w:rPr>
                <w:rFonts w:ascii="Arial" w:cs="Arial" w:eastAsia="Arial" w:hAnsi="Arial"/>
                <w:sz w:val="18"/>
                <w:szCs w:val="18"/>
                <w:color w:val="auto"/>
                <w:w w:val="94"/>
              </w:rPr>
              <w:t>Maryland</w:t>
            </w:r>
          </w:p>
        </w:tc>
      </w:tr>
      <w:tr>
        <w:trPr>
          <w:trHeight w:val="270"/>
        </w:trPr>
        <w:tc>
          <w:tcPr>
            <w:tcW w:w="4900" w:type="dxa"/>
            <w:vAlign w:val="bottom"/>
          </w:tcPr>
          <w:p>
            <w:pPr>
              <w:ind w:left="380"/>
              <w:spacing w:after="0" w:line="270" w:lineRule="exact"/>
              <w:rPr>
                <w:sz w:val="20"/>
                <w:szCs w:val="20"/>
                <w:color w:val="auto"/>
              </w:rPr>
            </w:pPr>
            <w:r>
              <w:rPr>
                <w:rFonts w:ascii="Arial" w:cs="Arial" w:eastAsia="Arial" w:hAnsi="Arial"/>
                <w:sz w:val="18"/>
                <w:szCs w:val="18"/>
                <w:color w:val="auto"/>
              </w:rPr>
              <w:t>T. Rowe Price Funds SICAV</w:t>
            </w:r>
            <w:r>
              <w:rPr>
                <w:rFonts w:ascii="Arial" w:cs="Arial" w:eastAsia="Arial" w:hAnsi="Arial"/>
                <w:sz w:val="25"/>
                <w:szCs w:val="25"/>
                <w:color w:val="auto"/>
                <w:vertAlign w:val="superscript"/>
              </w:rPr>
              <w:t>(2)</w:t>
            </w:r>
          </w:p>
        </w:tc>
        <w:tc>
          <w:tcPr>
            <w:tcW w:w="6520" w:type="dxa"/>
            <w:vAlign w:val="bottom"/>
          </w:tcPr>
          <w:p>
            <w:pPr>
              <w:jc w:val="center"/>
              <w:ind w:left="4030"/>
              <w:spacing w:after="0"/>
              <w:rPr>
                <w:sz w:val="20"/>
                <w:szCs w:val="20"/>
                <w:color w:val="auto"/>
              </w:rPr>
            </w:pPr>
            <w:r>
              <w:rPr>
                <w:rFonts w:ascii="Arial" w:cs="Arial" w:eastAsia="Arial" w:hAnsi="Arial"/>
                <w:sz w:val="18"/>
                <w:szCs w:val="18"/>
                <w:color w:val="auto"/>
                <w:w w:val="91"/>
              </w:rPr>
              <w:t>Luxembourg</w:t>
            </w: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International Ltd</w:t>
            </w:r>
          </w:p>
        </w:tc>
        <w:tc>
          <w:tcPr>
            <w:tcW w:w="6520" w:type="dxa"/>
            <w:vAlign w:val="bottom"/>
            <w:tcBorders>
              <w:bottom w:val="single" w:sz="8" w:color="CCEEFF"/>
            </w:tcBorders>
            <w:shd w:val="clear" w:color="auto" w:fill="CCEEFF"/>
          </w:tcPr>
          <w:p>
            <w:pPr>
              <w:jc w:val="center"/>
              <w:ind w:left="4050"/>
              <w:spacing w:after="0"/>
              <w:rPr>
                <w:sz w:val="20"/>
                <w:szCs w:val="20"/>
                <w:color w:val="auto"/>
              </w:rPr>
            </w:pPr>
            <w:r>
              <w:rPr>
                <w:rFonts w:ascii="Arial" w:cs="Arial" w:eastAsia="Arial" w:hAnsi="Arial"/>
                <w:sz w:val="18"/>
                <w:szCs w:val="18"/>
                <w:color w:val="auto"/>
                <w:w w:val="95"/>
              </w:rPr>
              <w:t>United Kingdom</w:t>
            </w:r>
          </w:p>
        </w:tc>
      </w:tr>
      <w:tr>
        <w:trPr>
          <w:trHeight w:val="243"/>
        </w:trPr>
        <w:tc>
          <w:tcPr>
            <w:tcW w:w="4900" w:type="dxa"/>
            <w:vAlign w:val="bottom"/>
          </w:tcPr>
          <w:p>
            <w:pPr>
              <w:ind w:left="720"/>
              <w:spacing w:after="0"/>
              <w:rPr>
                <w:sz w:val="20"/>
                <w:szCs w:val="20"/>
                <w:color w:val="auto"/>
              </w:rPr>
            </w:pPr>
            <w:r>
              <w:rPr>
                <w:rFonts w:ascii="Arial" w:cs="Arial" w:eastAsia="Arial" w:hAnsi="Arial"/>
                <w:sz w:val="18"/>
                <w:szCs w:val="18"/>
                <w:color w:val="auto"/>
              </w:rPr>
              <w:t>T. Rowe Price Hong Kong Limited</w:t>
            </w:r>
          </w:p>
        </w:tc>
        <w:tc>
          <w:tcPr>
            <w:tcW w:w="6520" w:type="dxa"/>
            <w:vAlign w:val="bottom"/>
          </w:tcPr>
          <w:p>
            <w:pPr>
              <w:jc w:val="center"/>
              <w:ind w:left="4030"/>
              <w:spacing w:after="0"/>
              <w:rPr>
                <w:sz w:val="20"/>
                <w:szCs w:val="20"/>
                <w:color w:val="auto"/>
              </w:rPr>
            </w:pPr>
            <w:r>
              <w:rPr>
                <w:rFonts w:ascii="Arial" w:cs="Arial" w:eastAsia="Arial" w:hAnsi="Arial"/>
                <w:sz w:val="18"/>
                <w:szCs w:val="18"/>
                <w:color w:val="auto"/>
                <w:w w:val="93"/>
              </w:rPr>
              <w:t>Hong Kong</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 Rowe Price Singapore Private Ltd.</w:t>
            </w:r>
          </w:p>
        </w:tc>
        <w:tc>
          <w:tcPr>
            <w:tcW w:w="6520" w:type="dxa"/>
            <w:vAlign w:val="bottom"/>
            <w:tcBorders>
              <w:bottom w:val="single" w:sz="8" w:color="CCEEFF"/>
            </w:tcBorders>
            <w:shd w:val="clear" w:color="auto" w:fill="CCEEFF"/>
          </w:tcPr>
          <w:p>
            <w:pPr>
              <w:jc w:val="center"/>
              <w:ind w:left="4030"/>
              <w:spacing w:after="0"/>
              <w:rPr>
                <w:sz w:val="20"/>
                <w:szCs w:val="20"/>
                <w:color w:val="auto"/>
              </w:rPr>
            </w:pPr>
            <w:r>
              <w:rPr>
                <w:rFonts w:ascii="Arial" w:cs="Arial" w:eastAsia="Arial" w:hAnsi="Arial"/>
                <w:sz w:val="18"/>
                <w:szCs w:val="18"/>
                <w:color w:val="auto"/>
                <w:w w:val="87"/>
              </w:rPr>
              <w:t>Singapore</w:t>
            </w:r>
          </w:p>
        </w:tc>
      </w:tr>
      <w:tr>
        <w:trPr>
          <w:trHeight w:val="243"/>
        </w:trPr>
        <w:tc>
          <w:tcPr>
            <w:tcW w:w="4900" w:type="dxa"/>
            <w:vAlign w:val="bottom"/>
          </w:tcPr>
          <w:p>
            <w:pPr>
              <w:ind w:left="720"/>
              <w:spacing w:after="0"/>
              <w:rPr>
                <w:sz w:val="20"/>
                <w:szCs w:val="20"/>
                <w:color w:val="auto"/>
              </w:rPr>
            </w:pPr>
            <w:r>
              <w:rPr>
                <w:rFonts w:ascii="Arial" w:cs="Arial" w:eastAsia="Arial" w:hAnsi="Arial"/>
                <w:sz w:val="18"/>
                <w:szCs w:val="18"/>
                <w:color w:val="auto"/>
              </w:rPr>
              <w:t>T. Rowe Price (Switzerland) GmbH</w:t>
            </w:r>
          </w:p>
        </w:tc>
        <w:tc>
          <w:tcPr>
            <w:tcW w:w="6520" w:type="dxa"/>
            <w:vAlign w:val="bottom"/>
          </w:tcPr>
          <w:p>
            <w:pPr>
              <w:jc w:val="center"/>
              <w:ind w:left="4050"/>
              <w:spacing w:after="0"/>
              <w:rPr>
                <w:sz w:val="20"/>
                <w:szCs w:val="20"/>
                <w:color w:val="auto"/>
              </w:rPr>
            </w:pPr>
            <w:r>
              <w:rPr>
                <w:rFonts w:ascii="Arial" w:cs="Arial" w:eastAsia="Arial" w:hAnsi="Arial"/>
                <w:sz w:val="18"/>
                <w:szCs w:val="18"/>
                <w:color w:val="auto"/>
                <w:w w:val="92"/>
              </w:rPr>
              <w:t>Switzerland</w:t>
            </w:r>
          </w:p>
        </w:tc>
      </w:tr>
      <w:tr>
        <w:trPr>
          <w:trHeight w:val="27"/>
        </w:trPr>
        <w:tc>
          <w:tcPr>
            <w:tcW w:w="49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43"/>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(Luxembourg) Management Sarl</w:t>
            </w:r>
          </w:p>
        </w:tc>
        <w:tc>
          <w:tcPr>
            <w:tcW w:w="6520" w:type="dxa"/>
            <w:vAlign w:val="bottom"/>
            <w:shd w:val="clear" w:color="auto" w:fill="CCEEFF"/>
          </w:tcPr>
          <w:p>
            <w:pPr>
              <w:jc w:val="center"/>
              <w:ind w:left="4030"/>
              <w:spacing w:after="0"/>
              <w:rPr>
                <w:sz w:val="20"/>
                <w:szCs w:val="20"/>
                <w:color w:val="auto"/>
              </w:rPr>
            </w:pPr>
            <w:r>
              <w:rPr>
                <w:rFonts w:ascii="Arial" w:cs="Arial" w:eastAsia="Arial" w:hAnsi="Arial"/>
                <w:sz w:val="18"/>
                <w:szCs w:val="18"/>
                <w:color w:val="auto"/>
                <w:w w:val="91"/>
              </w:rPr>
              <w:t>Luxembourg</w:t>
            </w:r>
          </w:p>
        </w:tc>
      </w:tr>
      <w:tr>
        <w:trPr>
          <w:trHeight w:val="27"/>
        </w:trPr>
        <w:tc>
          <w:tcPr>
            <w:tcW w:w="490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Other subsidiaries have been omitted because, when considered in the aggregate, they do not constitute a significant subsidiary.</w:t>
      </w:r>
    </w:p>
    <w:p>
      <w:pPr>
        <w:spacing w:after="0" w:line="91" w:lineRule="exact"/>
        <w:rPr>
          <w:sz w:val="20"/>
          <w:szCs w:val="20"/>
          <w:color w:val="auto"/>
        </w:rPr>
      </w:pPr>
    </w:p>
    <w:p>
      <w:pPr>
        <w:jc w:val="both"/>
        <w:ind w:right="120"/>
        <w:spacing w:after="0" w:line="256"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6"/>
          <w:szCs w:val="16"/>
          <w:color w:val="auto"/>
        </w:rPr>
        <w:t>We implemented Accounting Standards Update No. 2015-02 - Consolidation (Topic 810): Amendments to the Consolidation Analysis on January 1, 2016. In connection with the adoption of this guidance, we reevaluated all of our investments for consolidation, including our investments in sponsored investment portfolios. The adoption of the guidance led to the consolidation of additional portfolios that were previously accounted for as available-for-sale securities.</w:t>
      </w:r>
    </w:p>
    <w:p>
      <w:pPr>
        <w:ind w:right="240"/>
        <w:spacing w:after="0" w:line="261" w:lineRule="auto"/>
        <w:rPr>
          <w:sz w:val="20"/>
          <w:szCs w:val="20"/>
          <w:color w:val="auto"/>
        </w:rPr>
      </w:pPr>
      <w:r>
        <w:rPr>
          <w:rFonts w:ascii="Arial" w:cs="Arial" w:eastAsia="Arial" w:hAnsi="Arial"/>
          <w:sz w:val="18"/>
          <w:szCs w:val="18"/>
          <w:color w:val="auto"/>
        </w:rPr>
        <w:t xml:space="preserve">The impacts of implementing this new guidance are discussed in more detail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of our consolidated financial statements contained in Item 8 of this filing.</w:t>
      </w:r>
    </w:p>
    <w:p>
      <w:pPr>
        <w:sectPr>
          <w:pgSz w:w="11900" w:h="16838" w:orient="portrait"/>
          <w:cols w:equalWidth="0" w:num="1">
            <w:col w:w="11420"/>
          </w:cols>
          <w:pgMar w:left="240" w:top="58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 33-7012, No. 333-90967, No. 333-59714, No. 333-120882, No. 333-120883, No. 333-142092, No. 333-167317, No. 333-180904, No. 333-199560, and No. 333-212705)on Form S-8 of T. Rowe Price Group, Inc. of our reports dated February 7, 2017, with respect to the consolidated balance sheets of T. Rowe Price Group, Inc. and subsidiaries as of December 31, 2016 and 2015, and the related consolidated statements of income, comprehensive income, stockholders’ equity, and cash flows, for each of the years in the three-year period ended December 31, 2016, and the effectiveness of internal control over financial reporting of T. Rowe Price Group, Inc. as of December 31, 2016, which reports appear in the December 31, 2016 Annual Report on Form 10-K of T. Rowe Price Group, Inc.</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ectPr>
          <w:pgSz w:w="11900" w:h="16838" w:orient="portrait"/>
          <w:cols w:equalWidth="0" w:num="1">
            <w:col w:w="11420"/>
          </w:cols>
          <w:pgMar w:left="240" w:top="665" w:right="239" w:bottom="1440" w:gutter="0" w:footer="0" w:header="0"/>
        </w:sectPr>
      </w:pPr>
    </w:p>
    <w:bookmarkStart w:id="81" w:name="page82"/>
    <w:bookmarkEnd w:id="81"/>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82" w:name="page83"/>
    <w:bookmarkEnd w:id="82"/>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83" w:name="page84"/>
    <w:bookmarkEnd w:id="83"/>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2016 of T. Rowe Price Group, Inc., that:</w:t>
      </w:r>
    </w:p>
    <w:p>
      <w:pPr>
        <w:spacing w:after="0" w:line="116"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0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380"/>
      </w:cols>
      <w:pgMar w:left="240" w:top="6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decimal"/>
      <w:start w:val="3"/>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1."/>
      <w:numFmt w:val="decimal"/>
      <w:start w:val="3"/>
    </w:lvl>
  </w:abstractNum>
  <w:abstractNum w:abstractNumId="26">
    <w:nsid w:val="1E7FF521"/>
    <w:multiLevelType w:val="hybridMultilevel"/>
    <w:lvl w:ilvl="0">
      <w:lvlJc w:val="left"/>
      <w:lvlText w:val="%1."/>
      <w:numFmt w:val="decimal"/>
      <w:start w:val="4"/>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1."/>
      <w:numFmt w:val="decimal"/>
      <w:start w:val="6"/>
    </w:lvl>
  </w:abstractNum>
  <w:abstractNum w:abstractNumId="29">
    <w:nsid w:val="6CEAF087"/>
    <w:multiLevelType w:val="hybridMultilevel"/>
    <w:lvl w:ilvl="0">
      <w:lvlJc w:val="left"/>
      <w:lvlText w:val="(%1)"/>
      <w:numFmt w:val="lowerRoman"/>
      <w:start w:val="1"/>
    </w:lvl>
  </w:abstractNum>
  <w:abstractNum w:abstractNumId="30">
    <w:nsid w:val="22221A70"/>
    <w:multiLevelType w:val="hybridMultilevel"/>
    <w:lvl w:ilvl="0">
      <w:lvlJc w:val="left"/>
      <w:lvlText w:val="%1."/>
      <w:numFmt w:val="decimal"/>
      <w:start w:val="7"/>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2019-12-29T08:07:10Z</dcterms:created>
  <dcterms:modified xsi:type="dcterms:W3CDTF">2019-12-29T08:07:10Z</dcterms:modified>
</cp:coreProperties>
</file>