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13"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62"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0"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 ROWE PRICE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1176" w:right="419" w:bottom="1440" w:gutter="0" w:footer="0" w:header="0"/>
        </w:sectPr>
      </w:pPr>
    </w:p>
    <w:p>
      <w:pPr>
        <w:spacing w:after="0" w:line="122"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44" w:lineRule="exact"/>
        <w:rPr>
          <w:sz w:val="24"/>
          <w:szCs w:val="24"/>
          <w:color w:val="auto"/>
        </w:rPr>
      </w:pPr>
    </w:p>
    <w:p>
      <w:pPr>
        <w:sectPr>
          <w:pgSz w:w="11900" w:h="16838" w:orient="portrait"/>
          <w:cols w:equalWidth="0" w:num="2">
            <w:col w:w="7220" w:space="720"/>
            <w:col w:w="3220"/>
          </w:cols>
          <w:pgMar w:left="320" w:top="1176" w:right="41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67" w:lineRule="exact"/>
        <w:rPr>
          <w:sz w:val="24"/>
          <w:szCs w:val="24"/>
          <w:color w:val="auto"/>
        </w:rPr>
      </w:pPr>
    </w:p>
    <w:p>
      <w:pPr>
        <w:sectPr>
          <w:pgSz w:w="11900" w:h="16838" w:orient="portrait"/>
          <w:cols w:equalWidth="0" w:num="2">
            <w:col w:w="6520" w:space="720"/>
            <w:col w:w="3920"/>
          </w:cols>
          <w:pgMar w:left="320" w:top="1176" w:right="419" w:bottom="1440" w:gutter="0" w:footer="0" w:header="0"/>
          <w:type w:val="continuous"/>
        </w:sectPr>
      </w:pPr>
    </w:p>
    <w:p>
      <w:pPr>
        <w:ind w:left="35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160"/>
          </w:cols>
          <w:pgMar w:left="320" w:top="1176" w:right="419" w:bottom="1440" w:gutter="0" w:footer="0" w:header="0"/>
          <w:type w:val="continuous"/>
        </w:sectPr>
      </w:pPr>
    </w:p>
    <w:p>
      <w:pPr>
        <w:spacing w:after="0" w:line="176"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43" w:lineRule="exact"/>
        <w:rPr>
          <w:sz w:val="24"/>
          <w:szCs w:val="24"/>
          <w:color w:val="auto"/>
        </w:rPr>
      </w:pPr>
    </w:p>
    <w:p>
      <w:pPr>
        <w:sectPr>
          <w:pgSz w:w="11900" w:h="16838" w:orient="portrait"/>
          <w:cols w:equalWidth="0" w:num="3">
            <w:col w:w="4620" w:space="720"/>
            <w:col w:w="1420" w:space="720"/>
            <w:col w:w="3680"/>
          </w:cols>
          <w:pgMar w:left="320" w:top="1176" w:right="41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27" w:lineRule="exact"/>
        <w:rPr>
          <w:sz w:val="24"/>
          <w:szCs w:val="24"/>
          <w:color w:val="auto"/>
        </w:rPr>
      </w:pPr>
    </w:p>
    <w:p>
      <w:pPr>
        <w:sectPr>
          <w:pgSz w:w="11900" w:h="16838" w:orient="portrait"/>
          <w:cols w:equalWidth="0" w:num="3">
            <w:col w:w="4400" w:space="720"/>
            <w:col w:w="1620" w:space="720"/>
            <w:col w:w="3700"/>
          </w:cols>
          <w:pgMar w:left="320" w:top="1176" w:right="4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160"/>
          </w:cols>
          <w:pgMar w:left="320" w:top="1176" w:right="419" w:bottom="1440" w:gutter="0" w:footer="0" w:header="0"/>
          <w:type w:val="continuous"/>
        </w:sectPr>
      </w:pPr>
    </w:p>
    <w:p>
      <w:pPr>
        <w:spacing w:after="0" w:line="66"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ind w:right="4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jc w:val="both"/>
        <w:ind w:right="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41" w:lineRule="exact"/>
        <w:rPr>
          <w:sz w:val="24"/>
          <w:szCs w:val="24"/>
          <w:color w:val="auto"/>
        </w:rPr>
      </w:pPr>
    </w:p>
    <w:p>
      <w:pPr>
        <w:ind w:right="3000"/>
        <w:spacing w:after="0" w:line="260"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25, 2021, is 224,751,344.</w:t>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054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160"/>
          </w:cols>
          <w:pgMar w:left="320" w:top="1176"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12/31/2020</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188"/>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Assets of consolidated T. Rowe Price investment products ($1,837.1 million at September 30, 2021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8240" w:type="dxa"/>
            <w:vAlign w:val="bottom"/>
          </w:tcPr>
          <w:p>
            <w:pPr>
              <w:ind w:left="20"/>
              <w:spacing w:after="0"/>
              <w:rPr>
                <w:sz w:val="20"/>
                <w:szCs w:val="20"/>
                <w:color w:val="auto"/>
              </w:rPr>
            </w:pPr>
            <w:r>
              <w:rPr>
                <w:rFonts w:ascii="Arial" w:cs="Arial" w:eastAsia="Arial" w:hAnsi="Arial"/>
                <w:sz w:val="18"/>
                <w:szCs w:val="18"/>
                <w:color w:val="auto"/>
              </w:rPr>
              <w:t>and $2,497.4 million at December 31, 2020, related to variable interest entities)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2,695.5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188"/>
        </w:trPr>
        <w:tc>
          <w:tcPr>
            <w:tcW w:w="8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Liabilities of consolidated T. Rowe Price investment products ($62.3 million at September 30, 2021</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$47.7 million at December 31, 2020, related to variable interest entities)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w:t>
            </w: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w:t>
            </w: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240" w:type="dxa"/>
            <w:vAlign w:val="bottom"/>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226,217,000 shares at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September 30, 2021 and 227,965,000 at December 31, 2020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7,591.7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7,029.8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518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6"/>
                <w:szCs w:val="16"/>
                <w:color w:val="auto"/>
              </w:rPr>
            </w:pPr>
          </w:p>
        </w:tc>
        <w:tc>
          <w:tcPr>
            <w:tcW w:w="2520" w:type="dxa"/>
            <w:vAlign w:val="bottom"/>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6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9/30/2020</w:t>
            </w: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1,813.4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5,288.4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4,090.9</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4,473.8</w:t>
            </w: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w:t>
            </w:r>
          </w:p>
        </w:tc>
      </w:tr>
      <w:tr>
        <w:trPr>
          <w:trHeight w:val="270"/>
        </w:trPr>
        <w:tc>
          <w:tcPr>
            <w:tcW w:w="5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r>
      <w:tr>
        <w:trPr>
          <w:trHeight w:val="188"/>
        </w:trPr>
        <w:tc>
          <w:tcPr>
            <w:tcW w:w="5620" w:type="dxa"/>
            <w:vAlign w:val="bottom"/>
          </w:tcPr>
          <w:p>
            <w:pPr>
              <w:ind w:left="140"/>
              <w:spacing w:after="0" w:line="189"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356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shd w:val="clear" w:color="auto" w:fill="CCEEFF"/>
          </w:tcPr>
          <w:p>
            <w:pPr>
              <w:spacing w:after="0"/>
              <w:rPr>
                <w:sz w:val="16"/>
                <w:szCs w:val="16"/>
                <w:color w:val="auto"/>
              </w:rPr>
            </w:pPr>
          </w:p>
        </w:tc>
        <w:tc>
          <w:tcPr>
            <w:tcW w:w="2960" w:type="dxa"/>
            <w:vAlign w:val="bottom"/>
            <w:tcBorders>
              <w:bottom w:val="single" w:sz="8" w:color="auto"/>
            </w:tcBorders>
            <w:gridSpan w:val="2"/>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2760" w:type="dxa"/>
            <w:vAlign w:val="bottom"/>
            <w:tcBorders>
              <w:bottom w:val="single" w:sz="8" w:color="auto"/>
            </w:tcBorders>
            <w:gridSpan w:val="2"/>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6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9/30/2021</w:t>
            </w: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6"/>
                <w:szCs w:val="16"/>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9/30/2021</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9/30/2020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right="700"/>
        <w:spacing w:after="0" w:line="261" w:lineRule="auto"/>
        <w:rPr>
          <w:sz w:val="20"/>
          <w:szCs w:val="20"/>
          <w:color w:val="auto"/>
        </w:rPr>
      </w:pPr>
      <w:r>
        <w:rPr>
          <w:rFonts w:ascii="Arial" w:cs="Arial" w:eastAsia="Arial" w:hAnsi="Arial"/>
          <w:sz w:val="18"/>
          <w:szCs w:val="18"/>
          <w:color w:val="auto"/>
        </w:rPr>
        <w:t>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 w:lineRule="exact"/>
        <w:rPr>
          <w:sz w:val="20"/>
          <w:szCs w:val="20"/>
          <w:color w:val="auto"/>
        </w:rPr>
      </w:pPr>
    </w:p>
    <w:p>
      <w:pPr>
        <w:ind w:left="220" w:right="260"/>
        <w:spacing w:after="0" w:line="261" w:lineRule="auto"/>
        <w:rPr>
          <w:sz w:val="20"/>
          <w:szCs w:val="20"/>
          <w:color w:val="auto"/>
        </w:rPr>
      </w:pPr>
      <w:r>
        <w:rPr>
          <w:rFonts w:ascii="Arial" w:cs="Arial" w:eastAsia="Arial" w:hAnsi="Arial"/>
          <w:sz w:val="18"/>
          <w:szCs w:val="18"/>
          <w:color w:val="auto"/>
        </w:rPr>
        <w:t>Reclassification gains recognized in non-operating income upon deconsolidation of certain T. Rowe Price investment products</w:t>
      </w:r>
    </w:p>
    <w:p>
      <w:pPr>
        <w:spacing w:after="0" w:line="36" w:lineRule="exact"/>
        <w:rPr>
          <w:sz w:val="20"/>
          <w:szCs w:val="20"/>
          <w:color w:val="auto"/>
        </w:rPr>
      </w:pPr>
    </w:p>
    <w:p>
      <w:pPr>
        <w:ind w:left="220" w:right="380"/>
        <w:spacing w:after="0" w:line="261" w:lineRule="auto"/>
        <w:rPr>
          <w:sz w:val="20"/>
          <w:szCs w:val="20"/>
          <w:color w:val="auto"/>
        </w:rPr>
      </w:pPr>
      <w:r>
        <w:rPr>
          <w:rFonts w:ascii="Arial" w:cs="Arial" w:eastAsia="Arial" w:hAnsi="Arial"/>
          <w:sz w:val="18"/>
          <w:szCs w:val="18"/>
          <w:color w:val="auto"/>
        </w:rPr>
        <w:t>Total currency translation adjustments of 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Equity method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deferred tax (expense) benefits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40" w:right="480"/>
        <w:spacing w:after="0" w:line="261" w:lineRule="auto"/>
        <w:rPr>
          <w:sz w:val="20"/>
          <w:szCs w:val="20"/>
          <w:color w:val="auto"/>
        </w:rPr>
      </w:pPr>
      <w:r>
        <w:rPr>
          <w:rFonts w:ascii="Arial" w:cs="Arial" w:eastAsia="Arial" w:hAnsi="Arial"/>
          <w:sz w:val="18"/>
          <w:szCs w:val="18"/>
          <w:color w:val="auto"/>
        </w:rPr>
        <w:t>Less: comprehensive income (loss) attributable to redeemable non-controlling interests</w:t>
      </w:r>
    </w:p>
    <w:p>
      <w:pPr>
        <w:spacing w:after="0" w:line="3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Total comprehensive income attributable to T. Rowe Price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640" w:val="left"/>
          <w:tab w:leader="none" w:pos="1520" w:val="left"/>
          <w:tab w:leader="none" w:pos="2180" w:val="left"/>
          <w:tab w:leader="none" w:pos="2800" w:val="left"/>
          <w:tab w:leader="none" w:pos="3600" w:val="left"/>
          <w:tab w:leader="none" w:pos="4240" w:val="left"/>
        </w:tabs>
        <w:rPr>
          <w:sz w:val="20"/>
          <w:szCs w:val="20"/>
          <w:color w:val="auto"/>
        </w:rPr>
      </w:pPr>
      <w:r>
        <w:rPr>
          <w:rFonts w:ascii="Arial" w:cs="Arial" w:eastAsia="Arial" w:hAnsi="Arial"/>
          <w:sz w:val="18"/>
          <w:szCs w:val="18"/>
          <w:color w:val="auto"/>
        </w:rPr>
        <w:t>757.4</w:t>
        <w:tab/>
        <w:t>$</w:t>
      </w:r>
      <w:r>
        <w:rPr>
          <w:sz w:val="20"/>
          <w:szCs w:val="20"/>
          <w:color w:val="auto"/>
        </w:rPr>
        <w:tab/>
      </w:r>
      <w:r>
        <w:rPr>
          <w:rFonts w:ascii="Arial" w:cs="Arial" w:eastAsia="Arial" w:hAnsi="Arial"/>
          <w:sz w:val="18"/>
          <w:szCs w:val="18"/>
          <w:color w:val="auto"/>
        </w:rPr>
        <w:t>698.6</w:t>
        <w:tab/>
        <w:t>$</w:t>
      </w:r>
      <w:r>
        <w:rPr>
          <w:sz w:val="20"/>
          <w:szCs w:val="20"/>
          <w:color w:val="auto"/>
        </w:rPr>
        <w:tab/>
      </w:r>
      <w:r>
        <w:rPr>
          <w:rFonts w:ascii="Arial" w:cs="Arial" w:eastAsia="Arial" w:hAnsi="Arial"/>
          <w:sz w:val="18"/>
          <w:szCs w:val="18"/>
          <w:color w:val="auto"/>
        </w:rPr>
        <w:t>2,364.9</w:t>
        <w:tab/>
        <w:t>$</w:t>
      </w:r>
      <w:r>
        <w:rPr>
          <w:sz w:val="20"/>
          <w:szCs w:val="20"/>
          <w:color w:val="auto"/>
        </w:rPr>
        <w:tab/>
      </w:r>
      <w:r>
        <w:rPr>
          <w:rFonts w:ascii="Arial" w:cs="Arial" w:eastAsia="Arial" w:hAnsi="Arial"/>
          <w:sz w:val="17"/>
          <w:szCs w:val="17"/>
          <w:color w:val="auto"/>
        </w:rPr>
        <w:t>1,593.7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6350</wp:posOffset>
            </wp:positionV>
            <wp:extent cx="3711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48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5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412"/>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744.5</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1,607.9</w:t>
            </w:r>
          </w:p>
        </w:tc>
      </w:tr>
      <w:tr>
        <w:trPr>
          <w:trHeight w:val="48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776.5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r>
      <w:tr>
        <w:trPr>
          <w:trHeight w:val="21"/>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-33655</wp:posOffset>
            </wp:positionV>
            <wp:extent cx="908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-7620</wp:posOffset>
            </wp:positionV>
            <wp:extent cx="908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-187960</wp:posOffset>
            </wp:positionV>
            <wp:extent cx="908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-942340</wp:posOffset>
            </wp:positionV>
            <wp:extent cx="908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-1285240</wp:posOffset>
            </wp:positionV>
            <wp:extent cx="908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-1765300</wp:posOffset>
            </wp:positionV>
            <wp:extent cx="908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27"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ind w:right="470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2,364.9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1,593.7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Net (investments) redemptions in T. Rowe Price investment products used to economically hedge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1,916.9</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T. Rowe Price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188"/>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$104.8 million at December 31, 2020,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$76.5 million at December 31, 2019, held by consolidated T. Rowe Price investment products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168"/>
        </w:trPr>
        <w:tc>
          <w:tcPr>
            <w:tcW w:w="82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and cash equivalents at end of period, including $91.6 million at September 30, 2021,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2,306.2</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$78.0 million at September 30, 2020,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right="36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5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w w:val="97"/>
              </w:rPr>
              <w:t>Three months ended 9/30/2021</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5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6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840" w:type="dxa"/>
            <w:vAlign w:val="bottom"/>
          </w:tcPr>
          <w:p>
            <w:pPr>
              <w:jc w:val="center"/>
              <w:ind w:right="30"/>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tcPr>
          <w:p>
            <w:pPr>
              <w:spacing w:after="0"/>
              <w:rPr>
                <w:sz w:val="10"/>
                <w:szCs w:val="10"/>
                <w:color w:val="auto"/>
              </w:rPr>
            </w:pP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84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2021</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226,925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673.7</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$ 7,202.6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7,893.0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Dividends declared ($1.08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redemptions from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September 30, 2021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226,217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7,591.7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8,262.1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160"/>
              <w:spacing w:after="0"/>
              <w:rPr>
                <w:sz w:val="20"/>
                <w:szCs w:val="20"/>
                <w:color w:val="auto"/>
              </w:rPr>
            </w:pPr>
            <w:r>
              <w:rPr>
                <w:rFonts w:ascii="Arial" w:cs="Arial" w:eastAsia="Arial" w:hAnsi="Arial"/>
                <w:sz w:val="13"/>
                <w:szCs w:val="13"/>
                <w:b w:val="1"/>
                <w:bCs w:val="1"/>
                <w:color w:val="auto"/>
                <w:w w:val="97"/>
              </w:rPr>
              <w:t>Three months ended 9/30/2020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30"/>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7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shd w:val="clear" w:color="auto" w:fill="CCEEFF"/>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shd w:val="clear" w:color="auto" w:fill="CCEEFF"/>
          </w:tcPr>
          <w:p>
            <w:pPr>
              <w:spacing w:after="0"/>
              <w:rPr>
                <w:sz w:val="10"/>
                <w:szCs w:val="10"/>
                <w:color w:val="auto"/>
              </w:rPr>
            </w:pPr>
          </w:p>
        </w:tc>
        <w:tc>
          <w:tcPr>
            <w:tcW w:w="800" w:type="dxa"/>
            <w:vAlign w:val="bottom"/>
            <w:gridSpan w:val="3"/>
            <w:shd w:val="clear" w:color="auto" w:fill="CCEEFF"/>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shd w:val="clear" w:color="auto" w:fill="CCEEFF"/>
          </w:tcPr>
          <w:p>
            <w:pPr>
              <w:spacing w:after="0"/>
              <w:rPr>
                <w:sz w:val="10"/>
                <w:szCs w:val="10"/>
                <w:color w:val="auto"/>
              </w:rPr>
            </w:pPr>
          </w:p>
        </w:tc>
        <w:tc>
          <w:tcPr>
            <w:tcW w:w="68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55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June 30, 2020</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226,990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$ 6,102.9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6,750.7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1,090.1</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($0.90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(1,124)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(77.2)</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226,375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6,471.3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 w:name="page7"/>
    <w:bookmarkEnd w:id="6"/>
    <w:p>
      <w:pPr>
        <w:ind w:right="34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Nine months ended 9/30/2021</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14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5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continue"/>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227,965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$ 7,029.8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7,707.0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2,342.3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2,342.3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Dividends declared ($3.24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(754.8)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 cash dividend declared ($3.00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38.6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166.2</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color w:val="auto"/>
              </w:rPr>
              <w:t>Balances at September 30, 2021</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226,217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7,591.7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8,262.1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ind w:left="180"/>
              <w:spacing w:after="0"/>
              <w:rPr>
                <w:sz w:val="20"/>
                <w:szCs w:val="20"/>
                <w:color w:val="auto"/>
              </w:rPr>
            </w:pPr>
            <w:r>
              <w:rPr>
                <w:rFonts w:ascii="Arial" w:cs="Arial" w:eastAsia="Arial" w:hAnsi="Arial"/>
                <w:sz w:val="13"/>
                <w:szCs w:val="13"/>
                <w:b w:val="1"/>
                <w:bCs w:val="1"/>
                <w:color w:val="auto"/>
              </w:rPr>
              <w:t>Nine months ended 9/30/2020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14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7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1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continue"/>
            <w:shd w:val="clear" w:color="auto" w:fill="CCEEFF"/>
          </w:tcPr>
          <w:p>
            <w:pPr>
              <w:spacing w:after="0"/>
              <w:rPr>
                <w:sz w:val="10"/>
                <w:szCs w:val="10"/>
                <w:color w:val="auto"/>
              </w:rPr>
            </w:pPr>
          </w:p>
        </w:tc>
        <w:tc>
          <w:tcPr>
            <w:tcW w:w="82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shd w:val="clear" w:color="auto" w:fill="CCEEFF"/>
          </w:tcPr>
          <w:p>
            <w:pPr>
              <w:spacing w:after="0"/>
              <w:rPr>
                <w:sz w:val="10"/>
                <w:szCs w:val="10"/>
                <w:color w:val="auto"/>
              </w:rPr>
            </w:pPr>
          </w:p>
        </w:tc>
        <w:tc>
          <w:tcPr>
            <w:tcW w:w="680" w:type="dxa"/>
            <w:vAlign w:val="bottom"/>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color w:val="auto"/>
              </w:rPr>
              <w:t>Balances at December 31, 2019</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235,214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$ 6,443.5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7,102.1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1,589.3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($2.70 per share)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Forfeiture of restricted awards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164.3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164.3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(10,763)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(242.5)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0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226,375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6,471.3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7,128.5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6"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7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and other multi-asset solutions for providers to implement.</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3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2020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2 – INFORMATION ABOUT RECEIVABLES, REVENUES, AND SERVICES.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under agreements with clients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13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Three months ended 9/30/2021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15875</wp:posOffset>
            </wp:positionV>
            <wp:extent cx="2897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Administrative, distribution, and</w:t>
      </w:r>
    </w:p>
    <w:p>
      <w:pPr>
        <w:ind w:left="3820"/>
        <w:spacing w:after="0"/>
        <w:rPr>
          <w:sz w:val="20"/>
          <w:szCs w:val="20"/>
          <w:color w:val="auto"/>
        </w:rPr>
      </w:pPr>
      <w:r>
        <w:rPr>
          <w:rFonts w:ascii="Arial" w:cs="Arial" w:eastAsia="Arial" w:hAnsi="Arial"/>
          <w:sz w:val="13"/>
          <w:szCs w:val="13"/>
          <w:b w:val="1"/>
          <w:bCs w:val="1"/>
          <w:color w:val="auto"/>
        </w:rPr>
        <w:t>servicing fees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Three months ended 9/30/2020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15875</wp:posOffset>
            </wp:positionV>
            <wp:extent cx="2914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Administrative, distribution, and</w:t>
      </w:r>
    </w:p>
    <w:p>
      <w:pPr>
        <w:ind w:left="560"/>
        <w:spacing w:after="0"/>
        <w:rPr>
          <w:sz w:val="20"/>
          <w:szCs w:val="20"/>
          <w:color w:val="auto"/>
        </w:rPr>
      </w:pPr>
      <w:r>
        <w:rPr>
          <w:rFonts w:ascii="Arial" w:cs="Arial" w:eastAsia="Arial" w:hAnsi="Arial"/>
          <w:sz w:val="13"/>
          <w:szCs w:val="13"/>
          <w:b w:val="1"/>
          <w:bCs w:val="1"/>
          <w:color w:val="auto"/>
        </w:rPr>
        <w:t>servicing fees</w:t>
      </w:r>
    </w:p>
    <w:p>
      <w:pPr>
        <w:spacing w:after="0" w:line="7" w:lineRule="exact"/>
        <w:rPr>
          <w:sz w:val="20"/>
          <w:szCs w:val="20"/>
          <w:color w:val="auto"/>
        </w:rPr>
      </w:pPr>
    </w:p>
    <w:p>
      <w:pPr>
        <w:sectPr>
          <w:pgSz w:w="11900" w:h="16838" w:orient="portrait"/>
          <w:cols w:equalWidth="0" w:num="2">
            <w:col w:w="7220" w:space="720"/>
            <w:col w:w="3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9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shd w:val="clear" w:color="auto" w:fill="CCEEFF"/>
          </w:tcPr>
          <w:p>
            <w:pPr>
              <w:jc w:val="center"/>
              <w:ind w:right="24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tcBorders>
              <w:top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1,125.5</w:t>
            </w:r>
          </w:p>
        </w:tc>
        <w:tc>
          <w:tcPr>
            <w:tcW w:w="100" w:type="dxa"/>
            <w:vAlign w:val="bottom"/>
          </w:tcPr>
          <w:p>
            <w:pPr>
              <w:spacing w:after="0"/>
              <w:rPr>
                <w:sz w:val="17"/>
                <w:szCs w:val="17"/>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1,239.0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17"/>
                <w:szCs w:val="17"/>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1,040.4</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687.9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Other clients</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2"/>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44"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Nine months ended 9/30/2021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15875</wp:posOffset>
            </wp:positionV>
            <wp:extent cx="2897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Administrative, distribution, and</w:t>
      </w:r>
    </w:p>
    <w:p>
      <w:pPr>
        <w:ind w:left="3820"/>
        <w:spacing w:after="0"/>
        <w:rPr>
          <w:sz w:val="20"/>
          <w:szCs w:val="20"/>
          <w:color w:val="auto"/>
        </w:rPr>
      </w:pPr>
      <w:r>
        <w:rPr>
          <w:rFonts w:ascii="Arial" w:cs="Arial" w:eastAsia="Arial" w:hAnsi="Arial"/>
          <w:sz w:val="13"/>
          <w:szCs w:val="13"/>
          <w:b w:val="1"/>
          <w:bCs w:val="1"/>
          <w:color w:val="auto"/>
        </w:rPr>
        <w:t>servicing fees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Nine months ended 9/30/2020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15875</wp:posOffset>
            </wp:positionV>
            <wp:extent cx="29146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Administrative, distribution, and</w:t>
      </w:r>
    </w:p>
    <w:p>
      <w:pPr>
        <w:ind w:left="560"/>
        <w:spacing w:after="0"/>
        <w:rPr>
          <w:sz w:val="20"/>
          <w:szCs w:val="20"/>
          <w:color w:val="auto"/>
        </w:rPr>
      </w:pPr>
      <w:r>
        <w:rPr>
          <w:rFonts w:ascii="Arial" w:cs="Arial" w:eastAsia="Arial" w:hAnsi="Arial"/>
          <w:sz w:val="13"/>
          <w:szCs w:val="13"/>
          <w:b w:val="1"/>
          <w:bCs w:val="1"/>
          <w:color w:val="auto"/>
        </w:rPr>
        <w:t>servicing fees</w:t>
      </w:r>
    </w:p>
    <w:p>
      <w:pPr>
        <w:spacing w:after="0" w:line="7" w:lineRule="exact"/>
        <w:rPr>
          <w:sz w:val="20"/>
          <w:szCs w:val="20"/>
          <w:color w:val="auto"/>
        </w:rPr>
      </w:pPr>
    </w:p>
    <w:p>
      <w:pPr>
        <w:sectPr>
          <w:pgSz w:w="11900" w:h="16838" w:orient="portrait"/>
          <w:cols w:equalWidth="0" w:num="2">
            <w:col w:w="7220" w:space="720"/>
            <w:col w:w="3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9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shd w:val="clear" w:color="auto" w:fill="CCEEFF"/>
          </w:tcPr>
          <w:p>
            <w:pPr>
              <w:jc w:val="center"/>
              <w:ind w:right="24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tcBorders>
              <w:top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3,273.2</w:t>
            </w:r>
          </w:p>
        </w:tc>
        <w:tc>
          <w:tcPr>
            <w:tcW w:w="100" w:type="dxa"/>
            <w:vAlign w:val="bottom"/>
          </w:tcPr>
          <w:p>
            <w:pPr>
              <w:spacing w:after="0"/>
              <w:rPr>
                <w:sz w:val="17"/>
                <w:szCs w:val="17"/>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3,606.3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2,638.8</w:t>
            </w:r>
          </w:p>
        </w:tc>
        <w:tc>
          <w:tcPr>
            <w:tcW w:w="100" w:type="dxa"/>
            <w:vAlign w:val="bottom"/>
          </w:tcPr>
          <w:p>
            <w:pPr>
              <w:spacing w:after="0"/>
              <w:rPr>
                <w:sz w:val="17"/>
                <w:szCs w:val="17"/>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2,939.9</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1,452.1</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Other clients</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2"/>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4,473.8</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Other clients primarily include individuals, defined contribution plans, college savings plans, and institutions related to our non-discretionary advisory services.</w:t>
      </w:r>
    </w:p>
    <w:p>
      <w:pPr>
        <w:spacing w:after="0" w:line="2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$ 1,599.5 million and $1,302.3 million for the three months ended September 30, 2021 and 2020, respectively. Total net revenues earned from these products during the nine months ended September 30, 2021 and 2020 aggregate $4,653.7 million and $3,652.8 million, respectively. Accounts receivable from these products aggregate to $581.6 million at September 30, 2021 and $523.4 million at December 31,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revenues earned from clients by their underlying asset class.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6"/>
                <w:szCs w:val="16"/>
                <w:color w:val="auto"/>
              </w:rPr>
            </w:pPr>
          </w:p>
        </w:tc>
        <w:tc>
          <w:tcPr>
            <w:tcW w:w="2160" w:type="dxa"/>
            <w:vAlign w:val="bottom"/>
            <w:gridSpan w:val="4"/>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9/30/2020</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1,750.6</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r>
      <w:tr>
        <w:trPr>
          <w:trHeight w:val="223"/>
        </w:trPr>
        <w:tc>
          <w:tcPr>
            <w:tcW w:w="6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r>
      <w:tr>
        <w:trPr>
          <w:trHeight w:val="168"/>
        </w:trPr>
        <w:tc>
          <w:tcPr>
            <w:tcW w:w="6440" w:type="dxa"/>
            <w:vAlign w:val="bottom"/>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7"/>
        </w:trPr>
        <w:tc>
          <w:tcPr>
            <w:tcW w:w="644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23"/>
        </w:trPr>
        <w:tc>
          <w:tcPr>
            <w:tcW w:w="6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1,452.1</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revenues.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Average during</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Pr>
          <w:p>
            <w:pPr>
              <w:spacing w:after="0"/>
              <w:rPr>
                <w:sz w:val="15"/>
                <w:szCs w:val="15"/>
                <w:color w:val="auto"/>
              </w:rPr>
            </w:pPr>
          </w:p>
        </w:tc>
      </w:tr>
      <w:tr>
        <w:trPr>
          <w:trHeight w:val="18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12/31/2020</w:t>
            </w: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23"/>
        </w:trPr>
        <w:tc>
          <w:tcPr>
            <w:tcW w:w="4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w:t>
            </w:r>
          </w:p>
        </w:tc>
      </w:tr>
      <w:tr>
        <w:trPr>
          <w:trHeight w:val="168"/>
        </w:trPr>
        <w:tc>
          <w:tcPr>
            <w:tcW w:w="4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trusts, and other investment products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397.2</w:t>
            </w: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29"/>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r>
      <w:tr>
        <w:trPr>
          <w:trHeight w:val="223"/>
        </w:trPr>
        <w:tc>
          <w:tcPr>
            <w:tcW w:w="40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8.8%, 9.0% and 9.3% of our assets under management at September 30, 2021, June 30, 2021 and December 31,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9/30/2021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12/31/2020</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1,610.2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1,647.7</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242.9</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the three months ended September 30, 2021, net losses on investments included $4.6 million of net unrealized losses related to investments held at fair value that were still held at September 30, 2021. During the nine months ended September 30, 2021, net gains on investments included $83.7 million of net unrealized gains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 w:name="page11"/>
    <w:bookmarkEnd w:id="10"/>
    <w:p>
      <w:pPr>
        <w:ind w:right="200"/>
        <w:spacing w:after="0" w:line="256" w:lineRule="auto"/>
        <w:rPr>
          <w:sz w:val="20"/>
          <w:szCs w:val="20"/>
          <w:color w:val="auto"/>
        </w:rPr>
      </w:pPr>
      <w:r>
        <w:rPr>
          <w:rFonts w:ascii="Arial" w:cs="Arial" w:eastAsia="Arial" w:hAnsi="Arial"/>
          <w:sz w:val="18"/>
          <w:szCs w:val="18"/>
          <w:color w:val="auto"/>
        </w:rPr>
        <w:t>related to investments held at fair value that were still held at September 30, 2021. For the three and nine months ended September 30, 2020, net gains on investments included $ 75.5 million and $53.6 million, respectively, of net unrealized gains related to investments held at fair value that were still held at September 30, 2020.</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nine months ended September 30, 2021 and 2020,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nine months ended September 30, 2021 and September 30, 2020, certain T. Rowe Price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6"/>
                <w:szCs w:val="16"/>
                <w:color w:val="auto"/>
              </w:rPr>
            </w:pPr>
          </w:p>
        </w:tc>
        <w:tc>
          <w:tcPr>
            <w:tcW w:w="2460" w:type="dxa"/>
            <w:vAlign w:val="bottom"/>
            <w:gridSpan w:val="4"/>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9/30/2020</w:t>
            </w:r>
          </w:p>
        </w:tc>
      </w:tr>
      <w:tr>
        <w:trPr>
          <w:trHeight w:val="168"/>
        </w:trPr>
        <w:tc>
          <w:tcPr>
            <w:tcW w:w="5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increase (decrease) in assets of consolidated T. Rowe Price</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r>
      <w:tr>
        <w:trPr>
          <w:trHeight w:val="188"/>
        </w:trPr>
        <w:tc>
          <w:tcPr>
            <w:tcW w:w="5480" w:type="dxa"/>
            <w:vAlign w:val="bottom"/>
          </w:tcPr>
          <w:p>
            <w:pPr>
              <w:ind w:left="20"/>
              <w:spacing w:after="0" w:line="189" w:lineRule="exact"/>
              <w:rPr>
                <w:sz w:val="20"/>
                <w:szCs w:val="20"/>
                <w:color w:val="auto"/>
              </w:rPr>
            </w:pPr>
            <w:r>
              <w:rPr>
                <w:rFonts w:ascii="Arial" w:cs="Arial" w:eastAsia="Arial" w:hAnsi="Arial"/>
                <w:sz w:val="18"/>
                <w:szCs w:val="18"/>
                <w:color w:val="auto"/>
              </w:rPr>
              <w:t>Net increase (decrease) in liabilities of consolidated T. Rowe Price</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48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23"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investments at September 30, 2021 and December 31, 2020,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9/30/2021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unfunded capital commitments totaling $9.2 million at September 30, 2021 and $12.3 million at December 31, 2020 relate primarily to the investment partnerships in which we have an existing investment. In addition to such amounts, a percentage of prior distributions may be called under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480" w:right="2220" w:hanging="480"/>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 w:name="page12"/>
    <w:bookmarkEnd w:id="11"/>
    <w:p>
      <w:pPr>
        <w:ind w:right="180"/>
        <w:spacing w:after="0" w:line="256" w:lineRule="auto"/>
        <w:rPr>
          <w:sz w:val="20"/>
          <w:szCs w:val="20"/>
          <w:color w:val="auto"/>
        </w:rPr>
      </w:pPr>
      <w:r>
        <w:rPr>
          <w:rFonts w:ascii="Arial" w:cs="Arial" w:eastAsia="Arial" w:hAnsi="Arial"/>
          <w:sz w:val="18"/>
          <w:szCs w:val="18"/>
          <w:color w:val="auto"/>
        </w:rPr>
        <w:t>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9/30/2021</w:t>
            </w: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12/31/2020</w:t>
            </w:r>
          </w:p>
        </w:tc>
        <w:tc>
          <w:tcPr>
            <w:tcW w:w="1040" w:type="dxa"/>
            <w:vAlign w:val="bottom"/>
            <w:tcBorders>
              <w:bottom w:val="single" w:sz="8" w:color="auto"/>
            </w:tcBorders>
            <w:shd w:val="clear" w:color="auto" w:fill="CCEEFF"/>
          </w:tcPr>
          <w:p>
            <w:pPr>
              <w:spacing w:after="0"/>
              <w:rPr>
                <w:sz w:val="16"/>
                <w:szCs w:val="16"/>
                <w:color w:val="auto"/>
              </w:rPr>
            </w:pPr>
          </w:p>
        </w:tc>
      </w:tr>
      <w:tr>
        <w:trPr>
          <w:trHeight w:val="183"/>
        </w:trPr>
        <w:tc>
          <w:tcPr>
            <w:tcW w:w="5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2,966.7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1,931.1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$107.8 million at September 30, 2021, and $94.0 million at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7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2,560.9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$6.0 million at September 30, 2021, and $7.0 million at December 31, 2020, of T. Rowe Price money market mutual funds.</w:t>
      </w:r>
    </w:p>
    <w:p>
      <w:pPr>
        <w:ind w:left="140" w:hanging="132"/>
        <w:spacing w:after="0" w:line="224"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$44.5 million at September 30, 2021, and $26.9 million at December 31, 2020 of other T. Rowe Price investment products.</w:t>
      </w:r>
    </w:p>
    <w:p>
      <w:pPr>
        <w:spacing w:after="0" w:line="2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200"/>
        <w:spacing w:after="0" w:line="261" w:lineRule="auto"/>
        <w:rPr>
          <w:sz w:val="20"/>
          <w:szCs w:val="20"/>
          <w:color w:val="auto"/>
        </w:rPr>
      </w:pPr>
      <w:r>
        <w:rPr>
          <w:rFonts w:ascii="Arial" w:cs="Arial" w:eastAsia="Arial" w:hAnsi="Arial"/>
          <w:sz w:val="18"/>
          <w:szCs w:val="18"/>
          <w:color w:val="auto"/>
        </w:rPr>
        <w:t>investments held by these products in our unaudited condensed consolidated statements of income and disclose the portion attributable to third party investors as net income attributable to redeemable non-controlling interests.</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for the three- and nine-months ended September 30, 2021 and 2020, are reflected in our unaudited condensed consolidated statements of income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6"/>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7"/>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Voting 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gridSpan w:val="2"/>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Operating expenses reflected in net operating income $</w:t>
            </w:r>
          </w:p>
        </w:tc>
        <w:tc>
          <w:tcPr>
            <w:tcW w:w="860" w:type="dxa"/>
            <w:vAlign w:val="bottom"/>
          </w:tcPr>
          <w:p>
            <w:pPr>
              <w:jc w:val="center"/>
              <w:ind w:left="475"/>
              <w:spacing w:after="0"/>
              <w:rPr>
                <w:sz w:val="20"/>
                <w:szCs w:val="20"/>
                <w:color w:val="auto"/>
              </w:rPr>
            </w:pPr>
            <w:r>
              <w:rPr>
                <w:rFonts w:ascii="Arial" w:cs="Arial" w:eastAsia="Arial" w:hAnsi="Arial"/>
                <w:sz w:val="18"/>
                <w:szCs w:val="18"/>
                <w:color w:val="auto"/>
                <w:w w:val="96"/>
              </w:rPr>
              <w:t>(.1)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495"/>
              <w:spacing w:after="0"/>
              <w:rPr>
                <w:sz w:val="20"/>
                <w:szCs w:val="20"/>
                <w:color w:val="auto"/>
              </w:rPr>
            </w:pPr>
            <w:r>
              <w:rPr>
                <w:rFonts w:ascii="Arial" w:cs="Arial" w:eastAsia="Arial" w:hAnsi="Arial"/>
                <w:sz w:val="18"/>
                <w:szCs w:val="18"/>
                <w:color w:val="auto"/>
              </w:rPr>
              <w:t>.6</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495"/>
              <w:spacing w:after="0"/>
              <w:rPr>
                <w:sz w:val="20"/>
                <w:szCs w:val="20"/>
                <w:color w:val="auto"/>
              </w:rPr>
            </w:pPr>
            <w:r>
              <w:rPr>
                <w:rFonts w:ascii="Arial" w:cs="Arial" w:eastAsia="Arial" w:hAnsi="Arial"/>
                <w:sz w:val="18"/>
                <w:szCs w:val="18"/>
                <w:color w:val="auto"/>
              </w:rPr>
              <w:t>.5</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495"/>
              <w:spacing w:after="0"/>
              <w:rPr>
                <w:sz w:val="20"/>
                <w:szCs w:val="20"/>
                <w:color w:val="auto"/>
              </w:rPr>
            </w:pPr>
            <w:r>
              <w:rPr>
                <w:rFonts w:ascii="Arial" w:cs="Arial" w:eastAsia="Arial" w:hAnsi="Arial"/>
                <w:sz w:val="18"/>
                <w:szCs w:val="18"/>
                <w:color w:val="auto"/>
              </w:rPr>
              <w:t>.6</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6"/>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9/30/2020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tcPr>
          <w:p>
            <w:pPr>
              <w:ind w:left="20"/>
              <w:spacing w:after="0" w:line="168"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435"/>
              <w:spacing w:after="0"/>
              <w:rPr>
                <w:sz w:val="20"/>
                <w:szCs w:val="20"/>
                <w:color w:val="auto"/>
              </w:rPr>
            </w:pPr>
            <w:r>
              <w:rPr>
                <w:rFonts w:ascii="Arial" w:cs="Arial" w:eastAsia="Arial" w:hAnsi="Arial"/>
                <w:sz w:val="18"/>
                <w:szCs w:val="18"/>
                <w:color w:val="auto"/>
                <w:w w:val="96"/>
              </w:rPr>
              <w:t>(.4)</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$1.6 million and $ 2.7 million for the three months ended September 30, 2021 and 2020, respectively, against the investment advisory and administrative fees earned from these products. Operating expenses eliminated for the nine months ended September 30, 2021 and 2020, were $4.0 million and $7.3 million, respectively. The net investment income (loss) reflected in non-operating income (loss) includes dividend and interest income as well as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right="1020"/>
        <w:spacing w:after="0" w:line="261"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nine months ended September 30, 2021 and 2020.</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cash provided by financing activities during the nine months ended September 30, 2021 and 2020 includes $35.3 million and $95.2 million, respectively, of net subscriptions we made into the consolidated T. Rowe Price investment products, net of dividends received. These cash flows were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9/30/2021</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12/31/2020</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1,411.3</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STOCKHOLDERS’ EQUITY.</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Accounts payable and accrued expenses includes liabilities of $ 36.0 million at September 30, 2021, and $2.5 million at December 31, 2020 for common stock repurchases that settled during the first week of October 2021 and January 2021, respectively.</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June 14, 2021, the Board of Directors declared a special cash dividend of $3.00 per common share, or $699.8 million, that was paid on July 7, 2021 to stockholders of record as of the close of business on June 25,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spacing w:after="0"/>
              <w:rPr>
                <w:sz w:val="15"/>
                <w:szCs w:val="15"/>
                <w:color w:val="auto"/>
              </w:rPr>
            </w:pPr>
          </w:p>
        </w:tc>
        <w:tc>
          <w:tcPr>
            <w:tcW w:w="1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Pr>
          <w:p>
            <w:pPr>
              <w:jc w:val="center"/>
              <w:ind w:left="374"/>
              <w:spacing w:after="0"/>
              <w:rPr>
                <w:sz w:val="20"/>
                <w:szCs w:val="20"/>
                <w:color w:val="auto"/>
              </w:rPr>
            </w:pPr>
            <w:r>
              <w:rPr>
                <w:rFonts w:ascii="Arial" w:cs="Arial" w:eastAsia="Arial" w:hAnsi="Arial"/>
                <w:sz w:val="18"/>
                <w:szCs w:val="18"/>
                <w:color w:val="auto"/>
                <w:w w:val="99"/>
              </w:rPr>
              <w:t>4,379,663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9"/>
              </w:rPr>
              <w:t>(1,403,996)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42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99"/>
              </w:rPr>
              <w:t>2,975,667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42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99"/>
              </w:rPr>
              <w:t>2,975,667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SPECIAL CASH DIVIDEND.</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the special cash dividend declared by the Board of Directors in June 2021, the anti-dilution provisions of our employee long-term incentive plans and non-employee director plans (collectively, the LTI plans) require an automatic adjustment to neutralize the effect of the special cash dividend. On the special cash dividend’s ex-dividend date (June 24, 2021), the number of shares authorized and the number of stock options outstanding and their exercise price were adjusted resulting in an increase of 50,607 stock options outstanding on the ex-dividend date, and no incremental compensation expense. In the table above, the number of options outstanding at December 31, 2020 was updated to reflect this adjustment.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nine months ended September 30,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14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1"/>
                <w:szCs w:val="11"/>
                <w:color w:val="auto"/>
              </w:rPr>
            </w:pPr>
          </w:p>
        </w:tc>
        <w:tc>
          <w:tcPr>
            <w:tcW w:w="1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6,367,059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188.58</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2,978</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(99,091)</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(137,390)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6,162,870</w:t>
            </w:r>
          </w:p>
        </w:tc>
        <w:tc>
          <w:tcPr>
            <w:tcW w:w="38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440"/>
        <w:spacing w:after="0" w:line="261" w:lineRule="auto"/>
        <w:rPr>
          <w:sz w:val="20"/>
          <w:szCs w:val="20"/>
          <w:color w:val="auto"/>
        </w:rPr>
      </w:pPr>
      <w:r>
        <w:rPr>
          <w:rFonts w:ascii="Arial" w:cs="Arial" w:eastAsia="Arial" w:hAnsi="Arial"/>
          <w:sz w:val="18"/>
          <w:szCs w:val="18"/>
          <w:color w:val="auto"/>
        </w:rPr>
        <w:t>Nonvested at September 30, 2021, includes performance-based restricted stock units of 335,162. These nonvested performance-based restricted stock units include 188,612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7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September 30, 2021.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 through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49.9</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116.4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95.8</w:t>
      </w:r>
    </w:p>
    <w:p>
      <w:pPr>
        <w:spacing w:after="0" w:line="36" w:lineRule="exact"/>
        <w:rPr>
          <w:sz w:val="20"/>
          <w:szCs w:val="20"/>
          <w:color w:val="auto"/>
        </w:rPr>
      </w:pPr>
    </w:p>
    <w:p>
      <w:pPr>
        <w:ind w:left="907" w:hanging="907"/>
        <w:spacing w:after="0"/>
        <w:tabs>
          <w:tab w:leader="none" w:pos="907" w:val="left"/>
        </w:tabs>
        <w:numPr>
          <w:ilvl w:val="0"/>
          <w:numId w:val="7"/>
        </w:numPr>
        <w:rPr>
          <w:rFonts w:ascii="Arial" w:cs="Arial" w:eastAsia="Arial" w:hAnsi="Arial"/>
          <w:sz w:val="17"/>
          <w:szCs w:val="17"/>
          <w:color w:val="auto"/>
        </w:rPr>
      </w:pPr>
      <w:r>
        <w:rPr>
          <w:rFonts w:ascii="Arial" w:cs="Arial" w:eastAsia="Arial" w:hAnsi="Arial"/>
          <w:sz w:val="17"/>
          <w:szCs w:val="17"/>
          <w:color w:val="auto"/>
        </w:rPr>
        <w:t>262.1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917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886"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shd w:val="clear" w:color="auto" w:fill="CCEEFF"/>
          </w:tcPr>
          <w:p>
            <w:pPr>
              <w:spacing w:after="0"/>
              <w:rPr>
                <w:sz w:val="16"/>
                <w:szCs w:val="16"/>
                <w:color w:val="auto"/>
              </w:rPr>
            </w:pPr>
          </w:p>
        </w:tc>
        <w:tc>
          <w:tcPr>
            <w:tcW w:w="3080" w:type="dxa"/>
            <w:vAlign w:val="bottom"/>
            <w:gridSpan w:val="3"/>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9/30/2021</w:t>
            </w:r>
          </w:p>
        </w:tc>
        <w:tc>
          <w:tcPr>
            <w:tcW w:w="1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9/30/2021</w:t>
            </w:r>
          </w:p>
        </w:tc>
        <w:tc>
          <w:tcPr>
            <w:tcW w:w="13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9/30/2020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6"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Net income attributable to T. Rowe Price</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right="260"/>
        <w:spacing w:after="0" w:line="227" w:lineRule="auto"/>
        <w:rPr>
          <w:sz w:val="20"/>
          <w:szCs w:val="20"/>
          <w:color w:val="auto"/>
        </w:rPr>
      </w:pPr>
      <w:r>
        <w:rPr>
          <w:rFonts w:ascii="Arial" w:cs="Arial" w:eastAsia="Arial" w:hAnsi="Arial"/>
          <w:sz w:val="18"/>
          <w:szCs w:val="18"/>
          <w:color w:val="auto"/>
        </w:rPr>
        <w:t>Less: net income allocated to outstanding restricted stock and stock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Net income allocated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common shares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 assuming dilution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777.2</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1,589.3</w:t>
            </w:r>
          </w:p>
        </w:tc>
      </w:tr>
      <w:tr>
        <w:trPr>
          <w:trHeight w:val="405"/>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19.5</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757.7</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1,545.2</w:t>
            </w: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5"/>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226.9</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r>
      <w:tr>
        <w:trPr>
          <w:trHeight w:val="21"/>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229.1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-7620</wp:posOffset>
            </wp:positionV>
            <wp:extent cx="9086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-213995</wp:posOffset>
            </wp:positionV>
            <wp:extent cx="9086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-668020</wp:posOffset>
            </wp:positionV>
            <wp:extent cx="9086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886"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2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September 30, 2021 and 2020 are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940" w:type="dxa"/>
            <w:vAlign w:val="bottom"/>
            <w:gridSpan w:val="8"/>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 9/30/2021</w:t>
            </w:r>
          </w:p>
        </w:tc>
        <w:tc>
          <w:tcPr>
            <w:tcW w:w="140" w:type="dxa"/>
            <w:vAlign w:val="bottom"/>
            <w:shd w:val="clear" w:color="auto" w:fill="CCEEFF"/>
          </w:tcPr>
          <w:p>
            <w:pPr>
              <w:spacing w:after="0"/>
              <w:rPr>
                <w:sz w:val="16"/>
                <w:szCs w:val="16"/>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9/30/2020</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1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5"/>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57"/>
        </w:trPr>
        <w:tc>
          <w:tcPr>
            <w:tcW w:w="316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6" w:name="page17"/>
    <w:bookmarkEnd w:id="16"/>
    <w:p>
      <w:pPr>
        <w:ind w:right="80"/>
        <w:spacing w:after="0" w:line="256" w:lineRule="auto"/>
        <w:rPr>
          <w:sz w:val="20"/>
          <w:szCs w:val="20"/>
          <w:color w:val="auto"/>
        </w:rPr>
      </w:pPr>
      <w:r>
        <w:rPr>
          <w:rFonts w:ascii="Arial" w:cs="Arial" w:eastAsia="Arial" w:hAnsi="Arial"/>
          <w:sz w:val="18"/>
          <w:szCs w:val="18"/>
          <w:color w:val="auto"/>
        </w:rPr>
        <w:t>The other comprehensive income (loss) in the table above excludes $(12.2) million and $20.8 million of other comprehensive income related to redeemable non-controlling interests held in our consolidated products for the three months ended September 30, 2021 and 2020, respectively.</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nine months ended September 30, 2021 and 2020, are presented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Nine months ended 9/30/2021</w:t>
            </w:r>
          </w:p>
        </w:tc>
        <w:tc>
          <w:tcPr>
            <w:tcW w:w="160" w:type="dxa"/>
            <w:vAlign w:val="bottom"/>
            <w:shd w:val="clear" w:color="auto" w:fill="CCEEFF"/>
          </w:tcPr>
          <w:p>
            <w:pPr>
              <w:spacing w:after="0"/>
              <w:rPr>
                <w:sz w:val="16"/>
                <w:szCs w:val="16"/>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Nine months ended 9/30/2020</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1"/>
                <w:szCs w:val="11"/>
                <w:color w:val="auto"/>
              </w:rPr>
            </w:pPr>
          </w:p>
        </w:tc>
        <w:tc>
          <w:tcPr>
            <w:tcW w:w="14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1"/>
                <w:szCs w:val="11"/>
                <w:color w:val="auto"/>
              </w:rPr>
            </w:pPr>
          </w:p>
        </w:tc>
        <w:tc>
          <w:tcPr>
            <w:tcW w:w="11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5"/>
                <w:szCs w:val="15"/>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other comprehensive income (loss) in the table above excludes $20.2 million for the 2021 period and $ 13.9 million for the 2020 period of other comprehensive income (loss) related to redeemable non-controlling interests held in our consolidated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The parties have reached an agreement in principle for a settlement, which will be presented to the court for approval. The proposed settlement would not be material to T. Rowe Price Group, Inc.</w:t>
      </w:r>
    </w:p>
    <w:p>
      <w:pPr>
        <w:spacing w:after="0" w:line="23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PENDING ACQUISITION OF OAK HILL ADVISORS, L.P.</w:t>
      </w:r>
    </w:p>
    <w:p>
      <w:pPr>
        <w:spacing w:after="0" w:line="26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On October 28, 2021, we entered into a definitive purchase agreement to acquire 100% of the equity of Oak Hill Advisors, L.P. (OHA), and certain other entities that have common ownership. OHA is an alternative investment management firm with a focus on performing and distressed credit investments in North America, Europe and other geographies. Under the purchase agreement, we will acquire OHA for a purchase price of up to $4.2 billion, with $3.3 billion payable at closing, approximately 74% in cash and 26% in T. Rowe Price Group, Inc. common stock, and up to an additional $900 million in cash upon the achievement of certain business milestones beginning in 2025. The purchase price includes the retirement of OHA debt outstanding at closing. The completion of the acquisition is subject to various approvals and other customary closing conditions and is expected to close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2021, the related condensed consolidated statements of income, comprehensive income, and stockholders’ equity for the three-month and nine-month periods ended September 30, 2021 and 2020, the related condensed consolidated statements of cash flows for the nine-month periods ended September 30, 2021 and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2020, and the related consolidated statements of income, comprehensive income, stockholders’ equity, and cash flows for the year then ended (not presented herein); and in our report dated February 11, 2021, we expressed an unqualified opinion on those consolidated financial statements. In our opinion, the information set forth in the accompanying condensed consolidated balance sheet as of December 31, 2020, is fairly stated, in all material respects, in relation to the consolidated balance sheet from which it has been derived.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are impacted by fluctuations in our assets under management.</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6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Major U.S. stock market indexes were mixed in the third quarter. Large-cap shares outperformed. Stocks generally rose through early September, supported by favorable second-quarter corporate earnings reports. However, the spread of the delta variant of the coronavirus weighed on the economic recovery. Toward the end of the quarter, investors turned cautious as longer-term U.S. Treasury yields climbed amid growing expectations that the Federal Reserve could soon begin to taper its monthly asset purchases. Investors were also concerned that Congress had not yet passed legislation that raises or eliminates the debt ceiling, which is the statutory limit on the federal government’s borrowing ability.</w:t>
      </w:r>
    </w:p>
    <w:p>
      <w:pPr>
        <w:spacing w:after="0" w:line="21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European stock markets were widely mixed in U.S. dollar terms; UK shares fell marginally. Developed Asian and Far East markets were also mixed. Japanese shares rose close to 5%, whereas Hong Kong stocks slumped more than 9% due in part to Chinese regulatory developments.</w:t>
      </w:r>
    </w:p>
    <w:p>
      <w:pPr>
        <w:spacing w:after="0" w:line="2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Emerging markets equities generally declined. In Latin America, Brazilian shares tumbled more than 20% in U.S. dollar terms; in Asia, South Korean shares slumped 13%. Emerging European markets rose broadly, though Turkish stocks trailed the region with a 2%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8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8.8%</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3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39"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Global bond returns produced mostly flat or negative returns in U.S. dollar terms. In the U.S., long-term Treasury yields initially declined, but they rose in late September after the Federal Reserve signaled that it could soon moderate the pace of its monthly asset purchases. The 10-year U.S. Treasury yield increased from 1.45% to 1.52% during the quarter.</w:t>
      </w:r>
    </w:p>
    <w:p>
      <w:pPr>
        <w:spacing w:after="0" w:line="21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the taxable investment-grade bond universe, all major segments—including Treasuries, corporate bonds, and mortgage- and asset-backed securities—were essentially flat. Tax-free municipal securities fell slightly and trailed the taxable investment-grade bond market. High yield bonds produced slight positive returns and outperformed high-quality issues.</w:t>
      </w:r>
    </w:p>
    <w:p>
      <w:pPr>
        <w:spacing w:after="0" w:line="21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Bonds in developed non-U.S. markets declined as longer-term interest rates in various countries rose and a stronger U.S. dollar reduced local returns to U.S investors. The Japanese yen fell about .5% versus the greenback, while the euro and British pound dropped more than 2%.</w:t>
      </w:r>
    </w:p>
    <w:p>
      <w:pPr>
        <w:spacing w:after="0" w:line="218"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Emerging markets bonds also declined. Local currency issues fared worse than dollar-denominated debt, as the South African rand, the South Korean won, and several Latin American currencies fell materially against the U.S. dollar.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8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4.6%</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(5.9)%</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74" w:lineRule="exact"/>
        <w:rPr>
          <w:sz w:val="20"/>
          <w:szCs w:val="20"/>
          <w:color w:val="auto"/>
        </w:rPr>
      </w:pPr>
    </w:p>
    <w:p>
      <w:pPr>
        <w:ind w:left="100" w:right="20"/>
        <w:spacing w:after="0" w:line="253" w:lineRule="auto"/>
        <w:rPr>
          <w:sz w:val="20"/>
          <w:szCs w:val="20"/>
          <w:color w:val="auto"/>
        </w:rPr>
      </w:pPr>
      <w:r>
        <w:rPr>
          <w:rFonts w:ascii="Arial" w:cs="Arial" w:eastAsia="Arial" w:hAnsi="Arial"/>
          <w:sz w:val="18"/>
          <w:szCs w:val="18"/>
          <w:color w:val="auto"/>
        </w:rPr>
        <w:t>Assets under management ended the third quarter of 2021 at $1,612.3 billion, a decrease of $10.8 billion from June 30, 2021, and an increase of $141.8 billion from the end of 2020. For the three months ended September 30, 2021, the decrease in assets under management was driven by net cash outflows of $ 6.4 billion and market depreciation, including distributions not reinvested, of $4.4 billion. Clients transferred $3.6 billion in net assets from the U.S. mutual funds primarily to collective investment trusts and other investment products, of which $1.9 billion transferred into the retirement date trusts.</w:t>
      </w:r>
    </w:p>
    <w:p>
      <w:pPr>
        <w:spacing w:after="0" w:line="232" w:lineRule="exact"/>
        <w:rPr>
          <w:sz w:val="20"/>
          <w:szCs w:val="20"/>
          <w:color w:val="auto"/>
        </w:rPr>
      </w:pPr>
    </w:p>
    <w:p>
      <w:pPr>
        <w:ind w:left="100" w:right="100"/>
        <w:spacing w:after="0" w:line="254" w:lineRule="auto"/>
        <w:rPr>
          <w:sz w:val="20"/>
          <w:szCs w:val="20"/>
          <w:color w:val="auto"/>
        </w:rPr>
      </w:pPr>
      <w:r>
        <w:rPr>
          <w:rFonts w:ascii="Arial" w:cs="Arial" w:eastAsia="Arial" w:hAnsi="Arial"/>
          <w:sz w:val="18"/>
          <w:szCs w:val="18"/>
          <w:color w:val="auto"/>
        </w:rPr>
        <w:t>For the nine months ended September 30, 2021, the increase in assets under management was driven by market appreciation, net of distributions not reinvested, of $147.6 billion, partially offset by net cash outflows of $5.8 billion. Clients transferred $18.4 billion in net assets from the U.S. mutual funds primarily to collective investment trusts and other investment products, of which $12.7 billion transferred into the retirement date trusts.</w:t>
      </w:r>
    </w:p>
    <w:p>
      <w:pPr>
        <w:spacing w:after="0" w:line="231" w:lineRule="exact"/>
        <w:rPr>
          <w:sz w:val="20"/>
          <w:szCs w:val="20"/>
          <w:color w:val="auto"/>
        </w:rPr>
      </w:pPr>
    </w:p>
    <w:p>
      <w:pPr>
        <w:ind w:left="100" w:right="200"/>
        <w:spacing w:after="0" w:line="261" w:lineRule="auto"/>
        <w:rPr>
          <w:sz w:val="20"/>
          <w:szCs w:val="20"/>
          <w:color w:val="auto"/>
        </w:rPr>
      </w:pPr>
      <w:r>
        <w:rPr>
          <w:rFonts w:ascii="Arial" w:cs="Arial" w:eastAsia="Arial" w:hAnsi="Arial"/>
          <w:sz w:val="18"/>
          <w:szCs w:val="18"/>
          <w:color w:val="auto"/>
        </w:rPr>
        <w:t>The following tables detail changes in our assets under management, by vehicle and asset class, during the three- and nine-month periods ended September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right w:val="single" w:sz="8" w:color="CCEEFF"/>
            </w:tcBorders>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20" w:type="dxa"/>
            <w:vAlign w:val="bottom"/>
            <w:tcBorders>
              <w:bottom w:val="single" w:sz="8" w:color="auto"/>
            </w:tcBorders>
            <w:gridSpan w:val="10"/>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9/30/2021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12"/>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9/30/2021</w:t>
            </w: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Collective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rPr>
              <w:t>Collective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Subadvised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Subadvised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rPr>
              <w:t>trusts and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mutual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rPr>
              <w:t>funds and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rPr>
              <w:t>trusts and other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funds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left="42"/>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auto"/>
              </w:rPr>
              <w:t>(in billions)</w:t>
            </w: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separate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rPr>
              <w:t>mutual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separate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1"/>
                <w:szCs w:val="11"/>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funds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accounts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funds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accounts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0" w:type="dxa"/>
            <w:vAlign w:val="bottom"/>
            <w:tcBorders>
              <w:right w:val="single" w:sz="8" w:color="CCEEFF"/>
            </w:tcBorders>
          </w:tcPr>
          <w:p>
            <w:pPr>
              <w:spacing w:after="0"/>
              <w:rPr>
                <w:sz w:val="13"/>
                <w:szCs w:val="13"/>
                <w:color w:val="auto"/>
              </w:rPr>
            </w:pPr>
          </w:p>
        </w:tc>
        <w:tc>
          <w:tcPr>
            <w:tcW w:w="228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Assets under management at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0" w:type="dxa"/>
            <w:vAlign w:val="bottom"/>
            <w:tcBorders>
              <w:right w:val="single" w:sz="8" w:color="CCEEFF"/>
            </w:tcBorders>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330.4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1,623.1</w:t>
            </w:r>
          </w:p>
        </w:tc>
        <w:tc>
          <w:tcPr>
            <w:tcW w:w="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794.6</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400.1</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275.8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1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 w:type="dxa"/>
            <w:vAlign w:val="bottom"/>
            <w:tcBorders>
              <w:right w:val="single" w:sz="8" w:color="CCEEFF"/>
            </w:tcBorders>
          </w:tcPr>
          <w:p>
            <w:pPr>
              <w:spacing w:after="0"/>
              <w:rPr>
                <w:sz w:val="15"/>
                <w:szCs w:val="15"/>
                <w:color w:val="auto"/>
              </w:rPr>
            </w:pPr>
          </w:p>
        </w:tc>
        <w:tc>
          <w:tcPr>
            <w:tcW w:w="22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cash flows before client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0" w:type="dxa"/>
            <w:vAlign w:val="bottom"/>
            <w:tcBorders>
              <w:right w:val="single" w:sz="8" w:color="CCEEFF"/>
            </w:tcBorders>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transfers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2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Client transfers</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16.4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40" w:type="dxa"/>
            <w:vAlign w:val="bottom"/>
            <w:tcBorders>
              <w:right w:val="single" w:sz="8" w:color="CCEEFF"/>
            </w:tcBorders>
          </w:tcPr>
          <w:p>
            <w:pPr>
              <w:spacing w:after="0"/>
              <w:rPr>
                <w:sz w:val="13"/>
                <w:szCs w:val="13"/>
                <w:color w:val="auto"/>
              </w:rPr>
            </w:pPr>
          </w:p>
        </w:tc>
        <w:tc>
          <w:tcPr>
            <w:tcW w:w="22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cash flows after client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0" w:type="dxa"/>
            <w:vAlign w:val="bottom"/>
            <w:tcBorders>
              <w:right w:val="single" w:sz="8" w:color="CCEEFF"/>
            </w:tcBorders>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transfers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2280" w:type="dxa"/>
            <w:vAlign w:val="bottom"/>
          </w:tcPr>
          <w:p>
            <w:pPr>
              <w:spacing w:after="0" w:line="178" w:lineRule="exact"/>
              <w:rPr>
                <w:sz w:val="20"/>
                <w:szCs w:val="20"/>
                <w:color w:val="auto"/>
              </w:rPr>
            </w:pPr>
            <w:r>
              <w:rPr>
                <w:rFonts w:ascii="Arial" w:cs="Arial" w:eastAsia="Arial" w:hAnsi="Arial"/>
                <w:sz w:val="16"/>
                <w:szCs w:val="16"/>
                <w:color w:val="auto"/>
              </w:rPr>
              <w:t>Net market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280" w:type="dxa"/>
            <w:vAlign w:val="bottom"/>
          </w:tcPr>
          <w:p>
            <w:pPr>
              <w:spacing w:after="0" w:line="162" w:lineRule="exact"/>
              <w:rPr>
                <w:sz w:val="20"/>
                <w:szCs w:val="20"/>
                <w:color w:val="auto"/>
              </w:rPr>
            </w:pPr>
            <w:r>
              <w:rPr>
                <w:rFonts w:ascii="Arial" w:cs="Arial" w:eastAsia="Arial" w:hAnsi="Arial"/>
                <w:sz w:val="16"/>
                <w:szCs w:val="16"/>
                <w:color w:val="auto"/>
              </w:rPr>
              <w:t>(depreciation)/appreciation and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(losses)/gains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Net distributions not reinvested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Change during the period</w:t>
            </w: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66.4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20.7</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54.7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91"/>
        </w:trPr>
        <w:tc>
          <w:tcPr>
            <w:tcW w:w="140" w:type="dxa"/>
            <w:vAlign w:val="bottom"/>
            <w:tcBorders>
              <w:right w:val="single" w:sz="8" w:color="CCEEFF"/>
            </w:tcBorders>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2280" w:type="dxa"/>
            <w:vAlign w:val="bottom"/>
          </w:tcPr>
          <w:p>
            <w:pPr>
              <w:spacing w:after="0" w:line="178" w:lineRule="exact"/>
              <w:rPr>
                <w:sz w:val="20"/>
                <w:szCs w:val="20"/>
                <w:color w:val="auto"/>
              </w:rPr>
            </w:pPr>
            <w:r>
              <w:rPr>
                <w:rFonts w:ascii="Arial" w:cs="Arial" w:eastAsia="Arial" w:hAnsi="Arial"/>
                <w:sz w:val="16"/>
                <w:szCs w:val="16"/>
                <w:color w:val="auto"/>
              </w:rPr>
              <w:t>Assets under management at</w:t>
            </w:r>
          </w:p>
        </w:tc>
        <w:tc>
          <w:tcPr>
            <w:tcW w:w="100" w:type="dxa"/>
            <w:vAlign w:val="bottom"/>
            <w:vMerge w:val="restart"/>
          </w:tcPr>
          <w:p>
            <w:pPr>
              <w:spacing w:after="0"/>
              <w:rPr>
                <w:sz w:val="15"/>
                <w:szCs w:val="15"/>
                <w:color w:val="auto"/>
              </w:rPr>
            </w:pPr>
          </w:p>
        </w:tc>
        <w:tc>
          <w:tcPr>
            <w:tcW w:w="1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861.0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420.8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330.5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1,612.3</w:t>
            </w:r>
          </w:p>
        </w:tc>
        <w:tc>
          <w:tcPr>
            <w:tcW w:w="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color w:val="auto"/>
              </w:rPr>
              <w:t>861.0</w:t>
            </w:r>
          </w:p>
        </w:tc>
        <w:tc>
          <w:tcPr>
            <w:tcW w:w="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420.8</w:t>
            </w:r>
          </w:p>
        </w:tc>
        <w:tc>
          <w:tcPr>
            <w:tcW w:w="40" w:type="dxa"/>
            <w:vAlign w:val="bottom"/>
            <w:gridSpan w:val="2"/>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330.5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1,612.3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2280" w:type="dxa"/>
            <w:vAlign w:val="bottom"/>
          </w:tcPr>
          <w:p>
            <w:pPr>
              <w:spacing w:after="0" w:line="174" w:lineRule="exact"/>
              <w:rPr>
                <w:sz w:val="20"/>
                <w:szCs w:val="20"/>
                <w:color w:val="auto"/>
              </w:rPr>
            </w:pPr>
            <w:r>
              <w:rPr>
                <w:rFonts w:ascii="Arial" w:cs="Arial" w:eastAsia="Arial" w:hAnsi="Arial"/>
                <w:sz w:val="16"/>
                <w:szCs w:val="16"/>
                <w:color w:val="auto"/>
              </w:rPr>
              <w:t>September 30, 2021</w:t>
            </w:r>
          </w:p>
        </w:tc>
        <w:tc>
          <w:tcPr>
            <w:tcW w:w="100" w:type="dxa"/>
            <w:vAlign w:val="bottom"/>
            <w:vMerge w:val="continue"/>
          </w:tcPr>
          <w:p>
            <w:pPr>
              <w:spacing w:after="0"/>
              <w:rPr>
                <w:sz w:val="18"/>
                <w:szCs w:val="18"/>
                <w:color w:val="auto"/>
              </w:rPr>
            </w:pPr>
          </w:p>
        </w:tc>
        <w:tc>
          <w:tcPr>
            <w:tcW w:w="140" w:type="dxa"/>
            <w:vAlign w:val="bottom"/>
            <w:tcBorders>
              <w:bottom w:val="single" w:sz="8" w:color="auto"/>
            </w:tcBorders>
            <w:gridSpan w:val="2"/>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0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94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20" w:type="dxa"/>
            <w:vAlign w:val="bottom"/>
            <w:tcBorders>
              <w:bottom w:val="single" w:sz="8" w:color="auto"/>
            </w:tcBorders>
            <w:gridSpan w:val="10"/>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9/30/2021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gridSpan w:val="10"/>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9/30/2021</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Fixed 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5"/>
          </w:tcPr>
          <w:p>
            <w:pPr>
              <w:jc w:val="right"/>
              <w:ind w:right="2"/>
              <w:spacing w:after="0" w:line="142" w:lineRule="exact"/>
              <w:rPr>
                <w:sz w:val="20"/>
                <w:szCs w:val="20"/>
                <w:color w:val="auto"/>
              </w:rPr>
            </w:pPr>
            <w:r>
              <w:rPr>
                <w:rFonts w:ascii="Arial" w:cs="Arial" w:eastAsia="Arial" w:hAnsi="Arial"/>
                <w:sz w:val="14"/>
                <w:szCs w:val="14"/>
                <w:b w:val="1"/>
                <w:bCs w:val="1"/>
                <w:color w:val="auto"/>
              </w:rPr>
              <w:t>Fixed 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rPr>
              <w:t>(in billions)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including</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(1)</w:t>
            </w:r>
          </w:p>
        </w:tc>
        <w:tc>
          <w:tcPr>
            <w:tcW w:w="120" w:type="dxa"/>
            <w:vAlign w:val="bottom"/>
          </w:tcPr>
          <w:p>
            <w:pPr>
              <w:spacing w:after="0"/>
              <w:rPr>
                <w:sz w:val="11"/>
                <w:szCs w:val="11"/>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1"/>
                <w:szCs w:val="11"/>
                <w:color w:val="auto"/>
              </w:rPr>
            </w:pPr>
          </w:p>
        </w:tc>
        <w:tc>
          <w:tcPr>
            <w:tcW w:w="900" w:type="dxa"/>
            <w:vAlign w:val="bottom"/>
            <w:gridSpan w:val="2"/>
          </w:tcPr>
          <w:p>
            <w:pPr>
              <w:jc w:val="right"/>
              <w:ind w:right="82"/>
              <w:spacing w:after="0" w:line="135" w:lineRule="exact"/>
              <w:rPr>
                <w:sz w:val="20"/>
                <w:szCs w:val="20"/>
                <w:color w:val="auto"/>
              </w:rPr>
            </w:pPr>
            <w:r>
              <w:rPr>
                <w:rFonts w:ascii="Arial" w:cs="Arial" w:eastAsia="Arial" w:hAnsi="Arial"/>
                <w:sz w:val="14"/>
                <w:szCs w:val="14"/>
                <w:b w:val="1"/>
                <w:bCs w:val="1"/>
                <w:color w:val="auto"/>
              </w:rPr>
              <w:t>including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5"/>
            <w:vMerge w:val="restart"/>
          </w:tcPr>
          <w:p>
            <w:pPr>
              <w:jc w:val="right"/>
              <w:ind w:right="2"/>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money market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money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420" w:type="dxa"/>
            <w:vAlign w:val="bottom"/>
            <w:gridSpan w:val="2"/>
          </w:tcPr>
          <w:p>
            <w:pPr>
              <w:spacing w:after="0" w:line="158" w:lineRule="exact"/>
              <w:rPr>
                <w:sz w:val="20"/>
                <w:szCs w:val="20"/>
                <w:color w:val="auto"/>
              </w:rPr>
            </w:pPr>
            <w:r>
              <w:rPr>
                <w:rFonts w:ascii="Arial" w:cs="Arial" w:eastAsia="Arial" w:hAnsi="Arial"/>
                <w:sz w:val="16"/>
                <w:szCs w:val="16"/>
                <w:color w:val="auto"/>
              </w:rPr>
              <w:t>Assets under management at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985.1</w:t>
            </w:r>
          </w:p>
        </w:tc>
        <w:tc>
          <w:tcPr>
            <w:tcW w:w="12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178.7</w:t>
            </w:r>
          </w:p>
        </w:tc>
        <w:tc>
          <w:tcPr>
            <w:tcW w:w="12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459.3 $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1,623.1</w:t>
            </w:r>
          </w:p>
        </w:tc>
        <w:tc>
          <w:tcPr>
            <w:tcW w:w="6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895.8 $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168.7</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406.0</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1,470.5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420" w:type="dxa"/>
            <w:vAlign w:val="bottom"/>
            <w:gridSpan w:val="2"/>
          </w:tcPr>
          <w:p>
            <w:pPr>
              <w:spacing w:after="0"/>
              <w:rPr>
                <w:sz w:val="20"/>
                <w:szCs w:val="20"/>
                <w:color w:val="auto"/>
              </w:rPr>
            </w:pPr>
            <w:r>
              <w:rPr>
                <w:rFonts w:ascii="Arial" w:cs="Arial" w:eastAsia="Arial" w:hAnsi="Arial"/>
                <w:sz w:val="16"/>
                <w:szCs w:val="16"/>
                <w:color w:val="auto"/>
              </w:rPr>
              <w:t>Net cash flows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20" w:type="dxa"/>
            <w:vAlign w:val="bottom"/>
            <w:gridSpan w:val="2"/>
          </w:tcPr>
          <w:p>
            <w:pPr>
              <w:spacing w:after="0"/>
              <w:rPr>
                <w:sz w:val="20"/>
                <w:szCs w:val="20"/>
                <w:color w:val="auto"/>
              </w:rPr>
            </w:pPr>
            <w:r>
              <w:rPr>
                <w:rFonts w:ascii="Arial" w:cs="Arial" w:eastAsia="Arial" w:hAnsi="Arial"/>
                <w:sz w:val="16"/>
                <w:szCs w:val="16"/>
                <w:color w:val="auto"/>
              </w:rPr>
              <w:t>Net market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2280" w:type="dxa"/>
            <w:vAlign w:val="bottom"/>
          </w:tcPr>
          <w:p>
            <w:pPr>
              <w:ind w:left="20"/>
              <w:spacing w:after="0" w:line="159" w:lineRule="exact"/>
              <w:rPr>
                <w:sz w:val="20"/>
                <w:szCs w:val="20"/>
                <w:color w:val="auto"/>
              </w:rPr>
            </w:pPr>
            <w:r>
              <w:rPr>
                <w:rFonts w:ascii="Arial" w:cs="Arial" w:eastAsia="Arial" w:hAnsi="Arial"/>
                <w:sz w:val="16"/>
                <w:szCs w:val="16"/>
                <w:color w:val="auto"/>
              </w:rPr>
              <w:t>(depreciation)/appreciation and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2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6"/>
                <w:szCs w:val="16"/>
                <w:color w:val="auto"/>
              </w:rPr>
              <w:t>(losses)/gains</w:t>
            </w:r>
            <w:r>
              <w:rPr>
                <w:rFonts w:ascii="Arial" w:cs="Arial" w:eastAsia="Arial" w:hAnsi="Arial"/>
                <w:sz w:val="21"/>
                <w:szCs w:val="2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6"/>
                <w:szCs w:val="16"/>
                <w:color w:val="auto"/>
                <w:w w:val="91"/>
              </w:rPr>
              <w:t>(.1)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Change during the period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420" w:type="dxa"/>
            <w:vAlign w:val="bottom"/>
            <w:gridSpan w:val="2"/>
          </w:tcPr>
          <w:p>
            <w:pPr>
              <w:spacing w:after="0" w:line="158" w:lineRule="exact"/>
              <w:rPr>
                <w:sz w:val="20"/>
                <w:szCs w:val="20"/>
                <w:color w:val="auto"/>
              </w:rPr>
            </w:pPr>
            <w:r>
              <w:rPr>
                <w:rFonts w:ascii="Arial" w:cs="Arial" w:eastAsia="Arial" w:hAnsi="Arial"/>
                <w:sz w:val="16"/>
                <w:szCs w:val="16"/>
                <w:color w:val="auto"/>
              </w:rPr>
              <w:t>Assets under management at</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974.7</w:t>
            </w:r>
          </w:p>
        </w:tc>
        <w:tc>
          <w:tcPr>
            <w:tcW w:w="1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180.7</w:t>
            </w:r>
          </w:p>
        </w:tc>
        <w:tc>
          <w:tcPr>
            <w:tcW w:w="1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456.9 $</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1,612.3</w:t>
            </w:r>
          </w:p>
        </w:tc>
        <w:tc>
          <w:tcPr>
            <w:tcW w:w="60" w:type="dxa"/>
            <w:vAlign w:val="bottom"/>
          </w:tcPr>
          <w:p>
            <w:pPr>
              <w:spacing w:after="0"/>
              <w:rPr>
                <w:sz w:val="13"/>
                <w:szCs w:val="13"/>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color w:val="auto"/>
              </w:rPr>
              <w:t>974.7 $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180.7</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456.9</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1,612.3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2280" w:type="dxa"/>
            <w:vAlign w:val="bottom"/>
          </w:tcPr>
          <w:p>
            <w:pPr>
              <w:ind w:left="20"/>
              <w:spacing w:after="0" w:line="174" w:lineRule="exact"/>
              <w:rPr>
                <w:sz w:val="20"/>
                <w:szCs w:val="20"/>
                <w:color w:val="auto"/>
              </w:rPr>
            </w:pPr>
            <w:r>
              <w:rPr>
                <w:rFonts w:ascii="Arial" w:cs="Arial" w:eastAsia="Arial" w:hAnsi="Arial"/>
                <w:sz w:val="16"/>
                <w:szCs w:val="16"/>
                <w:color w:val="auto"/>
              </w:rPr>
              <w:t>September 30, 2021</w:t>
            </w:r>
          </w:p>
        </w:tc>
        <w:tc>
          <w:tcPr>
            <w:tcW w:w="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-1610995</wp:posOffset>
            </wp:positionV>
            <wp:extent cx="6995160" cy="1594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594485"/>
                    </a:xfrm>
                    <a:prstGeom prst="rect">
                      <a:avLst/>
                    </a:prstGeom>
                    <a:noFill/>
                  </pic:spPr>
                </pic:pic>
              </a:graphicData>
            </a:graphic>
          </wp:anchor>
        </w:drawing>
      </w:r>
    </w:p>
    <w:p>
      <w:pPr>
        <w:spacing w:after="0" w:line="91" w:lineRule="exact"/>
        <w:rPr>
          <w:sz w:val="20"/>
          <w:szCs w:val="20"/>
          <w:color w:val="auto"/>
        </w:rPr>
      </w:pPr>
    </w:p>
    <w:p>
      <w:pPr>
        <w:ind w:left="240" w:hanging="132"/>
        <w:spacing w:after="0"/>
        <w:tabs>
          <w:tab w:leader="none" w:pos="2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underlying assets under management of the multi-asset portfolios have been aggregated and presented in this category and not reported in the equity and fixed income columns.</w:t>
      </w:r>
    </w:p>
    <w:p>
      <w:pPr>
        <w:spacing w:after="0" w:line="23" w:lineRule="exact"/>
        <w:rPr>
          <w:rFonts w:ascii="Arial" w:cs="Arial" w:eastAsia="Arial" w:hAnsi="Arial"/>
          <w:sz w:val="16"/>
          <w:szCs w:val="16"/>
          <w:i w:val="1"/>
          <w:iCs w:val="1"/>
          <w:color w:val="auto"/>
          <w:vertAlign w:val="superscript"/>
        </w:rPr>
      </w:pPr>
    </w:p>
    <w:p>
      <w:pPr>
        <w:ind w:left="260" w:hanging="152"/>
        <w:spacing w:after="0" w:line="186" w:lineRule="auto"/>
        <w:tabs>
          <w:tab w:leader="none" w:pos="260"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distributions reinvested and not reinvested.</w:t>
      </w:r>
    </w:p>
    <w:p>
      <w:pPr>
        <w:spacing w:after="0" w:line="245" w:lineRule="exact"/>
        <w:rPr>
          <w:sz w:val="20"/>
          <w:szCs w:val="20"/>
          <w:color w:val="auto"/>
        </w:rPr>
      </w:pPr>
    </w:p>
    <w:p>
      <w:pPr>
        <w:ind w:left="100" w:right="320"/>
        <w:spacing w:after="0" w:line="261" w:lineRule="auto"/>
        <w:rPr>
          <w:sz w:val="20"/>
          <w:szCs w:val="20"/>
          <w:color w:val="auto"/>
        </w:rPr>
      </w:pPr>
      <w:r>
        <w:rPr>
          <w:rFonts w:ascii="Arial" w:cs="Arial" w:eastAsia="Arial" w:hAnsi="Arial"/>
          <w:sz w:val="18"/>
          <w:szCs w:val="18"/>
          <w:color w:val="auto"/>
        </w:rPr>
        <w:t>Investment advisory clients outside the United States account for 8.8% of our assets under management at September 30, 2021, 9.0% at June 30, 2021, and 9.3% at December 31,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86" w:right="339" w:bottom="1440" w:gutter="0" w:footer="0" w:header="0"/>
        </w:sectPr>
      </w:pPr>
    </w:p>
    <w:bookmarkStart w:id="21" w:name="page22"/>
    <w:bookmarkEnd w:id="21"/>
    <w:p>
      <w:pPr>
        <w:ind w:right="160"/>
        <w:spacing w:after="0" w:line="26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Net cash inflows (outflows)</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r>
      <w:tr>
        <w:trPr>
          <w:trHeight w:val="183"/>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tcBorders>
              <w:right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Assets under management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4"/>
                <w:szCs w:val="14"/>
                <w:b w:val="1"/>
                <w:bCs w:val="1"/>
                <w:color w:val="auto"/>
              </w:rPr>
              <w:t>12/31/2020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b w:val="1"/>
                <w:bCs w:val="1"/>
                <w:color w:val="auto"/>
              </w:rPr>
              <w:t>9/30/2020</w:t>
            </w:r>
          </w:p>
        </w:tc>
      </w:tr>
      <w:tr>
        <w:trPr>
          <w:trHeight w:val="207"/>
        </w:trPr>
        <w:tc>
          <w:tcPr>
            <w:tcW w:w="3240" w:type="dxa"/>
            <w:vAlign w:val="bottom"/>
          </w:tcPr>
          <w:p>
            <w:pPr>
              <w:ind w:left="20"/>
              <w:spacing w:after="0"/>
              <w:rPr>
                <w:sz w:val="20"/>
                <w:szCs w:val="20"/>
                <w:color w:val="auto"/>
              </w:rPr>
            </w:pPr>
            <w:r>
              <w:rPr>
                <w:rFonts w:ascii="Arial" w:cs="Arial" w:eastAsia="Arial" w:hAnsi="Arial"/>
                <w:sz w:val="15"/>
                <w:szCs w:val="15"/>
                <w:color w:val="auto"/>
              </w:rPr>
              <w:t>U.S. mutual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176.1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Collective investment trusts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r>
      <w:tr>
        <w:trPr>
          <w:trHeight w:val="213"/>
        </w:trPr>
        <w:tc>
          <w:tcPr>
            <w:tcW w:w="3240" w:type="dxa"/>
            <w:vAlign w:val="bottom"/>
          </w:tcPr>
          <w:p>
            <w:pPr>
              <w:ind w:left="20"/>
              <w:spacing w:after="0"/>
              <w:rPr>
                <w:sz w:val="20"/>
                <w:szCs w:val="20"/>
                <w:color w:val="auto"/>
              </w:rPr>
            </w:pPr>
            <w:r>
              <w:rPr>
                <w:rFonts w:ascii="Arial" w:cs="Arial" w:eastAsia="Arial" w:hAnsi="Arial"/>
                <w:sz w:val="15"/>
                <w:szCs w:val="15"/>
                <w:color w:val="auto"/>
              </w:rPr>
              <w:t>Subadvised and separately managed accounts</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w:t>
            </w:r>
          </w:p>
        </w:tc>
      </w:tr>
      <w:tr>
        <w:trPr>
          <w:trHeight w:val="234"/>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332.2</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September 30, 2021, our assets under administration were $260 billion, of which nearly $173 billion are assets we manage.</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 implement. We record the revenue earned on these services in administrative fees. The assets under advisement in these portfolios, predominantly in the United States, were $8 billion at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5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September 30, 2021. Past performance is no guarantee of future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78%</w:t>
            </w:r>
          </w:p>
        </w:tc>
      </w:tr>
      <w:tr>
        <w:trPr>
          <w:trHeight w:val="111"/>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85%</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2"/>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82%</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bl>
    <w:p>
      <w:pPr>
        <w:spacing w:after="0" w:line="113"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As of September 30, 2021, 73 of 123 (59.3%)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86%</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September 30, 2021 with an overall rating of 4 or 5 stars.</w:t>
      </w:r>
    </w:p>
    <w:p>
      <w:pPr>
        <w:spacing w:after="0" w:line="222" w:lineRule="exact"/>
        <w:rPr>
          <w:sz w:val="20"/>
          <w:szCs w:val="20"/>
          <w:color w:val="auto"/>
        </w:rPr>
      </w:pPr>
    </w:p>
    <w:p>
      <w:pPr>
        <w:ind w:right="60" w:firstLine="8"/>
        <w:spacing w:after="0" w:line="342"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2021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60" w:firstLine="8"/>
        <w:spacing w:after="0" w:line="221" w:lineRule="auto"/>
        <w:tabs>
          <w:tab w:leader="none" w:pos="154" w:val="left"/>
        </w:tabs>
        <w:numPr>
          <w:ilvl w:val="0"/>
          <w:numId w:val="1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$518B for 1 year, $518B for 3 years, $518B for 5 years, and $508B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4" w:lineRule="auto"/>
        <w:tabs>
          <w:tab w:leader="none" w:pos="154" w:val="left"/>
        </w:tabs>
        <w:numPr>
          <w:ilvl w:val="0"/>
          <w:numId w:val="1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$504B for 1 year, $498B for 3 years, $490B for 5 years, and $422B for 10 years.</w:t>
      </w:r>
    </w:p>
    <w:p>
      <w:pPr>
        <w:spacing w:after="0" w:line="1" w:lineRule="exact"/>
        <w:rPr>
          <w:rFonts w:ascii="Arial" w:cs="Arial" w:eastAsia="Arial" w:hAnsi="Arial"/>
          <w:sz w:val="17"/>
          <w:szCs w:val="17"/>
          <w:i w:val="1"/>
          <w:iCs w:val="1"/>
          <w:color w:val="auto"/>
          <w:vertAlign w:val="superscript"/>
        </w:rPr>
      </w:pPr>
    </w:p>
    <w:p>
      <w:pPr>
        <w:ind w:right="280"/>
        <w:spacing w:after="0" w:line="206" w:lineRule="auto"/>
        <w:rPr>
          <w:rFonts w:ascii="Arial" w:cs="Arial" w:eastAsia="Arial" w:hAnsi="Arial"/>
          <w:sz w:val="17"/>
          <w:szCs w:val="17"/>
          <w:i w:val="1"/>
          <w:iCs w:val="1"/>
          <w:color w:val="auto"/>
          <w:vertAlign w:val="superscript"/>
        </w:rPr>
      </w:pPr>
      <w:r>
        <w:rPr>
          <w:rFonts w:ascii="Arial" w:cs="Arial" w:eastAsia="Arial" w:hAnsi="Arial"/>
          <w:sz w:val="18"/>
          <w:szCs w:val="18"/>
          <w:i w:val="1"/>
          <w:iCs w:val="1"/>
          <w:color w:val="auto"/>
          <w:vertAlign w:val="superscript"/>
        </w:rPr>
        <w:t>(4)</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$1,501B for 1 year, $1,498B for 3 years, $1,482B for 5 years, and $1,446B for 10 years.</w:t>
      </w:r>
    </w:p>
    <w:p>
      <w:pPr>
        <w:spacing w:after="0" w:line="1" w:lineRule="exact"/>
        <w:rPr>
          <w:rFonts w:ascii="Arial" w:cs="Arial" w:eastAsia="Arial" w:hAnsi="Arial"/>
          <w:sz w:val="17"/>
          <w:szCs w:val="17"/>
          <w:i w:val="1"/>
          <w:iCs w:val="1"/>
          <w:color w:val="auto"/>
          <w:vertAlign w:val="superscript"/>
        </w:rPr>
      </w:pPr>
    </w:p>
    <w:p>
      <w:pPr>
        <w:ind w:right="100" w:firstLine="8"/>
        <w:spacing w:after="0" w:line="231" w:lineRule="auto"/>
        <w:tabs>
          <w:tab w:leader="none" w:pos="154"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7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nine months ended September 30, 2021 and 2020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if 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Q3 2021 vs. Q3 2020</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2021 vs. YTD 2020</w:t>
            </w:r>
          </w:p>
        </w:tc>
      </w:tr>
      <w:tr>
        <w:trPr>
          <w:trHeight w:val="183"/>
        </w:trPr>
        <w:tc>
          <w:tcPr>
            <w:tcW w:w="20" w:type="dxa"/>
            <w:vAlign w:val="bottom"/>
          </w:tcPr>
          <w:p>
            <w:pPr>
              <w:spacing w:after="0"/>
              <w:rPr>
                <w:sz w:val="15"/>
                <w:szCs w:val="15"/>
                <w:color w:val="auto"/>
              </w:rPr>
            </w:pPr>
          </w:p>
        </w:tc>
        <w:tc>
          <w:tcPr>
            <w:tcW w:w="252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U.S. GAAP basis</w:t>
            </w:r>
          </w:p>
        </w:tc>
        <w:tc>
          <w:tcPr>
            <w:tcW w:w="10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344.1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5,288.4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1,197.5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29.3 %</w:t>
            </w: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27.6 %</w:t>
            </w:r>
          </w:p>
        </w:tc>
      </w:tr>
      <w:tr>
        <w:trPr>
          <w:trHeight w:val="213"/>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378.7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15.2 %</w:t>
            </w: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43.1 %</w:t>
            </w:r>
          </w:p>
        </w:tc>
      </w:tr>
      <w:tr>
        <w:trPr>
          <w:trHeight w:val="216"/>
        </w:trPr>
        <w:tc>
          <w:tcPr>
            <w:tcW w:w="20" w:type="dxa"/>
            <w:vAlign w:val="bottom"/>
          </w:tcPr>
          <w:p>
            <w:pPr>
              <w:spacing w:after="0"/>
              <w:rPr>
                <w:sz w:val="18"/>
                <w:szCs w:val="18"/>
                <w:color w:val="auto"/>
              </w:rPr>
            </w:pPr>
          </w:p>
        </w:tc>
        <w:tc>
          <w:tcPr>
            <w:tcW w:w="252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ind w:left="74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shd w:val="clear" w:color="auto" w:fill="CCEEFF"/>
          </w:tcPr>
          <w:p>
            <w:pPr>
              <w:spacing w:after="0"/>
              <w:rPr>
                <w:sz w:val="15"/>
                <w:szCs w:val="15"/>
                <w:color w:val="auto"/>
              </w:rPr>
            </w:pPr>
          </w:p>
        </w:tc>
        <w:tc>
          <w:tcPr>
            <w:tcW w:w="252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 Rowe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47.4 %</w:t>
            </w:r>
          </w:p>
        </w:tc>
      </w:tr>
      <w:tr>
        <w:trPr>
          <w:trHeight w:val="177"/>
        </w:trPr>
        <w:tc>
          <w:tcPr>
            <w:tcW w:w="20" w:type="dxa"/>
            <w:vAlign w:val="bottom"/>
          </w:tcPr>
          <w:p>
            <w:pPr>
              <w:spacing w:after="0"/>
              <w:rPr>
                <w:sz w:val="15"/>
                <w:szCs w:val="15"/>
                <w:color w:val="auto"/>
              </w:rPr>
            </w:pPr>
          </w:p>
        </w:tc>
        <w:tc>
          <w:tcPr>
            <w:tcW w:w="2520" w:type="dxa"/>
            <w:vAlign w:val="bottom"/>
            <w:gridSpan w:val="4"/>
          </w:tcPr>
          <w:p>
            <w:pPr>
              <w:spacing w:after="0" w:line="178" w:lineRule="exact"/>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49.2 %</w:t>
            </w:r>
          </w:p>
        </w:tc>
      </w:tr>
      <w:tr>
        <w:trPr>
          <w:trHeight w:val="180"/>
        </w:trPr>
        <w:tc>
          <w:tcPr>
            <w:tcW w:w="20" w:type="dxa"/>
            <w:vAlign w:val="bottom"/>
            <w:shd w:val="clear" w:color="auto" w:fill="CCEEFF"/>
          </w:tcPr>
          <w:p>
            <w:pPr>
              <w:spacing w:after="0"/>
              <w:rPr>
                <w:sz w:val="15"/>
                <w:szCs w:val="15"/>
                <w:color w:val="auto"/>
              </w:rPr>
            </w:pPr>
          </w:p>
        </w:tc>
        <w:tc>
          <w:tcPr>
            <w:tcW w:w="252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Weighted average common</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2"/>
        </w:trPr>
        <w:tc>
          <w:tcPr>
            <w:tcW w:w="20" w:type="dxa"/>
            <w:vAlign w:val="bottom"/>
            <w:shd w:val="clear" w:color="auto" w:fill="CCEEFF"/>
          </w:tcPr>
          <w:p>
            <w:pPr>
              <w:spacing w:after="0"/>
              <w:rPr>
                <w:sz w:val="14"/>
                <w:szCs w:val="14"/>
                <w:color w:val="auto"/>
              </w:rPr>
            </w:pPr>
          </w:p>
        </w:tc>
        <w:tc>
          <w:tcPr>
            <w:tcW w:w="252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1"/>
        </w:trPr>
        <w:tc>
          <w:tcPr>
            <w:tcW w:w="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dilution</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96"/>
        </w:trPr>
        <w:tc>
          <w:tcPr>
            <w:tcW w:w="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5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957.2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830.5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126.7</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2,798.2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364.0</w:t>
            </w: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15.0 %</w:t>
            </w: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42.5 %</w:t>
            </w:r>
          </w:p>
        </w:tc>
      </w:tr>
      <w:tr>
        <w:trPr>
          <w:trHeight w:val="216"/>
        </w:trPr>
        <w:tc>
          <w:tcPr>
            <w:tcW w:w="20" w:type="dxa"/>
            <w:vAlign w:val="bottom"/>
          </w:tcPr>
          <w:p>
            <w:pPr>
              <w:spacing w:after="0"/>
              <w:rPr>
                <w:sz w:val="18"/>
                <w:szCs w:val="18"/>
                <w:color w:val="auto"/>
              </w:rPr>
            </w:pPr>
          </w:p>
        </w:tc>
        <w:tc>
          <w:tcPr>
            <w:tcW w:w="252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ind w:left="74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shd w:val="clear" w:color="auto" w:fill="CCEEFF"/>
          </w:tcPr>
          <w:p>
            <w:pPr>
              <w:spacing w:after="0"/>
              <w:rPr>
                <w:sz w:val="15"/>
                <w:szCs w:val="15"/>
                <w:color w:val="auto"/>
              </w:rPr>
            </w:pPr>
          </w:p>
        </w:tc>
        <w:tc>
          <w:tcPr>
            <w:tcW w:w="252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 T. Rowe</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Price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41.5 %</w:t>
            </w:r>
          </w:p>
        </w:tc>
      </w:tr>
      <w:tr>
        <w:trPr>
          <w:trHeight w:val="177"/>
        </w:trPr>
        <w:tc>
          <w:tcPr>
            <w:tcW w:w="20" w:type="dxa"/>
            <w:vAlign w:val="bottom"/>
          </w:tcPr>
          <w:p>
            <w:pPr>
              <w:spacing w:after="0"/>
              <w:rPr>
                <w:sz w:val="15"/>
                <w:szCs w:val="15"/>
                <w:color w:val="auto"/>
              </w:rPr>
            </w:pPr>
          </w:p>
        </w:tc>
        <w:tc>
          <w:tcPr>
            <w:tcW w:w="2520" w:type="dxa"/>
            <w:vAlign w:val="bottom"/>
            <w:gridSpan w:val="4"/>
          </w:tcPr>
          <w:p>
            <w:pPr>
              <w:spacing w:after="0" w:line="178" w:lineRule="exact"/>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28.2 %</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43.3 %</w:t>
            </w:r>
          </w:p>
        </w:tc>
      </w:tr>
      <w:tr>
        <w:trPr>
          <w:trHeight w:val="98"/>
        </w:trPr>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0" w:type="dxa"/>
            <w:vAlign w:val="bottom"/>
            <w:gridSpan w:val="3"/>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176"/>
        </w:trPr>
        <w:tc>
          <w:tcPr>
            <w:tcW w:w="20" w:type="dxa"/>
            <w:vAlign w:val="bottom"/>
          </w:tcPr>
          <w:p>
            <w:pPr>
              <w:spacing w:after="0"/>
              <w:rPr>
                <w:sz w:val="15"/>
                <w:szCs w:val="15"/>
                <w:color w:val="auto"/>
              </w:rPr>
            </w:pPr>
          </w:p>
        </w:tc>
        <w:tc>
          <w:tcPr>
            <w:tcW w:w="360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52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Average assets under</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31.9 %</w:t>
            </w:r>
          </w:p>
        </w:tc>
      </w:tr>
      <w:tr>
        <w:trPr>
          <w:trHeight w:val="216"/>
        </w:trPr>
        <w:tc>
          <w:tcPr>
            <w:tcW w:w="20" w:type="dxa"/>
            <w:vAlign w:val="bottom"/>
          </w:tcPr>
          <w:p>
            <w:pPr>
              <w:spacing w:after="0"/>
              <w:rPr>
                <w:sz w:val="18"/>
                <w:szCs w:val="18"/>
                <w:color w:val="auto"/>
              </w:rPr>
            </w:pPr>
          </w:p>
        </w:tc>
        <w:tc>
          <w:tcPr>
            <w:tcW w:w="2660" w:type="dxa"/>
            <w:vAlign w:val="bottom"/>
            <w:gridSpan w:val="5"/>
          </w:tcPr>
          <w:p>
            <w:pPr>
              <w:spacing w:after="0"/>
              <w:rPr>
                <w:sz w:val="20"/>
                <w:szCs w:val="20"/>
                <w:color w:val="auto"/>
              </w:rPr>
            </w:pPr>
            <w:r>
              <w:rPr>
                <w:rFonts w:ascii="Arial" w:cs="Arial" w:eastAsia="Arial" w:hAnsi="Arial"/>
                <w:sz w:val="16"/>
                <w:szCs w:val="16"/>
                <w:color w:val="auto"/>
              </w:rPr>
              <w:t>Ending assets under management $</w:t>
            </w:r>
          </w:p>
        </w:tc>
        <w:tc>
          <w:tcPr>
            <w:tcW w:w="820" w:type="dxa"/>
            <w:vAlign w:val="bottom"/>
          </w:tcPr>
          <w:p>
            <w:pPr>
              <w:jc w:val="right"/>
              <w:spacing w:after="0"/>
              <w:rPr>
                <w:sz w:val="20"/>
                <w:szCs w:val="20"/>
                <w:color w:val="auto"/>
              </w:rPr>
            </w:pPr>
            <w:r>
              <w:rPr>
                <w:rFonts w:ascii="Arial" w:cs="Arial" w:eastAsia="Arial" w:hAnsi="Arial"/>
                <w:sz w:val="16"/>
                <w:szCs w:val="16"/>
                <w:color w:val="auto"/>
              </w:rPr>
              <w:t>1,612.3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23.0 %</w:t>
            </w:r>
          </w:p>
        </w:tc>
      </w:tr>
    </w:tbl>
    <w:p>
      <w:pPr>
        <w:spacing w:after="0" w:line="72"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(loss) is not meaningful (n/m).</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September 30, 2021</w:t>
      </w:r>
    </w:p>
    <w:p>
      <w:pPr>
        <w:spacing w:after="0" w:line="2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Investment advisory revenues earned in the third quarter of 2021 increased over the comparable 2020 quarter as average assets under our management increased $355.8 billion, or 27.5%, to $1,648.7 billion. In the third quarter of 2021, we voluntarily waived $13.7 million, or less than 1%, of our investment advisory fees in order to continue to maintain a positive yield for investors. At September 30, 2021, combined net assets of the investment portfolios in which we waived fees in the third quarter of 2021 were $23.7 billion. We anticipate that the waivers in the fourth quarter of 2021 will be at a similar level to the third quarter of 2021 and expect to continue to waive fees into 2022.</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average annualized effective fee rate earned during the third quarter of 2021 was 43.6 basis points, compared with 45.2 basis points earned during both the third quarter of 2020 and the second quarter of 2021. In comparison to the third quarter of 2020, our annualized effective fee rate declined primarily due to the July 2021 fee reductions in our target-date products, client transfers within the complex to lower fee vehicles or share classes over the last twelve months and the money market fee waivers. These fee pressures were partially offset as higher market valuations led to an asset class shift towards equity strategies.</w:t>
      </w:r>
    </w:p>
    <w:p>
      <w:pPr>
        <w:spacing w:after="0" w:line="21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$957.9 million in the third quarter of 2021 compared with $ 866.9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increase in our operating expenses was primarily due to higher compensation costs and higher distribution and servicing costs as average assets under management increased over prior year. Also contributing to the increase in operating expenses during the quarter were costs incurred as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4" w:name="page25"/>
    <w:bookmarkEnd w:id="24"/>
    <w:p>
      <w:pPr>
        <w:ind w:right="180"/>
        <w:spacing w:after="0" w:line="254" w:lineRule="auto"/>
        <w:rPr>
          <w:sz w:val="20"/>
          <w:szCs w:val="20"/>
          <w:color w:val="auto"/>
        </w:rPr>
      </w:pPr>
      <w:r>
        <w:rPr>
          <w:rFonts w:ascii="Arial" w:cs="Arial" w:eastAsia="Arial" w:hAnsi="Arial"/>
          <w:sz w:val="18"/>
          <w:szCs w:val="18"/>
          <w:color w:val="auto"/>
        </w:rPr>
        <w:t>result of our previously announced expanded relationship with FIS, a global technology leader, in which FIS assumed responsibility for managing retirement technology development and core operations for our full-service recordkeeping offering on August 1, 2021. During the quarter, the firm incurred recordkeeping costs, which were partially offset by a reduction in the compensation expenses related to the approximately 800 associates who transitioned to FIS, as well as transition costs associated with the expanded relationship.</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These increases were partially offset by lower compensation expenses related to the supplemental savings plan. For the third quarter of 2021, the decrease in the supplemental savings plan expense was entirely offset by a corresponding decrease in the non-operating gains earned on the investments used to economically hedge the related liability.</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firm employed 7,124 associates at September 30, 2021, a decrease of 7.2% from the end of 2020 and 6.7% from September 30, 2020. Excluding the approximate 800 associates that became employees of FIS on August 1, 2021, headcount would have increased approximately 3% from both the end of 2020 and from September 30, 2020.</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non-GAAP basis, our operating expenses in the third quarter of 2021 increased 15.3% to $957.2 million compared to the third quarter of 2020. Our non-GAAP operating expenses exclude the impact of our supplemental savings plan and consolidated sponsored investment products. See our non-GAAP reconciliations later in this Management’s Discussion and Analysis section.</w:t>
      </w:r>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third quarter of 2021 was 51.0%, compared to 45.7% earned in the 2020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operating margin for the third quarter of 2021 compared to the 2020 period was primarily driven by higher investment advisory fee revenue and lower expense related to our supplemental savings plan, partially offset by higher product and recordkeeping expenses as well as distribution and servicing costs.</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$3.31 for the third quarter of 2021 as compared to $2.73 for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21.2% increase was primarily driven by higher operating income, as strong markets since the end of the third quarter of 2020 have increased average assets under management resulting in higher investment advisory fee revenue, and a lower effective tax rate. This increase was partially offset by net investment losses recognized in the third quarter of 2021 as compared to significant net investment gains in the third quarter of 2020, as the sharp market returns in 2020 quarterly outpaced the market performance in the third quarter of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diluted earnings per share was $3.27 for the third quarter of 2021 as compared to $2.55 for the third quarter of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Similar to our GAAP diluted earnings, the increase is largely attributable to higher operating income compared to 2021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September 30, 2021</w:t>
      </w:r>
    </w:p>
    <w:p>
      <w:pPr>
        <w:spacing w:after="0" w:line="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the nine months ended September 30, 2021 increased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2020 period as average assets under our management increased $382.4 billion, or 31.9%, to $1,581.3 billion. We waived $43.0 million, or less than 1%, of total investment advisory fees from certain of our money market mutual funds, trusts and other investment portfolios during the nine months ended September 30, 2021.</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average annualized effective fee rate earned on our assets under management during the nine months ended September 30, 2021 was 44.7 basis points compared with 45.6 basis points earned during the same period of 2020. Our annualized effective fee rate declined primarily due to the July 2021 fee reductions in our target-date products, client transfers within the complex to lower fee vehicles or share classes over the last twelve months and the money market fee waivers. These fee pressures were partially offset as higher market valuations led to an asset class shift towards equity strategies.</w:t>
      </w:r>
    </w:p>
    <w:p>
      <w:pPr>
        <w:spacing w:after="0" w:line="2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$2,862.7 million in the nine months ended September 30, 2021 compared with $2,484.0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2020 period. More than half of the increase in operating expenses was due to higher compensation expenses, including higher interim bonus accrual, increased salaries and benefits, and a $14.2 million increase in operating expenses related to the supplemental savings plan due to higher market returns in the nine months ended September 30, 2021 as compared to the nine months ended September 30, 2020. For the nine months ended September 30, 2021, the increase in the supplemental savings plan expense was entirely offset by a corresponding increase in the non-operating gains earned on the investments used to economically hedge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320"/>
        <w:spacing w:after="0" w:line="261" w:lineRule="auto"/>
        <w:rPr>
          <w:sz w:val="20"/>
          <w:szCs w:val="20"/>
          <w:color w:val="auto"/>
        </w:rPr>
      </w:pPr>
      <w:r>
        <w:rPr>
          <w:rFonts w:ascii="Arial" w:cs="Arial" w:eastAsia="Arial" w:hAnsi="Arial"/>
          <w:sz w:val="18"/>
          <w:szCs w:val="18"/>
          <w:color w:val="auto"/>
        </w:rPr>
        <w:t>related liability. Also contributing to the increase in operating expenses were higher distribution and servicing costs due to higher average assets under management and higher product and recordkeeping costs due to the expanded FIS arrangement.</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On a non-GAAP basis, our operating expenses for the nine months ended September 30, 2021 increased 15.0% to $2,798.2 million compared to the 2020 period. Our non-GAAP operating expenses exclude the impact of our supplemental savings plan and consolidated sponsored investment products. See our non-GAAP reconciliations later in this Management’s Discussion and Analysis section.</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2021 and beyond, we expect to advance our strategic priorities to maintain our position as a global and diversified asset manager, a global partner for retirement investors and a provider of integrated investment solutions; to embed environmental, social and governance and sustainability principles across the firm; to maintain effective processes and controls while becoming a more adaptive and agile firm; and to become a destination of choice for top talent with a diverse workforce and inclusive culture. We narrowed our 2021 non-GAAP operating expense growth guidance from a range of 12% - 15% to a range of 13% - 15% to reflect results year-to-date and expectations for the fourth quarter of 2021. This expense excludes any acquisition costs expected to be incurred in relation to the announced agreement to acquire OHA. We can elect to adjust our expense growth in the future should unforeseen circumstances arise, including significant market movements. As discussed in July 2021, the impact of our expanded partnership with FIS is reflected in the expense growth guidance above.</w:t>
      </w:r>
    </w:p>
    <w:p>
      <w:pPr>
        <w:spacing w:after="0" w:line="21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nine months ended September 30, 2021 was 49.9%, compared to 44.5% earned in the 2020</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increase in our operating margin for the nine months ended September 30, 2021 compared to the 2020 period was primarily driven by higher net revenues, partially offset by higher compensation costs and product and recordkeeping costs as well as distribution and servicing costs.</w:t>
      </w:r>
    </w:p>
    <w:p>
      <w:pPr>
        <w:spacing w:after="0" w:line="20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$9.94 for the nine months ended September 30, 2021 as compared to $6.66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2020. The 49.2% increase was primarily driven by higher net income, lower weighted average outstanding shares, and a lower effective tax rate.</w:t>
      </w:r>
    </w:p>
    <w:p>
      <w:pPr>
        <w:spacing w:after="0" w:line="22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On a non-GAAP basis, diluted earnings per share was $9.59 for the nine months ended September 30, 2021 as compared to $6.69 for the 2020 period. The increase in adjusted diluted earnings per share was primarily due to higher operating income and lower weighted average outstanding shares. See our non-GAAP reconciliations later in this Management’s Discussion and Analysis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Q3 2021 vs. Q3 2020</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2021 vs. YTD 2020</w:t>
            </w: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1,125.5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3,273.2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2,638.8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634.4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24.0 %</w:t>
            </w:r>
          </w:p>
        </w:tc>
      </w:tr>
      <w:tr>
        <w:trPr>
          <w:trHeight w:val="180"/>
        </w:trPr>
        <w:tc>
          <w:tcPr>
            <w:tcW w:w="250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Subadvised funds, separate</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accounts, collective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trusts, and other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8"/>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687.9</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2,015.2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38.8 %</w:t>
            </w:r>
          </w:p>
        </w:tc>
      </w:tr>
      <w:tr>
        <w:trPr>
          <w:trHeight w:val="209"/>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1,813.4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23.4 %</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5,288.4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29.3 %</w:t>
            </w:r>
          </w:p>
        </w:tc>
      </w:tr>
      <w:tr>
        <w:trPr>
          <w:trHeight w:val="145"/>
        </w:trPr>
        <w:tc>
          <w:tcPr>
            <w:tcW w:w="25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Administrative, distribution,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servicing fees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09"/>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10.2 %</w:t>
            </w:r>
          </w:p>
        </w:tc>
      </w:tr>
      <w:tr>
        <w:trPr>
          <w:trHeight w:val="238"/>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1,954.1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5,710.2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r>
      <w:tr>
        <w:trPr>
          <w:trHeight w:val="20"/>
        </w:trPr>
        <w:tc>
          <w:tcPr>
            <w:tcW w:w="34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63"/>
        </w:trPr>
        <w:tc>
          <w:tcPr>
            <w:tcW w:w="2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16"/>
        </w:trPr>
        <w:tc>
          <w:tcPr>
            <w:tcW w:w="358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Average assets under management </w:t>
            </w:r>
            <w:r>
              <w:rPr>
                <w:rFonts w:ascii="Arial" w:cs="Arial" w:eastAsia="Arial" w:hAnsi="Arial"/>
                <w:sz w:val="16"/>
                <w:szCs w:val="16"/>
                <w:color w:val="auto"/>
              </w:rPr>
              <w:t>(in billions)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881.0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708.8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848.1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664.0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27.7 %</w:t>
            </w:r>
          </w:p>
        </w:tc>
      </w:tr>
      <w:tr>
        <w:trPr>
          <w:trHeight w:val="180"/>
        </w:trPr>
        <w:tc>
          <w:tcPr>
            <w:tcW w:w="250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Subadvised funds, separate</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accounts, collective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trusts, and other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8"/>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767.7</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733.2</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37.1 %</w:t>
            </w:r>
          </w:p>
        </w:tc>
      </w:tr>
      <w:tr>
        <w:trPr>
          <w:trHeight w:val="250"/>
        </w:trPr>
        <w:tc>
          <w:tcPr>
            <w:tcW w:w="25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1,648.7</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1,581.3</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Investment advisory revenues earned in the third quarter of 2021 from our U.S. mutual funds were $1,125.5 million, an increase of 19.8% from the comparable 2020 quarter. Average assets under management in these funds for the third quarter of 2021 increased 24.3% from the 2020 quarter to $ 881 billion. The annualized effective fee rate of 50.7 basis points for the third quarter of 2021 decreased from 52.7 basis points in the third quarter of 2020. In comparison to the third quarter of 2020, our annualized effective fee rate for U.S. mutual funds decreased primarily due to the July 2021 fee reductions in our target date products and increased money market fee waivers.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nine months ended September 30, 2021, investment advisory revenues earned from the firm's U.S. mutual funds were $3,273.2 million, an increase of 24.0% from the comparable 2020 period. Average assets under management in these funds for the nine months ended September 30, 2021 increased 27.7% from the 2020 period to $848.0 billion. The annualized effective fee rate of 51.6 basis points for the nine months ended September 30, 2021 decreased from 53.1 basis points for the nine months ended September 30, 2020. Our annualized effective fee rate for our U.S. mutual funds decreased primarily due to the July 2021 fee reductions in our target date products and increased money market fee waivers. In addition, strong market returns contributed to a relative decrease in the percentage fee earned as the asset levels of certain tiered-fee funds crossed a new tier.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Investment advisory revenues earned in the third quarter of 2021 from these other portfolios were $687.9 million, an increase of 29.8% from the comparable 2020 quarter. Average assets under management for these products increased 31.4% from the 2020 quarter to $767.7 billion. The annualized effective fee rate of 35.5 basis points for the third quarter of 2021 decreased from 36.1 basis points in the third quarter of 2020. In comparison to the third quarter of 2020, our annualized effective fee rate for our other portfolios was primarily due to the July 2021 fee reductions in our target date products.</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nine months ended September 30, 2021, investment advisory revenues earned from subadvised and separate accounts as well as collective investment trusts and other investment products were $2,015.2 million, an increase of 38.8% from the 2020 period. Average assets under management for these products increased 37.1% from the 2020 period to $733.3 billion. The annualized effective fee rate of 36.7 basis points for the nine months ended September 30, 2021 increased from 36.3 basis points for the nine months ended September 30, 2020. Our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7" w:name="page28"/>
    <w:bookmarkEnd w:id="27"/>
    <w:p>
      <w:pPr>
        <w:ind w:right="220"/>
        <w:spacing w:after="0" w:line="261" w:lineRule="auto"/>
        <w:rPr>
          <w:sz w:val="20"/>
          <w:szCs w:val="20"/>
          <w:color w:val="auto"/>
        </w:rPr>
      </w:pPr>
      <w:r>
        <w:rPr>
          <w:rFonts w:ascii="Arial" w:cs="Arial" w:eastAsia="Arial" w:hAnsi="Arial"/>
          <w:sz w:val="18"/>
          <w:szCs w:val="18"/>
          <w:color w:val="auto"/>
        </w:rPr>
        <w:t>annualized effective fee rate for our other portfolios increased primarily due to the mix shift towards equities and flows into our international products offset slightly by the July 2021 fee reductions in our target date products.</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third quarter of 2021 were $140.7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$14.2 million, or 11.2%, from the comparable 2020 quarter. For the nine months ended September 30, 2021, these fees were $421.8 million, an increase of $38.9 million, or 10.2%, from the 2020 period. The increase was primarily due to higher transfer agent servicing activities provided to the U.S. mutual funds, higher model delivery revenue, as well as higher 12b-1 revenue earned on the Advisor and R share classes of the U.S. mutual funds as a result of increased assets under management in these share classes. The increase in 12b-1 revenue is offset entirely by an increase in the costs paid to third-party intermediaries that source these assets and are reported in distribution and servicing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 Rowe Price investment products. The corresponding expenses recognized by these products, and consolidated in our financial statements, were also eliminated from operating expenses. For the third quarter, we eliminated net revenue of $1.6 million in 2021 and $2.7 million in 2020. For the nine months ended September 30, we eliminated net revenue of $4.0 million in 2021 and $7.3 million in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Q3 2021 vs. Q3 2020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YTD 2021 vs. YTD 2020</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5"/>
                <w:szCs w:val="15"/>
                <w:color w:val="auto"/>
              </w:rPr>
            </w:pP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9/30/2021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Borders>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b w:val="1"/>
                <w:bCs w:val="1"/>
                <w:color w:val="auto"/>
                <w:w w:val="99"/>
              </w:rPr>
              <w:t>9/30/2021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9"/>
        </w:trPr>
        <w:tc>
          <w:tcPr>
            <w:tcW w:w="312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5"/>
                <w:szCs w:val="15"/>
                <w:color w:val="auto"/>
              </w:rPr>
              <w:t>Compensation and related costs, excluding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564.9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517.6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1,692.3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1,496.6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195.7</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savings plan</w:t>
            </w: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line="216" w:lineRule="exact"/>
              <w:rPr>
                <w:sz w:val="20"/>
                <w:szCs w:val="20"/>
                <w:color w:val="auto"/>
              </w:rPr>
            </w:pPr>
            <w:r>
              <w:rPr>
                <w:rFonts w:ascii="Arial" w:cs="Arial" w:eastAsia="Arial" w:hAnsi="Arial"/>
                <w:sz w:val="15"/>
                <w:szCs w:val="15"/>
                <w:color w:val="auto"/>
              </w:rPr>
              <w:t>Supplemental savings plan</w:t>
            </w:r>
            <w:r>
              <w:rPr>
                <w:rFonts w:ascii="Arial" w:cs="Arial" w:eastAsia="Arial" w:hAnsi="Arial"/>
                <w:sz w:val="19"/>
                <w:szCs w:val="19"/>
                <w:color w:val="auto"/>
                <w:vertAlign w:val="superscript"/>
              </w:rPr>
              <w:t>(1)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080" w:type="dxa"/>
            <w:vAlign w:val="bottom"/>
            <w:tcBorders>
              <w:right w:val="single" w:sz="8" w:color="auto"/>
            </w:tcBorders>
            <w:gridSpan w:val="2"/>
          </w:tcPr>
          <w:p>
            <w:pPr>
              <w:ind w:left="66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31.3 %</w:t>
            </w:r>
          </w:p>
        </w:tc>
        <w:tc>
          <w:tcPr>
            <w:tcW w:w="0" w:type="dxa"/>
            <w:vAlign w:val="bottom"/>
          </w:tcPr>
          <w:p>
            <w:pPr>
              <w:spacing w:after="0"/>
              <w:rPr>
                <w:sz w:val="1"/>
                <w:szCs w:val="1"/>
                <w:color w:val="auto"/>
              </w:rPr>
            </w:pPr>
          </w:p>
        </w:tc>
      </w:tr>
      <w:tr>
        <w:trPr>
          <w:trHeight w:val="207"/>
        </w:trPr>
        <w:tc>
          <w:tcPr>
            <w:tcW w:w="3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compensation and related costs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209.9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5"/>
                <w:szCs w:val="15"/>
                <w:color w:val="auto"/>
              </w:rPr>
              <w:t>Distribution and servicing</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36.3 %</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Advertising and promotion</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5"/>
                <w:szCs w:val="15"/>
                <w:color w:val="auto"/>
              </w:rPr>
              <w:t>Product and recordkeeping related costs</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occupancy, and facility costs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administrative, and other</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2,862.7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378.7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Compensation and related costs, excluding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excluding supplemental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were $564.9 million in the third quarter of 2021, an increase of $47.3 million, or 9.1%, compared to the 2020 quarter. The increase from the 2020 quarter was primarily due to a $32.5 million increase in our interim bonus accrual. We recognize the interim bonus accrual ratably over the year using the ratio of recognized quarterly net revenues to currently forecasted annual net revenues. Also contributing to the increase in 2021 costs compared to the third quarter of 2020 was a $16.1 million increase in salaries and benefits due to modest increases in base salaries at the beginning of the year and an increase in our average staff size before the transition of approximately 800 T. Rowe Price operations and technology associates to FIS on August 1, 2021.</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nine months ended September 30, 2021, compensation and related costs, excluding supplemental savings plan, were $1,692.3 million, an increase of $195.7 million, or 13.1%, compared to the 2020 period. The increase in compensation and related costs from the 2020 period was primarily due to a $121.7 million increase in our interim bonus accrual. Also contributing to the increase in costs compared to 2020 was a $78.1 million increase in salaries and benefits due to modest increases in base salaries at the beginning of the year and an increase in our average staff size before the transition of approximately 800 operations and technology associates to FIS on August 1, 2021. These increases in compensation and related costs were offset in part by $11.7 million in higher labor capitalization related to internally developed software in 2021 period.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$96.0 million for the third quarter of 2021, an increase of 30.6% from the</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$73.5 million recognized in the 2020 quarter. For the nine months ended September 30, 2021, these costs were $274.3 million, an increase of 36.3% over the $201.2 million recognized in the comparable 2020 period. The increase is primarily driven by higher AUM-based distribution costs as a result of continued market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right="40"/>
        <w:spacing w:after="0" w:line="256" w:lineRule="auto"/>
        <w:rPr>
          <w:sz w:val="20"/>
          <w:szCs w:val="20"/>
          <w:color w:val="auto"/>
        </w:rPr>
      </w:pPr>
      <w:r>
        <w:rPr>
          <w:rFonts w:ascii="Arial" w:cs="Arial" w:eastAsia="Arial" w:hAnsi="Arial"/>
          <w:sz w:val="18"/>
          <w:szCs w:val="18"/>
          <w:color w:val="auto"/>
        </w:rPr>
        <w:t>appreciation and inflows in our international products, including our Japanese Investment Trusts (ITMs), and SICAVs. Also contributing to the increase are higher costs incurred to distribute certain other products through U.S. financial intermediaries, as assets under management in these products have increased from prior year.</w:t>
      </w:r>
    </w:p>
    <w:p>
      <w:pPr>
        <w:spacing w:after="0" w:line="229"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The amounts paid to third-party intermediaries that source the assets of the Advisor and R share classes of our U.S. mutual funds and our international products, such as our Japanese ITMs and SICAVs, are recognized in the distribution and servicing expense category.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13"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$22.1 million in the third quarter of 2021, an increase of $7.9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55.6%, compared to the $ 14.2 million recognized in the 2020 quarter. For the nine months ended September 30, 2021, these costs were $61.4 million, an increase of $8.9 million, or 17.0%, compared to the 2020 period. The increase in both the third quarter and nine months ended September 30, 2021 was driven primarily by the media spend related to the launch of a new brand marketing campaign and the promotion of the firm's target date solutions, along with lower spending in 2020 due to the impact of the coronavirus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recordkeeping costs were $70.3 million in the third quarter of 2021, an increase of</w:t>
      </w:r>
    </w:p>
    <w:p>
      <w:pPr>
        <w:ind w:right="160"/>
        <w:spacing w:after="0" w:line="221" w:lineRule="auto"/>
        <w:rPr>
          <w:sz w:val="20"/>
          <w:szCs w:val="20"/>
          <w:color w:val="auto"/>
        </w:rPr>
      </w:pPr>
      <w:r>
        <w:rPr>
          <w:rFonts w:ascii="Arial" w:cs="Arial" w:eastAsia="Arial" w:hAnsi="Arial"/>
          <w:sz w:val="18"/>
          <w:szCs w:val="18"/>
          <w:color w:val="auto"/>
        </w:rPr>
        <w:t>$33.5 million, or 91%, compared to the $36.8 million in the 2020 quarter. For the nine months ended September 30, 2021, these costs were $154.6 million, an increase of $ 36.6 million, or 31%, compared to the 2020 period. More than 85% of the increase in the third quarter and more than 80% of the increase in the nine months ended September 30, 2021 was driven primarily by the recordkeeping costs incurred as part of our expanded FIS relationship, including certain transition expenses that will extend into the fourth quarter of 2021 but not recur in 2022. While these transition expenses will not recur, we do expect to incur certain technology-related costs as part of this expanded relationship with FIS over the next few years. These will be reported as technology, occupancy, and facility costs.</w:t>
      </w:r>
    </w:p>
    <w:p>
      <w:pPr>
        <w:spacing w:after="0" w:line="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$123.1 million in the third quarter of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$7.5 million, or 6.5%, compared to the $115.6 million recognized in the 2020 quarter. For the nine months ended September 30, 2021, these costs were $359.7 million, an increase of $27.4 million, or 8.2%, compared to the 2020 period. The increase is due primarily to the ongoing investment in our technology capabilities, including hosted solution licenses and depreciation. Increased facility-related costs also contributed to the increase for the nine months ended September 30, 2021.</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$81.8 million in the third quarter of 2021,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$7.3 million, or 6.1%, compared to the $74.5 million recognized in the 2020 quarter. Higher research costs primarily due to additional investment professional headcount, higher information services and travel-related costs were the primary contributors to the higher costs in the third quarter of 2021 compared to 2020.</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nine months ended September 30, 2021, general, administrative, and other expenses were $260.8 million, an increase of $22.8 million, or 9.6%, compared to the 2020 period. Higher information services and research costs were primary contributors to the higher costs in 2021 as compared to 2020. Travel-related expenses were lower compared to the nine months ended September 30, 2020, due to the impact of the coronavirus pandemic.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Non-operating loss for the third quarter of 2021 was $11.5 million, a decrease of $203.1 million from non-operating income of $ 191.6 million in the 2020 quarter. For the nine months ended September 30, 2021, non-operating income was $234.5 million, an increase of $128.1 million from non-operating income of $106.4 million in the comparable 2020 period. The following table details the components of non-operating income for both the third quarter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9"/>
        </w:trPr>
        <w:tc>
          <w:tcPr>
            <w:tcW w:w="6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9/30/2020</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56"/>
        </w:trPr>
        <w:tc>
          <w:tcPr>
            <w:tcW w:w="6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(losses) from non-consolidated T. Rowe Price investment</w:t>
            </w: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117.5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w:t>
            </w: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on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including foreign currency gains and losses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significant investment portfolio gains in the third quarter of 2020 outperformed the slight investment portfolio losses in the third quarter of 2021 as the spread of the delta variant of the coronavirus weighed on the global economy and markets resulting in lower valuations at the end of the third quarter. The cash and discretionary investment portfolio also experienced net investment losses of $3.0 million during the third quarter of 2021.</w:t>
      </w:r>
    </w:p>
    <w:p>
      <w:pPr>
        <w:spacing w:after="0" w:line="23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investment portfolio for the nine months ended September 30, 2021, outperformed the same period in 2020 as a result of the significant market losses experienced in the first quarter of 2020. Our consolidated investment products and supplemental savings plan hedge portfolio comprised approximately 60% of the net gains recognized during the nine months ended September 30, 2021.</w:t>
      </w:r>
    </w:p>
    <w:p>
      <w:pPr>
        <w:spacing w:after="0" w:line="229"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9/30/2020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5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our interest in the consolidated 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188"/>
        </w:trPr>
        <w:tc>
          <w:tcPr>
            <w:tcW w:w="572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GAAP effective tax rate for the third quarter of 2021 was 23.1%, compared with 24.1% in the 2020 quarter. For the nine months ended September 30, 2021, our GAAP effective tax rate was 23.3%, compared with 24.0% in the 2020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for both the three- and nine-months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shd w:val="clear" w:color="auto" w:fill="CCEEFF"/>
          </w:tcPr>
          <w:p>
            <w:pPr>
              <w:spacing w:after="0"/>
              <w:rPr>
                <w:sz w:val="16"/>
                <w:szCs w:val="16"/>
                <w:color w:val="auto"/>
              </w:rPr>
            </w:pPr>
          </w:p>
        </w:tc>
        <w:tc>
          <w:tcPr>
            <w:tcW w:w="3260" w:type="dxa"/>
            <w:vAlign w:val="bottom"/>
            <w:gridSpan w:val="4"/>
            <w:shd w:val="clear" w:color="auto" w:fill="CCEEFF"/>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3"/>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320" w:type="dxa"/>
            <w:vAlign w:val="bottom"/>
            <w:tcBorders>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20" w:type="dxa"/>
            <w:vAlign w:val="bottom"/>
          </w:tcPr>
          <w:p>
            <w:pPr>
              <w:jc w:val="right"/>
              <w:ind w:right="15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4.1</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5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(1.3)</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r>
      <w:tr>
        <w:trPr>
          <w:trHeight w:val="20"/>
        </w:trPr>
        <w:tc>
          <w:tcPr>
            <w:tcW w:w="5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200" w:lineRule="exact"/>
        <w:rPr>
          <w:sz w:val="20"/>
          <w:szCs w:val="20"/>
          <w:color w:val="auto"/>
        </w:rPr>
      </w:pPr>
    </w:p>
    <w:p>
      <w:pPr>
        <w:spacing w:after="0" w:line="2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was 23.1% in the third quarter of 2021 compared with 24.1% in third quarter of 2020, and was 23.4% for the nine months ended September 30, 2021 compared with 23.9% for the nine months ended September 30, 2020. The non-GAAP effective tax rate for the third quarter of 2021 was favorably impacted by higher discrete discrete tax benefits associated with the settlement of stock-based awards. The non-GAAP effective tax rate for the nine months ended September 30, 2021 was favorably impacted by a lower state effective tax rate.</w:t>
      </w:r>
    </w:p>
    <w:p>
      <w:pPr>
        <w:spacing w:after="0" w:line="2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firm continues to see the phased-in benefit of the 2018 Maryland state tax legislation in which we expect to reduce our effective state rate over the five-year phase-in period to less than 3% by the end of 2022.</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effective tax rate will continue to experience volatility in future periods as the discrete tax benefits recognized from option exercises are impacted by market fluctuations in our stock price and timing of option exercises. Our GAAP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3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currently estimate that our effective tax rate for the full year 2021, on a GAAP and non-GAAP basis, will be in the range of 22.0% to 24.0%.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p>
      <w:pPr>
        <w:ind w:right="3220"/>
        <w:spacing w:after="0" w:line="261" w:lineRule="auto"/>
        <w:rPr>
          <w:sz w:val="20"/>
          <w:szCs w:val="20"/>
          <w:color w:val="auto"/>
        </w:rPr>
      </w:pPr>
      <w:r>
        <w:rPr>
          <w:rFonts w:ascii="Arial" w:cs="Arial" w:eastAsia="Arial" w:hAnsi="Arial"/>
          <w:sz w:val="18"/>
          <w:szCs w:val="18"/>
          <w:color w:val="auto"/>
        </w:rPr>
        <w:t>The following schedules reconcile certain U.S. GAAP financial measures for the three months ended September 30, 2021 and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7"/>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Three months ended 9/30/2021</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Non-operating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Provision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for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income (loss)</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Rowe Price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20"/>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996.2</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227.3</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777.2</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4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Consolidated T. Rowe Price</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8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14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998.7</w:t>
            </w: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gridSpan w:val="2"/>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228.1</w:t>
            </w:r>
          </w:p>
        </w:tc>
        <w:tc>
          <w:tcPr>
            <w:tcW w:w="120" w:type="dxa"/>
            <w:vAlign w:val="bottom"/>
            <w:gridSpan w:val="2"/>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767.6</w:t>
            </w:r>
          </w:p>
        </w:tc>
        <w:tc>
          <w:tcPr>
            <w:tcW w:w="100" w:type="dxa"/>
            <w:vAlign w:val="bottom"/>
            <w:gridSpan w:val="2"/>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7"/>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Three months ended 9/30/2020</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Provision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12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attributable to T.</w:t>
            </w:r>
          </w:p>
        </w:tc>
        <w:tc>
          <w:tcPr>
            <w:tcW w:w="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expenses</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Rowe Price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3"/>
              <w:spacing w:after="0" w:line="176" w:lineRule="exact"/>
              <w:rPr>
                <w:sz w:val="20"/>
                <w:szCs w:val="20"/>
                <w:color w:val="auto"/>
              </w:rPr>
            </w:pPr>
            <w:r>
              <w:rPr>
                <w:rFonts w:ascii="Arial" w:cs="Arial" w:eastAsia="Arial" w:hAnsi="Arial"/>
                <w:sz w:val="14"/>
                <w:szCs w:val="14"/>
                <w:b w:val="1"/>
                <w:bCs w:val="1"/>
                <w:color w:val="auto"/>
                <w:w w:val="95"/>
              </w:rPr>
              <w:t>per share</w:t>
            </w:r>
            <w:r>
              <w:rPr>
                <w:rFonts w:ascii="Arial" w:cs="Arial" w:eastAsia="Arial" w:hAnsi="Arial"/>
                <w:sz w:val="18"/>
                <w:szCs w:val="18"/>
                <w:b w:val="1"/>
                <w:bCs w:val="1"/>
                <w:color w:val="auto"/>
                <w:w w:val="95"/>
                <w:vertAlign w:val="superscript"/>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3480" w:type="dxa"/>
            <w:vAlign w:val="bottom"/>
            <w:shd w:val="clear" w:color="auto" w:fill="CCEEFF"/>
          </w:tcPr>
          <w:p>
            <w:pPr>
              <w:ind w:left="120"/>
              <w:spacing w:after="0" w:line="165" w:lineRule="exact"/>
              <w:rPr>
                <w:sz w:val="20"/>
                <w:szCs w:val="20"/>
                <w:color w:val="auto"/>
              </w:rPr>
            </w:pPr>
            <w:r>
              <w:rPr>
                <w:rFonts w:ascii="Arial" w:cs="Arial" w:eastAsia="Arial" w:hAnsi="Arial"/>
                <w:sz w:val="16"/>
                <w:szCs w:val="16"/>
                <w:color w:val="auto"/>
              </w:rPr>
              <w:t>Consolidated T. Rowe Price</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12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80" w:type="dxa"/>
            <w:vAlign w:val="bottom"/>
            <w:shd w:val="clear" w:color="auto" w:fill="CCEEFF"/>
          </w:tcPr>
          <w:p>
            <w:pPr>
              <w:ind w:left="1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830.5</w:t>
            </w:r>
          </w:p>
        </w:tc>
        <w:tc>
          <w:tcPr>
            <w:tcW w:w="40" w:type="dxa"/>
            <w:vAlign w:val="bottom"/>
          </w:tcPr>
          <w:p>
            <w:pPr>
              <w:spacing w:after="0"/>
              <w:rPr>
                <w:sz w:val="19"/>
                <w:szCs w:val="19"/>
                <w:color w:val="auto"/>
              </w:rPr>
            </w:pPr>
          </w:p>
        </w:tc>
        <w:tc>
          <w:tcPr>
            <w:tcW w:w="28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768.0</w:t>
            </w:r>
          </w:p>
        </w:tc>
        <w:tc>
          <w:tcPr>
            <w:tcW w:w="80" w:type="dxa"/>
            <w:vAlign w:val="bottom"/>
          </w:tcPr>
          <w:p>
            <w:pPr>
              <w:spacing w:after="0"/>
              <w:rPr>
                <w:sz w:val="19"/>
                <w:szCs w:val="19"/>
                <w:color w:val="auto"/>
              </w:rPr>
            </w:pPr>
          </w:p>
        </w:tc>
        <w:tc>
          <w:tcPr>
            <w:tcW w:w="240" w:type="dxa"/>
            <w:vAlign w:val="bottom"/>
            <w:gridSpan w:val="3"/>
          </w:tcPr>
          <w:p>
            <w:pPr>
              <w:jc w:val="right"/>
              <w:ind w:right="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26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9"/>
                <w:szCs w:val="19"/>
                <w:color w:val="auto"/>
              </w:rPr>
            </w:pPr>
          </w:p>
        </w:tc>
        <w:tc>
          <w:tcPr>
            <w:tcW w:w="260" w:type="dxa"/>
            <w:vAlign w:val="bottom"/>
            <w:gridSpan w:val="3"/>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602.7</w:t>
            </w:r>
          </w:p>
        </w:tc>
        <w:tc>
          <w:tcPr>
            <w:tcW w:w="80" w:type="dxa"/>
            <w:vAlign w:val="bottom"/>
          </w:tcPr>
          <w:p>
            <w:pPr>
              <w:spacing w:after="0"/>
              <w:rPr>
                <w:sz w:val="19"/>
                <w:szCs w:val="19"/>
                <w:color w:val="auto"/>
              </w:rPr>
            </w:pPr>
          </w:p>
        </w:tc>
        <w:tc>
          <w:tcPr>
            <w:tcW w:w="24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9/30/2021</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60" w:type="dxa"/>
            <w:vAlign w:val="bottom"/>
          </w:tcPr>
          <w:p>
            <w:pPr>
              <w:spacing w:after="0"/>
              <w:rPr>
                <w:sz w:val="15"/>
                <w:szCs w:val="15"/>
                <w:color w:val="auto"/>
              </w:rPr>
            </w:pP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9/30/2020</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30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60" w:type="dxa"/>
            <w:vAlign w:val="bottom"/>
          </w:tcPr>
          <w:p>
            <w:pPr>
              <w:spacing w:after="0"/>
              <w:rPr>
                <w:sz w:val="15"/>
                <w:szCs w:val="15"/>
                <w:color w:val="auto"/>
              </w:rPr>
            </w:pPr>
          </w:p>
        </w:tc>
        <w:tc>
          <w:tcPr>
            <w:tcW w:w="1040" w:type="dxa"/>
            <w:vAlign w:val="bottom"/>
          </w:tcPr>
          <w:p>
            <w:pPr>
              <w:jc w:val="right"/>
              <w:ind w:right="13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340" w:right="60" w:hanging="332"/>
        <w:spacing w:after="0" w:line="23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 We remove the impact of the consolidated T. Rowe Price investment products as we believe they impact the reader’s ability to understand our core operating results.</w:t>
      </w:r>
    </w:p>
    <w:p>
      <w:pPr>
        <w:spacing w:after="0" w:line="243" w:lineRule="exact"/>
        <w:rPr>
          <w:rFonts w:ascii="Arial" w:cs="Arial" w:eastAsia="Arial" w:hAnsi="Arial"/>
          <w:sz w:val="22"/>
          <w:szCs w:val="22"/>
          <w:color w:val="auto"/>
          <w:vertAlign w:val="superscript"/>
        </w:rPr>
      </w:pPr>
    </w:p>
    <w:p>
      <w:pPr>
        <w:ind w:left="340" w:right="40" w:hanging="332"/>
        <w:spacing w:after="0" w:line="23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43" w:lineRule="exact"/>
        <w:rPr>
          <w:rFonts w:ascii="Arial" w:cs="Arial" w:eastAsia="Arial" w:hAnsi="Arial"/>
          <w:sz w:val="22"/>
          <w:szCs w:val="22"/>
          <w:color w:val="auto"/>
          <w:vertAlign w:val="superscript"/>
        </w:rPr>
      </w:pPr>
    </w:p>
    <w:p>
      <w:pPr>
        <w:ind w:left="340" w:right="280" w:hanging="332"/>
        <w:spacing w:after="0" w:line="238"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46" w:lineRule="exact"/>
        <w:rPr>
          <w:rFonts w:ascii="Arial" w:cs="Arial" w:eastAsia="Arial" w:hAnsi="Arial"/>
          <w:sz w:val="22"/>
          <w:szCs w:val="22"/>
          <w:color w:val="auto"/>
          <w:vertAlign w:val="superscript"/>
        </w:rPr>
      </w:pPr>
    </w:p>
    <w:p>
      <w:pPr>
        <w:ind w:left="340" w:right="100" w:hanging="332"/>
        <w:spacing w:after="0" w:line="232"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 xml:space="preserve">The income tax impacts were calculated in order to achieve an overall year-to-date non-GAAP effective tax rate of 23.4% for the first nine months of 2021 and 23.9% for the first nine months of 2020. As such, the non-GAAP effective tax rate for three months ended September 30, 2021 and 2020 was 23.1% and 24.1%, </w:t>
      </w:r>
      <w:r>
        <w:rPr>
          <w:rFonts w:ascii="Arial" w:cs="Arial" w:eastAsia="Arial" w:hAnsi="Arial"/>
          <w:sz w:val="16"/>
          <w:szCs w:val="16"/>
          <w:color w:val="auto"/>
        </w:rPr>
        <w:t>re</w:t>
      </w:r>
      <w:r>
        <w:rPr>
          <w:rFonts w:ascii="Arial" w:cs="Arial" w:eastAsia="Arial" w:hAnsi="Arial"/>
          <w:sz w:val="17"/>
          <w:szCs w:val="17"/>
          <w:color w:val="auto"/>
        </w:rPr>
        <w:t>spectively. The firm estimates that its effective tax rate for the full-year 2021 on a non-GAAP basis will be in the range of 22.0% to 24.0%.</w:t>
      </w:r>
    </w:p>
    <w:p>
      <w:pPr>
        <w:spacing w:after="0" w:line="241" w:lineRule="exact"/>
        <w:rPr>
          <w:rFonts w:ascii="Arial" w:cs="Arial" w:eastAsia="Arial" w:hAnsi="Arial"/>
          <w:sz w:val="22"/>
          <w:szCs w:val="22"/>
          <w:color w:val="auto"/>
          <w:vertAlign w:val="superscript"/>
        </w:rPr>
      </w:pPr>
    </w:p>
    <w:p>
      <w:pPr>
        <w:jc w:val="both"/>
        <w:ind w:left="340" w:right="180" w:hanging="332"/>
        <w:spacing w:after="0" w:line="227" w:lineRule="auto"/>
        <w:tabs>
          <w:tab w:leader="none" w:pos="33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720" w:type="dxa"/>
            <w:vAlign w:val="bottom"/>
            <w:gridSpan w:val="4"/>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40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9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9/30/2021</w:t>
            </w: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9/30/2021</w:t>
            </w: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9/30/2020</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767.6</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2,258.6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1,596.6</w:t>
            </w:r>
          </w:p>
        </w:tc>
      </w:tr>
      <w:tr>
        <w:trPr>
          <w:trHeight w:val="177"/>
        </w:trPr>
        <w:tc>
          <w:tcPr>
            <w:tcW w:w="596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59.5</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44.1</w:t>
            </w:r>
          </w:p>
        </w:tc>
      </w:tr>
      <w:tr>
        <w:trPr>
          <w:trHeight w:val="23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748.2</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2,199.1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1,552.5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9/30/2021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3,418.5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experienced $3.0 million in market losses and $28.5 million in market gains in the three- and nine-months ended September 30, 2021, respectively, as compared to investment gains of $25.6 million and $50.2 million in the three- and nine-months ended September 30, 2020. Cash and discretionary investments in T. Rowe Price products held by our subsidiaries outside the United States were $927.1 million at September 30, 2021 and $675.8 million at December 31, 2020. Given the availability of our financial resources and cash expected to be generated through future operations, we do not maintain an available external source of additional liquidity.</w:t>
      </w:r>
    </w:p>
    <w:p>
      <w:pPr>
        <w:spacing w:after="0" w:line="23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September 30, 2021.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w:t>
            </w: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Investments</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9/30/2021</w:t>
            </w:r>
          </w:p>
        </w:tc>
        <w:tc>
          <w:tcPr>
            <w:tcW w:w="0" w:type="dxa"/>
            <w:vAlign w:val="bottom"/>
          </w:tcPr>
          <w:p>
            <w:pPr>
              <w:spacing w:after="0"/>
              <w:rPr>
                <w:sz w:val="1"/>
                <w:szCs w:val="1"/>
                <w:color w:val="auto"/>
              </w:rPr>
            </w:pPr>
          </w:p>
        </w:tc>
      </w:tr>
      <w:tr>
        <w:trPr>
          <w:trHeight w:val="175"/>
        </w:trPr>
        <w:tc>
          <w:tcPr>
            <w:tcW w:w="50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equivalents</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right="77"/>
              <w:spacing w:after="0" w:line="176"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Cash and discretionary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3,418.5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5,343.6</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0" w:type="dxa"/>
            <w:vAlign w:val="bottom"/>
          </w:tcPr>
          <w:p>
            <w:pPr>
              <w:spacing w:after="0"/>
              <w:rPr>
                <w:sz w:val="1"/>
                <w:szCs w:val="1"/>
                <w:color w:val="auto"/>
              </w:rPr>
            </w:pPr>
          </w:p>
        </w:tc>
      </w:tr>
      <w:tr>
        <w:trPr>
          <w:trHeight w:val="188"/>
        </w:trPr>
        <w:tc>
          <w:tcPr>
            <w:tcW w:w="5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Investments used to hedge the supplemental savings plan</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168"/>
        </w:trPr>
        <w:tc>
          <w:tcPr>
            <w:tcW w:w="518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cash and investments in T. Rowe Price products</w:t>
            </w: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attributable to T. Rowe Price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7,596.8</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168"/>
        </w:trPr>
        <w:tc>
          <w:tcPr>
            <w:tcW w:w="518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As reported on unaudited condensed consolidated balance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3,330.3</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8,683.4</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sheet at September 30, 2021</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60" w:hanging="172"/>
        <w:spacing w:after="0" w:line="233" w:lineRule="auto"/>
        <w:tabs>
          <w:tab w:leader="none" w:pos="158"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$60.8 million and the $787.2 million represent the total value at September 30, 2021 of our interest in the consolidated T. Rowe Price investment products. The total net assets of the T. Rowe Price investment products at September 30, 2021 of $1,934.6 million includes assets of $2,026.7 million, less liabilities of $92.1 million as reflected in our unaudited condensed consolidated balance sheets.</w:t>
      </w:r>
    </w:p>
    <w:p>
      <w:pPr>
        <w:spacing w:after="0" w:line="23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4" w:name="page35"/>
    <w:bookmarkEnd w:id="34"/>
    <w:p>
      <w:pPr>
        <w:ind w:right="120"/>
        <w:spacing w:after="0" w:line="250" w:lineRule="auto"/>
        <w:rPr>
          <w:sz w:val="20"/>
          <w:szCs w:val="20"/>
          <w:color w:val="auto"/>
        </w:rPr>
      </w:pPr>
      <w:r>
        <w:rPr>
          <w:rFonts w:ascii="Arial" w:cs="Arial" w:eastAsia="Arial" w:hAnsi="Arial"/>
          <w:sz w:val="18"/>
          <w:szCs w:val="18"/>
          <w:color w:val="auto"/>
        </w:rPr>
        <w:t>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w:t>
      </w:r>
    </w:p>
    <w:p>
      <w:pPr>
        <w:spacing w:after="0" w:line="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increased our quarterly recurring dividend per common share in February 2021 by 20.0% to $ 1.08 per common share from $.90 per common share. Additionally, our Board of Directors declared a special cash dividend of $3.00 per common share, or $699.8 million, on June 14, 2021, that was paid on July 7, 2021. Further, we expended $526.6 million in the first nine months of 2021 to repurchase 2.9 million shares, or 1.3% of our outstanding common stock, at an average price of $182.27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Since the end of 2018, we have returned $5.5 billion to stockholders through stock repurchases, regular quarterly dividends, and special dividends,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Recurring dividend</w:t>
            </w:r>
          </w:p>
        </w:tc>
        <w:tc>
          <w:tcPr>
            <w:tcW w:w="120" w:type="dxa"/>
            <w:vAlign w:val="bottom"/>
            <w:vMerge w:val="restart"/>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Special dividend</w:t>
            </w:r>
            <w:r>
              <w:rPr>
                <w:rFonts w:ascii="Arial" w:cs="Arial" w:eastAsia="Arial" w:hAnsi="Arial"/>
                <w:sz w:val="18"/>
                <w:szCs w:val="18"/>
                <w:b w:val="1"/>
                <w:bCs w:val="1"/>
                <w:color w:val="auto"/>
                <w:vertAlign w:val="superscript"/>
              </w:rPr>
              <w:t>(1)</w:t>
            </w:r>
          </w:p>
        </w:tc>
        <w:tc>
          <w:tcPr>
            <w:tcW w:w="100" w:type="dxa"/>
            <w:vAlign w:val="bottom"/>
            <w:vMerge w:val="restart"/>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vMerge w:val="restart"/>
            <w:shd w:val="clear" w:color="auto" w:fill="CCEEFF"/>
          </w:tcPr>
          <w:p>
            <w:pPr>
              <w:spacing w:after="0"/>
              <w:rPr>
                <w:sz w:val="14"/>
                <w:szCs w:val="14"/>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75"/>
        </w:trPr>
        <w:tc>
          <w:tcPr>
            <w:tcW w:w="5280" w:type="dxa"/>
            <w:vAlign w:val="bottom"/>
            <w:vMerge w:val="continue"/>
            <w:shd w:val="clear" w:color="auto" w:fill="CCEEFF"/>
          </w:tcPr>
          <w:p>
            <w:pPr>
              <w:spacing w:after="0"/>
              <w:rPr>
                <w:sz w:val="15"/>
                <w:szCs w:val="15"/>
                <w:color w:val="auto"/>
              </w:rPr>
            </w:pPr>
          </w:p>
        </w:tc>
        <w:tc>
          <w:tcPr>
            <w:tcW w:w="142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3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4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Nine months ended 9/30/2021</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Special cash dividend declared in June 2021 was paid in July 2021.</w:t>
      </w:r>
    </w:p>
    <w:p>
      <w:pPr>
        <w:spacing w:after="0" w:line="2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anticipate property, equipment and other capital expenditures, including internal labor capitalization, for the full-year 2021 to be about $250 million, of which more than three-quarters is planned for technology initiatives. We expect to fund our anticipated capital expenditures with operating cash flows and other available resources.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28, 2021, we entered into an agreement to acquire 100% of the equity of OHA, and certain other entities that have common ownership. We will acquire OHA for a purchase price of up to $ 4.2 billion, with $3.3 billion payable at closing, approximately 74% in cash and 26% in T. Rowe Price Group, Inc. common stock, and up to an additional $ 900 million in cash upon the achievement of defined business milestones starting in 2025. We expect that the acquisition will close in the fourth quarter of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7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summarizes the cash flows for the nine months ended September 30, 2021 and 2020, that are attributable to T. Rowe Price, our consolidated T. Rowe Price investment products, and the related eliminations required in preparing the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continue"/>
            <w:shd w:val="clear" w:color="auto" w:fill="CCEEFF"/>
          </w:tcPr>
          <w:p>
            <w:pPr>
              <w:spacing w:after="0"/>
              <w:rPr>
                <w:sz w:val="11"/>
                <w:szCs w:val="11"/>
                <w:color w:val="auto"/>
              </w:rPr>
            </w:pP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1"/>
                <w:szCs w:val="11"/>
                <w:color w:val="auto"/>
              </w:rPr>
            </w:pPr>
          </w:p>
        </w:tc>
        <w:tc>
          <w:tcPr>
            <w:tcW w:w="9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line="189" w:lineRule="exact"/>
              <w:rPr>
                <w:sz w:val="20"/>
                <w:szCs w:val="20"/>
                <w:color w:val="auto"/>
              </w:rPr>
            </w:pPr>
            <w:r>
              <w:rPr>
                <w:rFonts w:ascii="Arial" w:cs="Arial" w:eastAsia="Arial" w:hAnsi="Arial"/>
                <w:sz w:val="18"/>
                <w:szCs w:val="18"/>
                <w:color w:val="auto"/>
              </w:rPr>
              <w:t>Adjustments to reconcile net income to net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140"/>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and amortization of property</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equipment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(gains) losses recognized 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88"/>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Net (investments) redemptions in T. Rowe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Price investment products used to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economically hedge supplemental savings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20"/>
              <w:spacing w:after="0"/>
              <w:rPr>
                <w:sz w:val="20"/>
                <w:szCs w:val="20"/>
                <w:color w:val="auto"/>
              </w:rPr>
            </w:pPr>
            <w:r>
              <w:rPr>
                <w:rFonts w:ascii="Arial" w:cs="Arial" w:eastAsia="Arial" w:hAnsi="Arial"/>
                <w:sz w:val="18"/>
                <w:szCs w:val="18"/>
                <w:color w:val="auto"/>
              </w:rPr>
              <w:t>plan liability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trading securities held by</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consolidated T. Rowe Price investment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cash provided by (used in) operating</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cash provided by (used in) financing</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w w:val="99"/>
              </w:rPr>
              <w:t>cash equivalents of consolidated T. Rowe Price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8"/>
        </w:trPr>
        <w:tc>
          <w:tcPr>
            <w:tcW w:w="38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3,510.1</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activities attributable to T. Rowe Price during the first nine months of 2021 provided cash flows of $3,072.6 million as compared to $2,265.0 million during the first nine months of 2020. Operating cash flows attributable to T. Rowe Price increased $807.6 million, including a $753.0 million increase in net income from the first nine months of 2020 and timing differences on the cash settlement of our assets and liabilities of $114.3 million. This increase was partially offset by $106.9 million in lower non-cash adjustments, including unrealized investment gains/losses, depreciation, and stock-based compensation expense. The non-cash adjustments were primarily driven by a $115.8 million increase in net investment gains in the first nine months of 2021 compared with the first nine months of 2020. Additionally, in 2021, we had net proceeds of $28.1 million from certain investment products that economically hedge our supplemental savings plan liability, while we had net investments of $19.1 million in the same period of 2020.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cash provided by investing activities that are attributable to T. Rowe Price totaled $108.0 million in the first nine months of 2021 compared with $100.6 million of cash used by investing activities in the 2020 period. During 2021, we decreased the level of seed capital provided by $131.4 million. We eliminate our seed capital in those T. Rowe Price investment products we consolidate in preparing our unaudited condensed consolidated statement of cash flows. Further increasing the cash provided by investing activities were higher net proceeds from the sale of certain of our discretionary investments of $238.1 million compared to net proceeds of $141.6 million during 2020. Partially offsetting these increases were increased property and equipment expenditures of $23.3 million. The remaining $33.5 million change in reported cash flows from investing activities is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attributable to T. Rowe Price were $1,913.8 million in the first nine months of 2021 compared with</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$1,718.0 million in the 2020 period. During the first nine months of 2021, we used $526.6 million to repurchase 2.9 million shares compared to $1.2 billion to repurchase 10.8 million shares in the first nine months of 2020. Partially offsetting this decrease in cash used for stock repurchases was a $818.3 million increase in dividends paid in 2021 as a result of the special cash dividend paid in July 2021 and the 20.0% increase in our quarterly dividend per share. The remaining change in reported cash flows from financing activities is primarily attributable to a $276.0 million decrease in net subscriptions received from redeemable non-controlling interest holders of our consolidated investment products during the first nine months of 2021 compared to the 2020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2020 Annual Report on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strategic transactions, dividends, stock repurchases, investments, new products and services, capital expenditures, changes in our effective fee rate, the impact of the coronavirus pandemic, other market conditions and the acquisition of OHA.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2020.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including our announced plan to establish T. Rowe Price Investment Management as a separate registered investment adviser.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3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level of third party research costs,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3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17"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Our acquisition of OHA is subject to various risks and uncertainties, which could impact the completion of the transaction and effect our results of operations, including: (i) the occurrence of any event, change, or other circumstances that could give rise to the termination of the purchase agreement; (ii) closing conditions may not be satisfied in a timely manner or at all, including due to the failure to obtain regulatory and client approvals; (iii) the announcement and pendency of the acquisition may disrupt our business operations (including the threatened 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spacing w:after="0" w:line="225" w:lineRule="auto"/>
        <w:rPr>
          <w:sz w:val="20"/>
          <w:szCs w:val="20"/>
          <w:color w:val="auto"/>
        </w:rPr>
      </w:pPr>
      <w:r>
        <w:rPr>
          <w:rFonts w:ascii="Arial" w:cs="Arial" w:eastAsia="Arial" w:hAnsi="Arial"/>
          <w:sz w:val="18"/>
          <w:szCs w:val="18"/>
          <w:color w:val="auto"/>
        </w:rPr>
        <w:t>actual loss of employees, clients, or suppliers); (iv) we could experience financial or other setbacks if the transaction encounters unanticipated problems; (v) anticipated benefits of the transaction, including the realization of revenue, accretion, financial benefits or returns, and expense and other synergies, may not be fully realized or may take longer to realize than expected; (vi) client and investor interest in T. Rowe Price or the combined business’s products may be less than anticipated; and (vii) we may be unable to successfully integrate OHA’s businesses or to integrate the businesses within the anticipated time frame.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2021. Based on that evaluation, our principal executive and principal financial officers have concluded that our disclosure controls and procedures as of September 30, 2021,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32"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2021, and has concluded that there was no change during the third quarter of 2021 that has materially affected, or is reasonably likely to materially affect, our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2021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00" w:type="dxa"/>
            <w:vAlign w:val="bottom"/>
            <w:vMerge w:val="restart"/>
            <w:shd w:val="clear" w:color="auto" w:fill="CCEEFF"/>
          </w:tcPr>
          <w:p>
            <w:pPr>
              <w:spacing w:after="0"/>
              <w:rPr>
                <w:sz w:val="11"/>
                <w:szCs w:val="11"/>
                <w:color w:val="auto"/>
              </w:rPr>
            </w:pPr>
          </w:p>
        </w:tc>
        <w:tc>
          <w:tcPr>
            <w:tcW w:w="188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3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July</w:t>
            </w:r>
          </w:p>
        </w:tc>
        <w:tc>
          <w:tcPr>
            <w:tcW w:w="1760" w:type="dxa"/>
            <w:vAlign w:val="bottom"/>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
              <w:spacing w:after="0"/>
              <w:rPr>
                <w:sz w:val="20"/>
                <w:szCs w:val="20"/>
                <w:color w:val="auto"/>
              </w:rPr>
            </w:pPr>
            <w:r>
              <w:rPr>
                <w:rFonts w:ascii="Arial" w:cs="Arial" w:eastAsia="Arial" w:hAnsi="Arial"/>
                <w:sz w:val="18"/>
                <w:szCs w:val="18"/>
                <w:color w:val="auto"/>
              </w:rPr>
              <w:t>19,612,790</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112,246</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19,500,544</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September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209.89</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922,335</w:t>
            </w:r>
          </w:p>
        </w:tc>
        <w:tc>
          <w:tcPr>
            <w:tcW w:w="18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18,578,209</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1,034,581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line="261" w:lineRule="auto"/>
        <w:rPr>
          <w:sz w:val="20"/>
          <w:szCs w:val="20"/>
          <w:color w:val="auto"/>
        </w:rPr>
      </w:pPr>
      <w:r>
        <w:rPr>
          <w:rFonts w:ascii="Arial" w:cs="Arial" w:eastAsia="Arial" w:hAnsi="Arial"/>
          <w:sz w:val="18"/>
          <w:szCs w:val="18"/>
          <w:color w:val="auto"/>
        </w:rPr>
        <w:t>quarter of 2021, 48,006 were related to shares surrendered in connection with employee stock option exercises and no shares were withheld to cover tax withholdings associated with the vesting of 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5420" w:type="dxa"/>
            <w:vAlign w:val="bottom"/>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1"/>
                <w:szCs w:val="11"/>
                <w:color w:val="auto"/>
              </w:rPr>
            </w:pPr>
          </w:p>
        </w:tc>
        <w:tc>
          <w:tcPr>
            <w:tcW w:w="1780" w:type="dxa"/>
            <w:vAlign w:val="bottom"/>
            <w:vMerge w:val="restart"/>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7/1/2021</w:t>
            </w:r>
          </w:p>
        </w:tc>
        <w:tc>
          <w:tcPr>
            <w:tcW w:w="100" w:type="dxa"/>
            <w:vAlign w:val="bottom"/>
            <w:shd w:val="clear" w:color="auto" w:fill="CCEEFF"/>
          </w:tcPr>
          <w:p>
            <w:pPr>
              <w:spacing w:after="0"/>
              <w:rPr>
                <w:sz w:val="11"/>
                <w:szCs w:val="11"/>
                <w:color w:val="auto"/>
              </w:rPr>
            </w:pPr>
          </w:p>
        </w:tc>
        <w:tc>
          <w:tcPr>
            <w:tcW w:w="2020" w:type="dxa"/>
            <w:vAlign w:val="bottom"/>
            <w:gridSpan w:val="2"/>
            <w:vMerge w:val="continue"/>
            <w:shd w:val="clear" w:color="auto" w:fill="CCEEFF"/>
          </w:tcPr>
          <w:p>
            <w:pPr>
              <w:spacing w:after="0"/>
              <w:rPr>
                <w:sz w:val="11"/>
                <w:szCs w:val="11"/>
                <w:color w:val="auto"/>
              </w:rPr>
            </w:pPr>
          </w:p>
        </w:tc>
        <w:tc>
          <w:tcPr>
            <w:tcW w:w="17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6"/>
        </w:trPr>
        <w:tc>
          <w:tcPr>
            <w:tcW w:w="5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9/30/2021</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February 2019</w:t>
            </w:r>
          </w:p>
        </w:tc>
        <w:tc>
          <w:tcPr>
            <w:tcW w:w="1780" w:type="dxa"/>
            <w:vAlign w:val="bottom"/>
          </w:tcPr>
          <w:p>
            <w:pPr>
              <w:jc w:val="right"/>
              <w:spacing w:after="0"/>
              <w:rPr>
                <w:sz w:val="20"/>
                <w:szCs w:val="20"/>
                <w:color w:val="auto"/>
              </w:rPr>
            </w:pPr>
            <w:r>
              <w:rPr>
                <w:rFonts w:ascii="Arial" w:cs="Arial" w:eastAsia="Arial" w:hAnsi="Arial"/>
                <w:sz w:val="18"/>
                <w:szCs w:val="18"/>
                <w:color w:val="auto"/>
              </w:rPr>
              <w:t>4,612,790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(1,034,581)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3,578,209</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19,612,790</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(1,034,581)</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18,578,209</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October 28, 2021, we issued an earnings release reporting our results of operations for the third quarter of 2021.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200"/>
          </w:cols>
          <w:pgMar w:left="320" w:top="908" w:right="37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80"/>
        <w:spacing w:after="0" w:line="227" w:lineRule="auto"/>
        <w:rPr>
          <w:rFonts w:ascii="Arial" w:cs="Arial" w:eastAsia="Arial" w:hAnsi="Arial"/>
          <w:sz w:val="18"/>
          <w:szCs w:val="18"/>
          <w:color w:val="auto"/>
        </w:rPr>
      </w:pPr>
      <w:hyperlink r:id="rId83">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83">
        <w:r>
          <w:rPr>
            <w:rFonts w:ascii="Arial" w:cs="Arial" w:eastAsia="Arial" w:hAnsi="Arial"/>
            <w:sz w:val="18"/>
            <w:szCs w:val="18"/>
            <w:color w:val="auto"/>
          </w:rPr>
          <w:t>reference from Form 10-Q Quarterly Report filed on July 25, 2018.)</w:t>
        </w:r>
      </w:hyperlink>
    </w:p>
    <w:p>
      <w:pPr>
        <w:spacing w:after="0" w:line="67" w:lineRule="exact"/>
        <w:rPr>
          <w:sz w:val="20"/>
          <w:szCs w:val="20"/>
          <w:color w:val="auto"/>
        </w:rPr>
      </w:pPr>
    </w:p>
    <w:p>
      <w:pPr>
        <w:ind w:right="40"/>
        <w:spacing w:after="0" w:line="227" w:lineRule="auto"/>
        <w:rPr>
          <w:rFonts w:ascii="Arial" w:cs="Arial" w:eastAsia="Arial" w:hAnsi="Arial"/>
          <w:sz w:val="18"/>
          <w:szCs w:val="18"/>
          <w:color w:val="auto"/>
        </w:rPr>
      </w:pPr>
      <w:hyperlink r:id="rId84">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84">
        <w:r>
          <w:rPr>
            <w:rFonts w:ascii="Arial" w:cs="Arial" w:eastAsia="Arial" w:hAnsi="Arial"/>
            <w:sz w:val="18"/>
            <w:szCs w:val="18"/>
            <w:color w:val="auto"/>
          </w:rPr>
          <w:t>Form 10-K Annual Report filed on February 11, 2021.)</w:t>
        </w:r>
      </w:hyperlink>
    </w:p>
    <w:p>
      <w:pPr>
        <w:spacing w:after="0" w:line="81" w:lineRule="exact"/>
        <w:rPr>
          <w:sz w:val="20"/>
          <w:szCs w:val="20"/>
          <w:color w:val="auto"/>
        </w:rPr>
      </w:pPr>
    </w:p>
    <w:p>
      <w:pPr>
        <w:spacing w:after="0"/>
        <w:rPr>
          <w:rFonts w:ascii="Arial" w:cs="Arial" w:eastAsia="Arial" w:hAnsi="Arial"/>
          <w:sz w:val="18"/>
          <w:szCs w:val="18"/>
          <w:color w:val="auto"/>
        </w:rPr>
      </w:pPr>
      <w:hyperlink w:anchor="page42">
        <w:r>
          <w:rPr>
            <w:rFonts w:ascii="Arial" w:cs="Arial" w:eastAsia="Arial" w:hAnsi="Arial"/>
            <w:sz w:val="18"/>
            <w:szCs w:val="18"/>
            <w:color w:val="auto"/>
          </w:rPr>
          <w:t>Report from KPMG LLP, independent registered public accounting firm, re unaudited interim financial information.</w:t>
        </w:r>
      </w:hyperlink>
    </w:p>
    <w:p>
      <w:pPr>
        <w:spacing w:after="0" w:line="117" w:lineRule="exact"/>
        <w:rPr>
          <w:sz w:val="20"/>
          <w:szCs w:val="20"/>
          <w:color w:val="auto"/>
        </w:rPr>
      </w:pPr>
    </w:p>
    <w:p>
      <w:pPr>
        <w:spacing w:after="0"/>
        <w:rPr>
          <w:rFonts w:ascii="Arial" w:cs="Arial" w:eastAsia="Arial" w:hAnsi="Arial"/>
          <w:sz w:val="18"/>
          <w:szCs w:val="18"/>
          <w:color w:val="auto"/>
        </w:rPr>
      </w:pPr>
      <w:hyperlink w:anchor="page43">
        <w:r>
          <w:rPr>
            <w:rFonts w:ascii="Arial" w:cs="Arial" w:eastAsia="Arial" w:hAnsi="Arial"/>
            <w:sz w:val="18"/>
            <w:szCs w:val="18"/>
            <w:color w:val="auto"/>
          </w:rPr>
          <w:t>Rule 13a-14(a) Certification of Principal Executive Officer.</w:t>
        </w:r>
      </w:hyperlink>
    </w:p>
    <w:p>
      <w:pPr>
        <w:spacing w:after="0" w:line="117" w:lineRule="exact"/>
        <w:rPr>
          <w:sz w:val="20"/>
          <w:szCs w:val="20"/>
          <w:color w:val="auto"/>
        </w:rPr>
      </w:pPr>
    </w:p>
    <w:p>
      <w:pPr>
        <w:spacing w:after="0"/>
        <w:rPr>
          <w:rFonts w:ascii="Arial" w:cs="Arial" w:eastAsia="Arial" w:hAnsi="Arial"/>
          <w:sz w:val="18"/>
          <w:szCs w:val="18"/>
          <w:color w:val="auto"/>
        </w:rPr>
      </w:pPr>
      <w:hyperlink w:anchor="page44">
        <w:r>
          <w:rPr>
            <w:rFonts w:ascii="Arial" w:cs="Arial" w:eastAsia="Arial" w:hAnsi="Arial"/>
            <w:sz w:val="18"/>
            <w:szCs w:val="18"/>
            <w:color w:val="auto"/>
          </w:rPr>
          <w:t>Rule 13a-14(a) Certification of Principal Financial Officer.</w:t>
        </w:r>
      </w:hyperlink>
    </w:p>
    <w:p>
      <w:pPr>
        <w:spacing w:after="0" w:line="117" w:lineRule="exact"/>
        <w:rPr>
          <w:sz w:val="20"/>
          <w:szCs w:val="20"/>
          <w:color w:val="auto"/>
        </w:rPr>
      </w:pPr>
    </w:p>
    <w:p>
      <w:pPr>
        <w:spacing w:after="0"/>
        <w:rPr>
          <w:rFonts w:ascii="Arial" w:cs="Arial" w:eastAsia="Arial" w:hAnsi="Arial"/>
          <w:sz w:val="18"/>
          <w:szCs w:val="18"/>
          <w:color w:val="auto"/>
        </w:rPr>
      </w:pPr>
      <w:hyperlink w:anchor="page45">
        <w:r>
          <w:rPr>
            <w:rFonts w:ascii="Arial" w:cs="Arial" w:eastAsia="Arial" w:hAnsi="Arial"/>
            <w:sz w:val="18"/>
            <w:szCs w:val="18"/>
            <w:color w:val="auto"/>
          </w:rPr>
          <w:t>Section 1350 Certifications.</w:t>
        </w:r>
      </w:hyperlink>
    </w:p>
    <w:p>
      <w:pPr>
        <w:spacing w:after="0" w:line="104" w:lineRule="exact"/>
        <w:rPr>
          <w:sz w:val="20"/>
          <w:szCs w:val="20"/>
          <w:color w:val="auto"/>
        </w:rPr>
      </w:pPr>
    </w:p>
    <w:p>
      <w:pPr>
        <w:spacing w:after="0"/>
        <w:rPr>
          <w:rFonts w:ascii="Arial" w:cs="Arial" w:eastAsia="Arial" w:hAnsi="Arial"/>
          <w:sz w:val="18"/>
          <w:szCs w:val="18"/>
          <w:color w:val="auto"/>
        </w:rPr>
      </w:pPr>
      <w:hyperlink w:anchor="page46">
        <w:r>
          <w:rPr>
            <w:rFonts w:ascii="Arial" w:cs="Arial" w:eastAsia="Arial" w:hAnsi="Arial"/>
            <w:sz w:val="18"/>
            <w:szCs w:val="18"/>
            <w:color w:val="auto"/>
          </w:rPr>
          <w:t>Earnings release issued October 28, 2021, reporting our results of operations for the third quarter of 2021.</w:t>
        </w:r>
      </w:hyperlink>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0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20" w:space="720"/>
            <w:col w:w="9460"/>
          </w:cols>
          <w:pgMar w:left="320" w:top="908"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28,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120"/>
          </w:cols>
          <w:pgMar w:left="320" w:top="886" w:right="459" w:bottom="1440" w:gutter="0" w:footer="0" w:header="0"/>
        </w:sectPr>
      </w:pPr>
    </w:p>
    <w:bookmarkStart w:id="41" w:name="page42"/>
    <w:bookmarkEnd w:id="41"/>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908"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9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28, 2021 related to our review of interim financial information.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908" w:right="339" w:bottom="1440" w:gutter="0" w:footer="0" w:header="0"/>
          <w:type w:val="continuous"/>
        </w:sectPr>
      </w:pPr>
    </w:p>
    <w:bookmarkStart w:id="42" w:name="page43"/>
    <w:bookmarkEnd w:id="42"/>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ectPr>
          <w:pgSz w:w="11900" w:h="16838" w:orient="portrait"/>
          <w:cols w:equalWidth="0" w:num="1">
            <w:col w:w="11220"/>
          </w:cols>
          <w:pgMar w:left="320" w:top="1003" w:right="359" w:bottom="1440" w:gutter="0" w:footer="0" w:header="0"/>
        </w:sectPr>
      </w:pPr>
    </w:p>
    <w:bookmarkStart w:id="43" w:name="page44"/>
    <w:bookmarkEnd w:id="43"/>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2021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1003" w:right="359" w:bottom="1440" w:gutter="0" w:footer="0" w:header="0"/>
        </w:sectPr>
      </w:pPr>
    </w:p>
    <w:bookmarkStart w:id="44" w:name="page45"/>
    <w:bookmarkEnd w:id="44"/>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of T. Rowe Price Group, Inc., that:</w:t>
      </w:r>
    </w:p>
    <w:p>
      <w:pPr>
        <w:spacing w:after="0" w:line="104" w:lineRule="exact"/>
        <w:rPr>
          <w:sz w:val="20"/>
          <w:szCs w:val="20"/>
          <w:color w:val="auto"/>
        </w:rPr>
      </w:pPr>
    </w:p>
    <w:p>
      <w:pPr>
        <w:ind w:right="620" w:firstLine="8"/>
        <w:spacing w:after="0" w:line="261"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62" w:lineRule="exact"/>
        <w:rPr>
          <w:rFonts w:ascii="Arial" w:cs="Arial" w:eastAsia="Arial" w:hAnsi="Arial"/>
          <w:sz w:val="18"/>
          <w:szCs w:val="18"/>
          <w:color w:val="auto"/>
        </w:rPr>
      </w:pPr>
    </w:p>
    <w:p>
      <w:pPr>
        <w:ind w:firstLine="8"/>
        <w:spacing w:after="0" w:line="261"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1003" w:right="41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THIRD QUARTER 2021 RESULTS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BALTIMORE (October 28, 2021) - T. Rowe Price Group, Inc. (NASDAQ-GS: TROW) today reported its results for the third quarter of 2021.</w:t>
      </w:r>
    </w:p>
    <w:p>
      <w:pPr>
        <w:spacing w:after="0" w:line="1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$1.61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$6.4 billion for Q3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$2.0 billion for Q3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$3.31 for Q3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$3.27 for Q3 2021</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 w:type="dxa"/>
            <w:vAlign w:val="bottom"/>
            <w:tcBorders>
              <w:top w:val="single" w:sz="8" w:color="auto"/>
              <w:left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left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color w:val="auto"/>
              </w:rPr>
              <w:t>Nine months ended</w:t>
            </w:r>
          </w:p>
        </w:tc>
        <w:tc>
          <w:tcPr>
            <w:tcW w:w="86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(in millions, except per-share data)</w:t>
            </w:r>
          </w:p>
        </w:tc>
        <w:tc>
          <w:tcPr>
            <w:tcW w:w="10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color w:val="auto"/>
              </w:rPr>
              <w:t>9/30/2021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4"/>
                <w:szCs w:val="14"/>
                <w:color w:val="auto"/>
                <w:w w:val="99"/>
              </w:rPr>
              <w:t>9/30/2020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Arial" w:cs="Arial" w:eastAsia="Arial" w:hAnsi="Arial"/>
                <w:sz w:val="14"/>
                <w:szCs w:val="14"/>
                <w:color w:val="auto"/>
                <w:w w:val="99"/>
              </w:rPr>
              <w:t>6/30/2021</w:t>
            </w:r>
          </w:p>
        </w:tc>
        <w:tc>
          <w:tcPr>
            <w:tcW w:w="80" w:type="dxa"/>
            <w:vAlign w:val="bottom"/>
          </w:tcPr>
          <w:p>
            <w:pPr>
              <w:spacing w:after="0"/>
              <w:rPr>
                <w:sz w:val="15"/>
                <w:szCs w:val="15"/>
                <w:color w:val="auto"/>
              </w:rPr>
            </w:pPr>
          </w:p>
        </w:tc>
        <w:tc>
          <w:tcPr>
            <w:tcW w:w="114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4"/>
                <w:szCs w:val="14"/>
                <w:color w:val="auto"/>
                <w:w w:val="99"/>
              </w:rPr>
              <w:t>9/30/2021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Arial" w:cs="Arial" w:eastAsia="Arial" w:hAnsi="Arial"/>
                <w:sz w:val="14"/>
                <w:szCs w:val="14"/>
                <w:color w:val="auto"/>
                <w:w w:val="99"/>
              </w:rPr>
              <w:t>9/30/2020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jc w:val="right"/>
              <w:ind w:right="12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88"/>
        </w:trPr>
        <w:tc>
          <w:tcPr>
            <w:tcW w:w="40" w:type="dxa"/>
            <w:vAlign w:val="bottom"/>
            <w:tcBorders>
              <w:top w:val="single" w:sz="8" w:color="CCEEFF"/>
              <w:left w:val="single" w:sz="8" w:color="auto"/>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1200" w:type="dxa"/>
            <w:vAlign w:val="bottom"/>
            <w:tcBorders>
              <w:top w:val="single" w:sz="8" w:color="CCEEFF"/>
              <w:left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auto"/>
            </w:tcBorders>
            <w:gridSpan w:val="4"/>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1,813.4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1,469.3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23.4 %</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1,787.2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5,288.4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1,954.1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1,595.8</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22.5 %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1,929.3</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5,710.2</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4,473.8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27.6 %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971.2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2,862.7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996.2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728.9</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36.7 %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958.1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2,847.5</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1,989.8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43.1 %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4"/>
                <w:szCs w:val="14"/>
                <w:color w:val="auto"/>
              </w:rPr>
              <w:t>Non-operating income (loss)</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143.9</w:t>
            </w:r>
          </w:p>
        </w:tc>
        <w:tc>
          <w:tcPr>
            <w:tcW w:w="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5"/>
                <w:szCs w:val="15"/>
                <w:color w:val="auto"/>
              </w:rPr>
              <w:t>n/m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777.2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643.2</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20.8 %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815.7</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2,342.3</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1,589.3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47.4 %</w:t>
            </w:r>
          </w:p>
        </w:tc>
        <w:tc>
          <w:tcPr>
            <w:tcW w:w="0" w:type="dxa"/>
            <w:vAlign w:val="bottom"/>
          </w:tcPr>
          <w:p>
            <w:pPr>
              <w:spacing w:after="0"/>
              <w:rPr>
                <w:sz w:val="1"/>
                <w:szCs w:val="1"/>
                <w:color w:val="auto"/>
              </w:rPr>
            </w:pPr>
          </w:p>
        </w:tc>
      </w:tr>
      <w:tr>
        <w:trPr>
          <w:trHeight w:val="207"/>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21.2 %</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49.2 %</w:t>
            </w:r>
          </w:p>
        </w:tc>
        <w:tc>
          <w:tcPr>
            <w:tcW w:w="0" w:type="dxa"/>
            <w:vAlign w:val="bottom"/>
          </w:tcPr>
          <w:p>
            <w:pPr>
              <w:spacing w:after="0"/>
              <w:rPr>
                <w:sz w:val="1"/>
                <w:szCs w:val="1"/>
                <w:color w:val="auto"/>
              </w:rPr>
            </w:pPr>
          </w:p>
        </w:tc>
      </w:tr>
      <w:tr>
        <w:trPr>
          <w:trHeight w:val="153"/>
        </w:trPr>
        <w:tc>
          <w:tcPr>
            <w:tcW w:w="3020" w:type="dxa"/>
            <w:vAlign w:val="bottom"/>
            <w:tcBorders>
              <w:left w:val="single" w:sz="8" w:color="auto"/>
            </w:tcBorders>
            <w:gridSpan w:val="4"/>
          </w:tcPr>
          <w:p>
            <w:pPr>
              <w:ind w:left="40"/>
              <w:spacing w:after="0" w:line="153" w:lineRule="exact"/>
              <w:rPr>
                <w:sz w:val="20"/>
                <w:szCs w:val="20"/>
                <w:color w:val="auto"/>
              </w:rPr>
            </w:pPr>
            <w:r>
              <w:rPr>
                <w:rFonts w:ascii="Arial" w:cs="Arial" w:eastAsia="Arial" w:hAnsi="Arial"/>
                <w:sz w:val="14"/>
                <w:szCs w:val="14"/>
                <w:color w:val="auto"/>
              </w:rPr>
              <w:t>Weighted average common shares</w:t>
            </w:r>
          </w:p>
        </w:tc>
        <w:tc>
          <w:tcPr>
            <w:tcW w:w="10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229.1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229.4</w:t>
            </w:r>
          </w:p>
        </w:tc>
        <w:tc>
          <w:tcPr>
            <w:tcW w:w="1140" w:type="dxa"/>
            <w:vAlign w:val="bottom"/>
            <w:gridSpan w:val="3"/>
            <w:vMerge w:val="restart"/>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color w:val="auto"/>
              </w:rPr>
              <w:t>229.2</w:t>
            </w:r>
          </w:p>
        </w:tc>
        <w:tc>
          <w:tcPr>
            <w:tcW w:w="80" w:type="dxa"/>
            <w:vAlign w:val="bottom"/>
          </w:tcPr>
          <w:p>
            <w:pPr>
              <w:spacing w:after="0"/>
              <w:rPr>
                <w:sz w:val="13"/>
                <w:szCs w:val="13"/>
                <w:color w:val="auto"/>
              </w:rPr>
            </w:pPr>
          </w:p>
        </w:tc>
        <w:tc>
          <w:tcPr>
            <w:tcW w:w="11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color w:val="auto"/>
              </w:rPr>
              <w:t>—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229.4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231.9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1"/>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outstanding assuming dilution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auto"/>
            </w:tcBorders>
            <w:gridSpan w:val="4"/>
          </w:tcPr>
          <w:p>
            <w:pPr>
              <w:ind w:left="40"/>
              <w:spacing w:after="0" w:line="162" w:lineRule="exact"/>
              <w:rPr>
                <w:sz w:val="20"/>
                <w:szCs w:val="20"/>
                <w:color w:val="auto"/>
              </w:rPr>
            </w:pPr>
            <w:r>
              <w:rPr>
                <w:rFonts w:ascii="Arial" w:cs="Arial" w:eastAsia="Arial" w:hAnsi="Arial"/>
                <w:sz w:val="14"/>
                <w:szCs w:val="14"/>
                <w:b w:val="1"/>
                <w:bCs w:val="1"/>
                <w:color w:val="auto"/>
              </w:rPr>
              <w:t>Adjusted non-GAAP basis</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15.3 %</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931.8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2,798.2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15.0 %</w:t>
            </w:r>
          </w:p>
        </w:tc>
        <w:tc>
          <w:tcPr>
            <w:tcW w:w="0" w:type="dxa"/>
            <w:vAlign w:val="bottom"/>
          </w:tcPr>
          <w:p>
            <w:pPr>
              <w:spacing w:after="0"/>
              <w:rPr>
                <w:sz w:val="1"/>
                <w:szCs w:val="1"/>
                <w:color w:val="auto"/>
              </w:rPr>
            </w:pPr>
          </w:p>
        </w:tc>
      </w:tr>
      <w:tr>
        <w:trPr>
          <w:trHeight w:val="202"/>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998.7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768.0</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30.0 %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998.6</w:t>
            </w:r>
          </w:p>
        </w:tc>
        <w:tc>
          <w:tcPr>
            <w:tcW w:w="8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2,916.2</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2,046.9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42.5 %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4"/>
                <w:szCs w:val="14"/>
                <w:color w:val="auto"/>
              </w:rPr>
              <w:t>Non-operating income (loss)</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72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w:t>
            </w:r>
          </w:p>
        </w:tc>
        <w:tc>
          <w:tcPr>
            <w:tcW w:w="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5"/>
                <w:szCs w:val="15"/>
                <w:color w:val="auto"/>
              </w:rPr>
              <w:t>n/m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767.6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602.7</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27.4 %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779.0</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2,258.6</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1,596.6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41.5 %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28.2 %</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43.3 %</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Assets under Management </w:t>
            </w:r>
            <w:r>
              <w:rPr>
                <w:rFonts w:ascii="Arial" w:cs="Arial" w:eastAsia="Arial" w:hAnsi="Arial"/>
                <w:sz w:val="14"/>
                <w:szCs w:val="14"/>
                <w:color w:val="auto"/>
              </w:rPr>
              <w:t>(in billions)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Borders>
              <w:left w:val="single" w:sz="8" w:color="auto"/>
            </w:tcBorders>
            <w:gridSpan w:val="4"/>
          </w:tcPr>
          <w:p>
            <w:pPr>
              <w:ind w:left="40"/>
              <w:spacing w:after="0"/>
              <w:rPr>
                <w:sz w:val="20"/>
                <w:szCs w:val="20"/>
                <w:color w:val="auto"/>
              </w:rPr>
            </w:pPr>
            <w:r>
              <w:rPr>
                <w:rFonts w:ascii="Arial" w:cs="Arial" w:eastAsia="Arial" w:hAnsi="Arial"/>
                <w:sz w:val="14"/>
                <w:szCs w:val="14"/>
                <w:color w:val="auto"/>
              </w:rPr>
              <w:t>Average assets under management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1,648.7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1,292.9</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27.5 %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1,585.3</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1,581.3</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1,198.9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31.9 %</w:t>
            </w:r>
          </w:p>
        </w:tc>
        <w:tc>
          <w:tcPr>
            <w:tcW w:w="0" w:type="dxa"/>
            <w:vAlign w:val="bottom"/>
          </w:tcPr>
          <w:p>
            <w:pPr>
              <w:spacing w:after="0"/>
              <w:rPr>
                <w:sz w:val="1"/>
                <w:szCs w:val="1"/>
                <w:color w:val="auto"/>
              </w:rPr>
            </w:pPr>
          </w:p>
        </w:tc>
      </w:tr>
      <w:tr>
        <w:trPr>
          <w:trHeight w:val="203"/>
        </w:trPr>
        <w:tc>
          <w:tcPr>
            <w:tcW w:w="3020" w:type="dxa"/>
            <w:vAlign w:val="bottom"/>
            <w:tcBorders>
              <w:left w:val="single" w:sz="8" w:color="auto"/>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Ending assets under management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1,612.3</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1,310.4</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23.0 %</w:t>
            </w:r>
          </w:p>
        </w:tc>
        <w:tc>
          <w:tcPr>
            <w:tcW w:w="12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1,623.1</w:t>
            </w: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40" w:type="dxa"/>
            <w:vAlign w:val="bottom"/>
            <w:tcBorders>
              <w:bottom w:val="single" w:sz="8" w:color="auto"/>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1,612.3</w:t>
            </w: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1,310.4</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23.0 %</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80" w:right="180" w:hanging="172"/>
        <w:spacing w:after="0" w:line="223" w:lineRule="auto"/>
        <w:tabs>
          <w:tab w:leader="none" w:pos="153"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if any. The firm believes the non-GAAP financial measures provide relevant and meaningful information to investors about its core operating results.See the reconciliation to the comparable U.S. GAAP measures at the end of this earnings release.</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 Commentary</w:t>
      </w:r>
    </w:p>
    <w:p>
      <w:pPr>
        <w:spacing w:after="0" w:line="126" w:lineRule="exact"/>
        <w:rPr>
          <w:sz w:val="20"/>
          <w:szCs w:val="20"/>
          <w:color w:val="auto"/>
        </w:rPr>
      </w:pPr>
    </w:p>
    <w:p>
      <w:pPr>
        <w:ind w:right="40"/>
        <w:spacing w:after="0" w:line="363" w:lineRule="auto"/>
        <w:rPr>
          <w:sz w:val="20"/>
          <w:szCs w:val="20"/>
          <w:color w:val="auto"/>
        </w:rPr>
      </w:pPr>
      <w:r>
        <w:rPr>
          <w:rFonts w:ascii="Arial" w:cs="Arial" w:eastAsia="Arial" w:hAnsi="Arial"/>
          <w:sz w:val="18"/>
          <w:szCs w:val="18"/>
          <w:color w:val="auto"/>
        </w:rPr>
        <w:t>William J. Stromberg, chief executive officer, commented: “Uncertainty returned to the markets in September with the S&amp;P 500 giving back the gains made in July and August. Other major U.S. stock market indexes were mixed in the third quarter while stocks in developed markets outside the U.S. fell slightly. U.S. bonds were largely unchanged with headwinds from rising inflationary pressure and growing expectations for the Federal Reserve to begin its long-awaited tapering process.</w:t>
      </w:r>
    </w:p>
    <w:p>
      <w:pPr>
        <w:spacing w:after="0" w:line="233"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“Despite the September market retreat, higher average AUM levels driven by previous market gains resulted in investment advisory revenues up 23.4%, diluted GAAP EPS up 21.2%, and adjusted non-GAAP EPS up 28.2%. After modest repurchases in Q2, we bought back 1 million shares during Q3, concentrated in September when markets corrected. Also, in addition to our regular dividend, we paid a $3 per share special dividend in July. Even after these capital returns, our balance sheet remains exceptionally strong.</w:t>
      </w:r>
    </w:p>
    <w:p>
      <w:pPr>
        <w:spacing w:after="0" w:line="233" w:lineRule="exact"/>
        <w:rPr>
          <w:sz w:val="20"/>
          <w:szCs w:val="20"/>
          <w:color w:val="auto"/>
        </w:rPr>
      </w:pPr>
    </w:p>
    <w:p>
      <w:pPr>
        <w:ind w:right="260"/>
        <w:spacing w:after="0" w:line="365" w:lineRule="auto"/>
        <w:rPr>
          <w:sz w:val="20"/>
          <w:szCs w:val="20"/>
          <w:color w:val="auto"/>
        </w:rPr>
      </w:pPr>
      <w:r>
        <w:rPr>
          <w:rFonts w:ascii="Arial" w:cs="Arial" w:eastAsia="Arial" w:hAnsi="Arial"/>
          <w:sz w:val="18"/>
          <w:szCs w:val="18"/>
          <w:color w:val="auto"/>
        </w:rPr>
        <w:t>“AUM-weighted investment performance remains strong over five- and ten-year time periods, while near term performance has been more mixed across our equity strategies. We are particularly pleased with the outstanding results of our target date franchise across all time periods.</w:t>
      </w:r>
    </w:p>
    <w:p>
      <w:pPr>
        <w:spacing w:after="0" w:line="230" w:lineRule="exact"/>
        <w:rPr>
          <w:sz w:val="20"/>
          <w:szCs w:val="20"/>
          <w:color w:val="auto"/>
        </w:rPr>
      </w:pPr>
    </w:p>
    <w:p>
      <w:pPr>
        <w:ind w:right="40"/>
        <w:spacing w:after="0" w:line="363" w:lineRule="auto"/>
        <w:rPr>
          <w:sz w:val="20"/>
          <w:szCs w:val="20"/>
          <w:color w:val="auto"/>
        </w:rPr>
      </w:pPr>
      <w:r>
        <w:rPr>
          <w:rFonts w:ascii="Arial" w:cs="Arial" w:eastAsia="Arial" w:hAnsi="Arial"/>
          <w:sz w:val="18"/>
          <w:szCs w:val="18"/>
          <w:color w:val="auto"/>
        </w:rPr>
        <w:t>“Net outflows for the quarter of $6.4 billion were concentrated in our growth oriented strategies, as some investors continue to reposition away from growth after many years of attractive returns. We experienced modest inflows elsewhere, including $0.7 billion into our target date products in Q3. While near-term redemptions continue, we remain confident in the long-term health of the business as seen in positive sales activity and client engagements.</w:t>
      </w:r>
    </w:p>
    <w:p>
      <w:pPr>
        <w:spacing w:after="0" w:line="233" w:lineRule="exact"/>
        <w:rPr>
          <w:sz w:val="20"/>
          <w:szCs w:val="20"/>
          <w:color w:val="auto"/>
        </w:rPr>
      </w:pPr>
    </w:p>
    <w:p>
      <w:pPr>
        <w:ind w:right="380"/>
        <w:spacing w:after="0" w:line="371" w:lineRule="auto"/>
        <w:rPr>
          <w:sz w:val="20"/>
          <w:szCs w:val="20"/>
          <w:color w:val="auto"/>
        </w:rPr>
      </w:pPr>
      <w:r>
        <w:rPr>
          <w:rFonts w:ascii="Arial" w:cs="Arial" w:eastAsia="Arial" w:hAnsi="Arial"/>
          <w:sz w:val="18"/>
          <w:szCs w:val="18"/>
          <w:color w:val="auto"/>
        </w:rPr>
        <w:t>“Strong AUM and revenue growth in 2021 has allowed us to invest in multiple initiatives to bolster long-term investment performance and develop new areas of growth. Highlights from Q3 included:</w:t>
      </w:r>
    </w:p>
    <w:p>
      <w:pPr>
        <w:spacing w:after="0" w:line="265" w:lineRule="exact"/>
        <w:rPr>
          <w:sz w:val="20"/>
          <w:szCs w:val="20"/>
          <w:color w:val="auto"/>
        </w:rPr>
      </w:pPr>
    </w:p>
    <w:p>
      <w:pPr>
        <w:ind w:left="660" w:right="220" w:hanging="328"/>
        <w:spacing w:after="0" w:line="339" w:lineRule="auto"/>
        <w:tabs>
          <w:tab w:leader="none" w:pos="656" w:val="left"/>
        </w:tabs>
        <w:numPr>
          <w:ilvl w:val="0"/>
          <w:numId w:val="25"/>
        </w:numPr>
        <w:rPr>
          <w:rFonts w:ascii="Arial" w:cs="Arial" w:eastAsia="Arial" w:hAnsi="Arial"/>
          <w:sz w:val="22"/>
          <w:szCs w:val="22"/>
          <w:b w:val="1"/>
          <w:bCs w:val="1"/>
          <w:color w:val="40AEFF"/>
        </w:rPr>
      </w:pPr>
      <w:r>
        <w:rPr>
          <w:rFonts w:ascii="Arial" w:cs="Arial" w:eastAsia="Arial" w:hAnsi="Arial"/>
          <w:sz w:val="18"/>
          <w:szCs w:val="18"/>
          <w:color w:val="auto"/>
        </w:rPr>
        <w:t>We announced an effective date of March 7, 2022 for six existing strategies to transition to T. Rowe Price Investment Management (TRPIM), a separate U.S.-based SEC-registered investment adviser. We have completed our targeted research analyst hiring and continue to build and test new systems, processes, and operations to ensure that TRPIM and T. Rowe Price Associates can fully operate as independent investment platforms.</w:t>
      </w:r>
    </w:p>
    <w:p>
      <w:pPr>
        <w:spacing w:after="0" w:line="61" w:lineRule="exact"/>
        <w:rPr>
          <w:rFonts w:ascii="Arial" w:cs="Arial" w:eastAsia="Arial" w:hAnsi="Arial"/>
          <w:sz w:val="22"/>
          <w:szCs w:val="22"/>
          <w:b w:val="1"/>
          <w:bCs w:val="1"/>
          <w:color w:val="40AEFF"/>
        </w:rPr>
      </w:pPr>
    </w:p>
    <w:p>
      <w:pPr>
        <w:ind w:left="660" w:right="640" w:hanging="328"/>
        <w:spacing w:after="0" w:line="321" w:lineRule="auto"/>
        <w:tabs>
          <w:tab w:leader="none" w:pos="656" w:val="left"/>
        </w:tabs>
        <w:numPr>
          <w:ilvl w:val="0"/>
          <w:numId w:val="25"/>
        </w:numPr>
        <w:rPr>
          <w:rFonts w:ascii="Arial" w:cs="Arial" w:eastAsia="Arial" w:hAnsi="Arial"/>
          <w:sz w:val="22"/>
          <w:szCs w:val="22"/>
          <w:b w:val="1"/>
          <w:bCs w:val="1"/>
          <w:color w:val="40AEFF"/>
        </w:rPr>
      </w:pPr>
      <w:r>
        <w:rPr>
          <w:rFonts w:ascii="Arial" w:cs="Arial" w:eastAsia="Arial" w:hAnsi="Arial"/>
          <w:sz w:val="18"/>
          <w:szCs w:val="18"/>
          <w:color w:val="auto"/>
        </w:rPr>
        <w:t>We implemented our expanded partnership with FIS in our retirement recordkeeping business with the shift of associates and responsibilities occurring on August 1.</w:t>
      </w:r>
    </w:p>
    <w:p>
      <w:pPr>
        <w:spacing w:after="0" w:line="59" w:lineRule="exact"/>
        <w:rPr>
          <w:rFonts w:ascii="Arial" w:cs="Arial" w:eastAsia="Arial" w:hAnsi="Arial"/>
          <w:sz w:val="22"/>
          <w:szCs w:val="22"/>
          <w:b w:val="1"/>
          <w:bCs w:val="1"/>
          <w:color w:val="40AEFF"/>
        </w:rPr>
      </w:pPr>
    </w:p>
    <w:p>
      <w:pPr>
        <w:ind w:left="660" w:right="600" w:hanging="328"/>
        <w:spacing w:after="0" w:line="321" w:lineRule="auto"/>
        <w:tabs>
          <w:tab w:leader="none" w:pos="656" w:val="left"/>
        </w:tabs>
        <w:numPr>
          <w:ilvl w:val="0"/>
          <w:numId w:val="25"/>
        </w:numPr>
        <w:rPr>
          <w:rFonts w:ascii="Arial" w:cs="Arial" w:eastAsia="Arial" w:hAnsi="Arial"/>
          <w:sz w:val="22"/>
          <w:szCs w:val="22"/>
          <w:b w:val="1"/>
          <w:bCs w:val="1"/>
          <w:color w:val="40AEFF"/>
        </w:rPr>
      </w:pPr>
      <w:r>
        <w:rPr>
          <w:rFonts w:ascii="Arial" w:cs="Arial" w:eastAsia="Arial" w:hAnsi="Arial"/>
          <w:sz w:val="18"/>
          <w:szCs w:val="18"/>
          <w:color w:val="auto"/>
        </w:rPr>
        <w:t>We launched the Retirement Blend Funds in late July, broadening our range of retirement solutions for clients of all sizes. The previously announced fee reductions across our target date franchise went into effect on July 1.</w:t>
      </w:r>
    </w:p>
    <w:p>
      <w:pPr>
        <w:spacing w:after="0" w:line="59" w:lineRule="exact"/>
        <w:rPr>
          <w:rFonts w:ascii="Arial" w:cs="Arial" w:eastAsia="Arial" w:hAnsi="Arial"/>
          <w:sz w:val="22"/>
          <w:szCs w:val="22"/>
          <w:b w:val="1"/>
          <w:bCs w:val="1"/>
          <w:color w:val="40AEFF"/>
        </w:rPr>
      </w:pPr>
    </w:p>
    <w:p>
      <w:pPr>
        <w:ind w:left="660" w:right="80" w:hanging="328"/>
        <w:spacing w:after="0" w:line="333" w:lineRule="auto"/>
        <w:tabs>
          <w:tab w:leader="none" w:pos="656" w:val="left"/>
        </w:tabs>
        <w:numPr>
          <w:ilvl w:val="0"/>
          <w:numId w:val="25"/>
        </w:numPr>
        <w:rPr>
          <w:rFonts w:ascii="Arial" w:cs="Arial" w:eastAsia="Arial" w:hAnsi="Arial"/>
          <w:sz w:val="22"/>
          <w:szCs w:val="22"/>
          <w:b w:val="1"/>
          <w:bCs w:val="1"/>
          <w:color w:val="40AEFF"/>
        </w:rPr>
      </w:pPr>
      <w:r>
        <w:rPr>
          <w:rFonts w:ascii="Arial" w:cs="Arial" w:eastAsia="Arial" w:hAnsi="Arial"/>
          <w:sz w:val="18"/>
          <w:szCs w:val="18"/>
          <w:color w:val="auto"/>
        </w:rPr>
        <w:t>We launched three new active fixed income exchange-traded funds (ETFs), expanding the firm’s active ETF roster to eight. The new ETFs are core fixed income strategies that can serve as building blocks for client portfolios.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2" w:right="339" w:bottom="1440" w:gutter="0" w:footer="0" w:header="0"/>
        </w:sectPr>
      </w:pPr>
    </w:p>
    <w:bookmarkStart w:id="47" w:name="page48"/>
    <w:bookmarkEnd w:id="47"/>
    <w:p>
      <w:pPr>
        <w:jc w:val="both"/>
        <w:ind w:right="180"/>
        <w:spacing w:after="0" w:line="365" w:lineRule="auto"/>
        <w:rPr>
          <w:sz w:val="20"/>
          <w:szCs w:val="20"/>
          <w:color w:val="auto"/>
        </w:rPr>
      </w:pPr>
      <w:r>
        <w:rPr>
          <w:rFonts w:ascii="Arial" w:cs="Arial" w:eastAsia="Arial" w:hAnsi="Arial"/>
          <w:sz w:val="18"/>
          <w:szCs w:val="18"/>
          <w:color w:val="auto"/>
        </w:rPr>
        <w:t>“Our associates returned to our offices in many of our global locations during Q3 and this will continue gradually in the U.S. during Q4. Our associates worked successfully from home over the last 19 months. We feel we are at our best, though, when we are together, and we look forward to reconvening in the coming weeks and continuing our work on behalf of our clients.</w:t>
      </w:r>
    </w:p>
    <w:p>
      <w:pPr>
        <w:spacing w:after="0" w:line="230" w:lineRule="exact"/>
        <w:rPr>
          <w:sz w:val="20"/>
          <w:szCs w:val="20"/>
          <w:color w:val="auto"/>
        </w:rPr>
      </w:pPr>
    </w:p>
    <w:p>
      <w:pPr>
        <w:ind w:right="200"/>
        <w:spacing w:after="0" w:line="365" w:lineRule="auto"/>
        <w:rPr>
          <w:sz w:val="20"/>
          <w:szCs w:val="20"/>
          <w:color w:val="auto"/>
        </w:rPr>
      </w:pPr>
      <w:r>
        <w:rPr>
          <w:rFonts w:ascii="Arial" w:cs="Arial" w:eastAsia="Arial" w:hAnsi="Arial"/>
          <w:sz w:val="18"/>
          <w:szCs w:val="18"/>
          <w:color w:val="auto"/>
        </w:rPr>
        <w:t>“Today we announced the next phase of our growth strategy to broaden our investment capabilities and advance our business. We have agreed to purchase Oak Hill Advisors, L.P. (OHA), a leading alternative credit manager, which we believe will accelerate our expansion into alternative investment markets.</w:t>
      </w:r>
    </w:p>
    <w:p>
      <w:pPr>
        <w:spacing w:after="0" w:line="230" w:lineRule="exact"/>
        <w:rPr>
          <w:sz w:val="20"/>
          <w:szCs w:val="20"/>
          <w:color w:val="auto"/>
        </w:rPr>
      </w:pPr>
    </w:p>
    <w:p>
      <w:pPr>
        <w:ind w:right="100"/>
        <w:spacing w:after="0" w:line="371" w:lineRule="auto"/>
        <w:rPr>
          <w:sz w:val="20"/>
          <w:szCs w:val="20"/>
          <w:color w:val="auto"/>
        </w:rPr>
      </w:pPr>
      <w:r>
        <w:rPr>
          <w:rFonts w:ascii="Arial" w:cs="Arial" w:eastAsia="Arial" w:hAnsi="Arial"/>
          <w:sz w:val="18"/>
          <w:szCs w:val="18"/>
          <w:color w:val="auto"/>
        </w:rPr>
        <w:t>“T. Rowe Price and OHA bring together similar cultures with shared values, including a focus on investment performance and integrity. We look forward to welcoming our new colleagues from OHA and working with them as we continue to help clients meet their investment goals."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6" w:lineRule="exact"/>
        <w:rPr>
          <w:sz w:val="20"/>
          <w:szCs w:val="20"/>
          <w:color w:val="auto"/>
        </w:rPr>
      </w:pPr>
    </w:p>
    <w:p>
      <w:pPr>
        <w:ind w:right="80"/>
        <w:spacing w:after="0" w:line="365" w:lineRule="auto"/>
        <w:rPr>
          <w:sz w:val="20"/>
          <w:szCs w:val="20"/>
          <w:color w:val="auto"/>
        </w:rPr>
      </w:pPr>
      <w:r>
        <w:rPr>
          <w:rFonts w:ascii="Arial" w:cs="Arial" w:eastAsia="Arial" w:hAnsi="Arial"/>
          <w:sz w:val="18"/>
          <w:szCs w:val="18"/>
          <w:color w:val="auto"/>
        </w:rPr>
        <w:t>T. Rowe Price will host a live audio webcast today at 9:00 am eastern time to discuss the acquisition. Access to the webcast will be available via the firm's Investor Relations website at troweprice.gcs-web.com/events. A replay will be available shortly after the conclusion of the meeting and archived online for a period of one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Q3 2021, assets under management decreased $10.8 billion to $1.61 trillion. Net cash outflows were</w:t>
      </w:r>
    </w:p>
    <w:p>
      <w:pPr>
        <w:spacing w:after="0" w:line="104" w:lineRule="exact"/>
        <w:rPr>
          <w:sz w:val="20"/>
          <w:szCs w:val="20"/>
          <w:color w:val="auto"/>
        </w:rPr>
      </w:pPr>
    </w:p>
    <w:p>
      <w:pPr>
        <w:ind w:right="400"/>
        <w:spacing w:after="0" w:line="365" w:lineRule="auto"/>
        <w:rPr>
          <w:sz w:val="20"/>
          <w:szCs w:val="20"/>
          <w:color w:val="auto"/>
        </w:rPr>
      </w:pPr>
      <w:r>
        <w:rPr>
          <w:rFonts w:ascii="Arial" w:cs="Arial" w:eastAsia="Arial" w:hAnsi="Arial"/>
          <w:sz w:val="18"/>
          <w:szCs w:val="18"/>
          <w:color w:val="auto"/>
        </w:rPr>
        <w:t>$6.4 billion, and clients transferred $3.6 billion in net assets from the U.S. mutual funds primarily to collective investment trusts and other investment products, of which $1.9 billion transferred into the retirement date trusts. The components of the change in assets under management, by vehicle and asset class, are shown in the tables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4"/>
                <w:szCs w:val="14"/>
                <w:color w:val="auto"/>
              </w:rPr>
              <w:t>Three months ended 9/30/2021</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4"/>
                <w:szCs w:val="14"/>
                <w:color w:val="auto"/>
              </w:rPr>
              <w:t>Nine months ended 9/30/2021</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Subadvised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Collective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Subadvised</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rPr>
              <w:t>Collective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U.S.</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funds and</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rPr>
              <w:t>trusts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funds and</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rPr>
              <w:t>trusts and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mutual</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rPr>
              <w:t>separate</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1"/>
                <w:szCs w:val="11"/>
                <w:color w:val="auto"/>
              </w:rPr>
            </w:pPr>
          </w:p>
        </w:tc>
        <w:tc>
          <w:tcPr>
            <w:tcW w:w="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9"/>
              </w:rPr>
              <w:t>mutual</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separate</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1"/>
                <w:szCs w:val="11"/>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rPr>
              <w:t>funds</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rPr>
              <w:t>accounts</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rPr>
              <w:t>products</w:t>
            </w:r>
          </w:p>
        </w:tc>
        <w:tc>
          <w:tcPr>
            <w:tcW w:w="20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funds</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accounts</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1,623.1</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2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7"/>
        </w:trPr>
        <w:tc>
          <w:tcPr>
            <w:tcW w:w="2740" w:type="dxa"/>
            <w:vAlign w:val="bottom"/>
          </w:tcPr>
          <w:p>
            <w:pPr>
              <w:ind w:left="20"/>
              <w:spacing w:after="0" w:line="178" w:lineRule="exact"/>
              <w:rPr>
                <w:sz w:val="20"/>
                <w:szCs w:val="20"/>
                <w:color w:val="auto"/>
              </w:rPr>
            </w:pPr>
            <w:r>
              <w:rPr>
                <w:rFonts w:ascii="Arial" w:cs="Arial" w:eastAsia="Arial" w:hAnsi="Arial"/>
                <w:sz w:val="16"/>
                <w:szCs w:val="16"/>
                <w:color w:val="auto"/>
              </w:rPr>
              <w:t>Net market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Arial" w:cs="Arial" w:eastAsia="Arial" w:hAnsi="Arial"/>
                <w:sz w:val="16"/>
                <w:szCs w:val="16"/>
                <w:color w:val="auto"/>
              </w:rPr>
              <w:t>(depreciation)/appreciation and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6"/>
                <w:szCs w:val="16"/>
                <w:color w:val="auto"/>
              </w:rPr>
              <w:t>(losses)/gains</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1"/>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177"/>
        </w:trPr>
        <w:tc>
          <w:tcPr>
            <w:tcW w:w="2740" w:type="dxa"/>
            <w:vAlign w:val="bottom"/>
            <w:tcBorders>
              <w:top w:val="single" w:sz="8" w:color="CCEEFF"/>
            </w:tcBorders>
          </w:tcPr>
          <w:p>
            <w:pPr>
              <w:ind w:left="20"/>
              <w:spacing w:after="0" w:line="178" w:lineRule="exact"/>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861.0</w:t>
            </w: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420.8</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330.5</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1,612.3</w:t>
            </w:r>
          </w:p>
        </w:tc>
        <w:tc>
          <w:tcPr>
            <w:tcW w:w="140" w:type="dxa"/>
            <w:vAlign w:val="bottom"/>
            <w:tcBorders>
              <w:top w:val="single" w:sz="8" w:color="CCEEFF"/>
              <w:right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861.0</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420.8</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330.5</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1,612.3</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line="174" w:lineRule="exact"/>
              <w:rPr>
                <w:sz w:val="20"/>
                <w:szCs w:val="20"/>
                <w:color w:val="auto"/>
              </w:rPr>
            </w:pPr>
            <w:r>
              <w:rPr>
                <w:rFonts w:ascii="Arial" w:cs="Arial" w:eastAsia="Arial" w:hAnsi="Arial"/>
                <w:sz w:val="16"/>
                <w:szCs w:val="16"/>
                <w:color w:val="auto"/>
              </w:rPr>
              <w:t>September 30, 2021</w:t>
            </w: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8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9"/>
        </w:trPr>
        <w:tc>
          <w:tcPr>
            <w:tcW w:w="27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5"/>
            <w:shd w:val="clear" w:color="auto" w:fill="CCEEFF"/>
          </w:tcPr>
          <w:p>
            <w:pPr>
              <w:jc w:val="right"/>
              <w:ind w:right="180"/>
              <w:spacing w:after="0"/>
              <w:rPr>
                <w:sz w:val="20"/>
                <w:szCs w:val="20"/>
                <w:color w:val="auto"/>
              </w:rPr>
            </w:pPr>
            <w:r>
              <w:rPr>
                <w:rFonts w:ascii="Arial" w:cs="Arial" w:eastAsia="Arial" w:hAnsi="Arial"/>
                <w:sz w:val="14"/>
                <w:szCs w:val="14"/>
                <w:color w:val="auto"/>
              </w:rPr>
              <w:t>Three months ended 9/30/2021</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4"/>
                <w:szCs w:val="14"/>
                <w:color w:val="auto"/>
              </w:rPr>
              <w:t>Nine months ended 9/30/2021</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rPr>
              <w:t>Fixed income,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rPr>
              <w:t>Fixed income,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rPr>
              <w:t>including</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color w:val="auto"/>
              </w:rPr>
              <w:t>Multi-asset</w:t>
            </w:r>
            <w:r>
              <w:rPr>
                <w:rFonts w:ascii="Arial" w:cs="Arial" w:eastAsia="Arial" w:hAnsi="Arial"/>
                <w:sz w:val="18"/>
                <w:szCs w:val="18"/>
                <w:color w:val="auto"/>
                <w:vertAlign w:val="superscript"/>
              </w:rPr>
              <w:t>(1)</w:t>
            </w: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color w:val="auto"/>
              </w:rPr>
              <w:t>Equity</w:t>
            </w: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including money</w:t>
            </w:r>
          </w:p>
        </w:tc>
        <w:tc>
          <w:tcPr>
            <w:tcW w:w="1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rPr>
              <w:t>Multi-asset</w:t>
            </w:r>
            <w:r>
              <w:rPr>
                <w:rFonts w:ascii="Arial" w:cs="Arial" w:eastAsia="Arial" w:hAnsi="Arial"/>
                <w:sz w:val="18"/>
                <w:szCs w:val="18"/>
                <w:color w:val="auto"/>
                <w:vertAlign w:val="superscript"/>
              </w:rPr>
              <w:t>(1)</w:t>
            </w:r>
          </w:p>
        </w:tc>
        <w:tc>
          <w:tcPr>
            <w:tcW w:w="180" w:type="dxa"/>
            <w:vAlign w:val="bottom"/>
          </w:tcPr>
          <w:p>
            <w:pPr>
              <w:spacing w:after="0"/>
              <w:rPr>
                <w:sz w:val="11"/>
                <w:szCs w:val="11"/>
                <w:color w:val="auto"/>
              </w:rPr>
            </w:pPr>
          </w:p>
        </w:tc>
        <w:tc>
          <w:tcPr>
            <w:tcW w:w="700" w:type="dxa"/>
            <w:vAlign w:val="bottom"/>
            <w:vMerge w:val="restart"/>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2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color w:val="auto"/>
              </w:rPr>
              <w:t>money market</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rPr>
              <w:t>market</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459.3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1,623.1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895.8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1,470.5</w:t>
            </w:r>
          </w:p>
        </w:tc>
        <w:tc>
          <w:tcPr>
            <w:tcW w:w="0" w:type="dxa"/>
            <w:vAlign w:val="bottom"/>
          </w:tcPr>
          <w:p>
            <w:pPr>
              <w:spacing w:after="0"/>
              <w:rPr>
                <w:sz w:val="1"/>
                <w:szCs w:val="1"/>
                <w:color w:val="auto"/>
              </w:rPr>
            </w:pPr>
          </w:p>
        </w:tc>
      </w:tr>
      <w:tr>
        <w:trPr>
          <w:trHeight w:val="91"/>
        </w:trPr>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7"/>
        </w:trPr>
        <w:tc>
          <w:tcPr>
            <w:tcW w:w="2760" w:type="dxa"/>
            <w:vAlign w:val="bottom"/>
          </w:tcPr>
          <w:p>
            <w:pPr>
              <w:ind w:left="20"/>
              <w:spacing w:after="0" w:line="178" w:lineRule="exact"/>
              <w:rPr>
                <w:sz w:val="20"/>
                <w:szCs w:val="20"/>
                <w:color w:val="auto"/>
              </w:rPr>
            </w:pPr>
            <w:r>
              <w:rPr>
                <w:rFonts w:ascii="Arial" w:cs="Arial" w:eastAsia="Arial" w:hAnsi="Arial"/>
                <w:sz w:val="16"/>
                <w:szCs w:val="16"/>
                <w:color w:val="auto"/>
              </w:rPr>
              <w:t>Net market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760" w:type="dxa"/>
            <w:vAlign w:val="bottom"/>
          </w:tcPr>
          <w:p>
            <w:pPr>
              <w:ind w:left="20"/>
              <w:spacing w:after="0" w:line="147" w:lineRule="exact"/>
              <w:rPr>
                <w:sz w:val="20"/>
                <w:szCs w:val="20"/>
                <w:color w:val="auto"/>
              </w:rPr>
            </w:pPr>
            <w:r>
              <w:rPr>
                <w:rFonts w:ascii="Arial" w:cs="Arial" w:eastAsia="Arial" w:hAnsi="Arial"/>
                <w:sz w:val="16"/>
                <w:szCs w:val="16"/>
                <w:color w:val="auto"/>
              </w:rPr>
              <w:t>(depreciation)/appreciation and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(losses)/gains</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157"/>
        </w:trPr>
        <w:tc>
          <w:tcPr>
            <w:tcW w:w="2760" w:type="dxa"/>
            <w:vAlign w:val="bottom"/>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974.7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456.9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1,612.3</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974.7</w:t>
            </w:r>
          </w:p>
        </w:tc>
        <w:tc>
          <w:tcPr>
            <w:tcW w:w="10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456.9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1,612.3</w:t>
            </w:r>
          </w:p>
        </w:tc>
        <w:tc>
          <w:tcPr>
            <w:tcW w:w="0" w:type="dxa"/>
            <w:vAlign w:val="bottom"/>
          </w:tcPr>
          <w:p>
            <w:pPr>
              <w:spacing w:after="0"/>
              <w:rPr>
                <w:sz w:val="1"/>
                <w:szCs w:val="1"/>
                <w:color w:val="auto"/>
              </w:rPr>
            </w:pPr>
          </w:p>
        </w:tc>
      </w:tr>
      <w:tr>
        <w:trPr>
          <w:trHeight w:val="219"/>
        </w:trPr>
        <w:tc>
          <w:tcPr>
            <w:tcW w:w="2760" w:type="dxa"/>
            <w:vAlign w:val="bottom"/>
          </w:tcPr>
          <w:p>
            <w:pPr>
              <w:ind w:left="20"/>
              <w:spacing w:after="0" w:line="174" w:lineRule="exact"/>
              <w:rPr>
                <w:sz w:val="20"/>
                <w:szCs w:val="20"/>
                <w:color w:val="auto"/>
              </w:rPr>
            </w:pPr>
            <w:r>
              <w:rPr>
                <w:rFonts w:ascii="Arial" w:cs="Arial" w:eastAsia="Arial" w:hAnsi="Arial"/>
                <w:sz w:val="16"/>
                <w:szCs w:val="16"/>
                <w:color w:val="auto"/>
              </w:rPr>
              <w:t>September 30, 2021</w:t>
            </w:r>
          </w:p>
        </w:tc>
        <w:tc>
          <w:tcPr>
            <w:tcW w:w="1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ind w:left="140" w:hanging="132"/>
        <w:spacing w:after="0" w:line="198" w:lineRule="auto"/>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42" w:lineRule="exact"/>
        <w:rPr>
          <w:sz w:val="20"/>
          <w:szCs w:val="20"/>
          <w:color w:val="auto"/>
        </w:rPr>
      </w:pPr>
    </w:p>
    <w:p>
      <w:pPr>
        <w:ind w:right="440"/>
        <w:spacing w:after="0" w:line="360"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$377.7 billion at September 30, 2021, compared with $379.2 billion at</w:t>
      </w:r>
    </w:p>
    <w:p>
      <w:pPr>
        <w:ind w:right="40"/>
        <w:spacing w:after="0" w:line="371" w:lineRule="auto"/>
        <w:rPr>
          <w:sz w:val="20"/>
          <w:szCs w:val="20"/>
          <w:color w:val="auto"/>
        </w:rPr>
      </w:pPr>
      <w:r>
        <w:rPr>
          <w:rFonts w:ascii="Arial" w:cs="Arial" w:eastAsia="Arial" w:hAnsi="Arial"/>
          <w:sz w:val="18"/>
          <w:szCs w:val="18"/>
          <w:color w:val="auto"/>
        </w:rPr>
        <w:t>June 30, 2021 and $332.2 billion at December 31, 2020. Net cash flows into these portfolios were $.7 billion for Q3 2021 and $12.7 billion for YTD 2021.</w:t>
      </w:r>
    </w:p>
    <w:p>
      <w:pPr>
        <w:spacing w:after="0" w:line="224" w:lineRule="exact"/>
        <w:rPr>
          <w:sz w:val="20"/>
          <w:szCs w:val="20"/>
          <w:color w:val="auto"/>
        </w:rPr>
      </w:pPr>
    </w:p>
    <w:p>
      <w:pPr>
        <w:ind w:right="280"/>
        <w:spacing w:after="0" w:line="371" w:lineRule="auto"/>
        <w:rPr>
          <w:sz w:val="20"/>
          <w:szCs w:val="20"/>
          <w:color w:val="auto"/>
        </w:rPr>
      </w:pPr>
      <w:r>
        <w:rPr>
          <w:rFonts w:ascii="Arial" w:cs="Arial" w:eastAsia="Arial" w:hAnsi="Arial"/>
          <w:sz w:val="18"/>
          <w:szCs w:val="18"/>
          <w:color w:val="auto"/>
        </w:rPr>
        <w:t>Investors domiciled outside the United States accounted for 8.8% of the firm's assets under management at September 30, 2021, 9.0% at June 30, 2021, and 9.3% at December 31, 2020.</w:t>
      </w:r>
    </w:p>
    <w:p>
      <w:pPr>
        <w:spacing w:after="0" w:line="224" w:lineRule="exact"/>
        <w:rPr>
          <w:sz w:val="20"/>
          <w:szCs w:val="20"/>
          <w:color w:val="auto"/>
        </w:rPr>
      </w:pPr>
    </w:p>
    <w:p>
      <w:pPr>
        <w:ind w:right="80"/>
        <w:spacing w:after="0" w:line="360" w:lineRule="auto"/>
        <w:rPr>
          <w:sz w:val="20"/>
          <w:szCs w:val="20"/>
          <w:color w:val="auto"/>
        </w:rPr>
      </w:pPr>
      <w:r>
        <w:rPr>
          <w:rFonts w:ascii="Arial" w:cs="Arial" w:eastAsia="Arial" w:hAnsi="Arial"/>
          <w:sz w:val="18"/>
          <w:szCs w:val="18"/>
          <w:color w:val="auto"/>
        </w:rPr>
        <w:t>The firm provides participant accounting and plan administration for defined contribution retirement plans that invest in the firm's U.S. mutual funds and collective investment trusts, as well as funds outside of the firm's complex. As of</w:t>
      </w:r>
    </w:p>
    <w:p>
      <w:pPr>
        <w:spacing w:after="0"/>
        <w:rPr>
          <w:sz w:val="20"/>
          <w:szCs w:val="20"/>
          <w:color w:val="auto"/>
        </w:rPr>
      </w:pPr>
      <w:r>
        <w:rPr>
          <w:rFonts w:ascii="Arial" w:cs="Arial" w:eastAsia="Arial" w:hAnsi="Arial"/>
          <w:sz w:val="18"/>
          <w:szCs w:val="18"/>
          <w:color w:val="auto"/>
        </w:rPr>
        <w:t>September 30, 2021, the firm's assets under administration were $260 billion, of which nearly $173 billion are assets we manage.</w:t>
      </w:r>
    </w:p>
    <w:p>
      <w:pPr>
        <w:spacing w:after="0" w:line="347" w:lineRule="exact"/>
        <w:rPr>
          <w:sz w:val="20"/>
          <w:szCs w:val="20"/>
          <w:color w:val="auto"/>
        </w:rPr>
      </w:pPr>
    </w:p>
    <w:p>
      <w:pPr>
        <w:jc w:val="both"/>
        <w:ind w:right="140"/>
        <w:spacing w:after="0" w:line="365" w:lineRule="auto"/>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 implement. The firm records the revenue earned on these services in administrative fees. The assets under advisement in these portfolios, predominantly in the United States, were $8 billion at September 30,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71" w:lineRule="exact"/>
        <w:rPr>
          <w:sz w:val="20"/>
          <w:szCs w:val="20"/>
          <w:color w:val="auto"/>
        </w:rPr>
      </w:pPr>
    </w:p>
    <w:p>
      <w:pPr>
        <w:ind w:right="140"/>
        <w:spacing w:after="0" w:line="37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Q3 2021 were $2.0 billion, an increase of 22.5% from Q3 2020. Average assets under management in Q3 2021</w:t>
      </w:r>
      <w:r>
        <w:rPr>
          <w:rFonts w:ascii="Arial" w:cs="Arial" w:eastAsia="Arial" w:hAnsi="Arial"/>
          <w:sz w:val="18"/>
          <w:szCs w:val="18"/>
          <w:b w:val="1"/>
          <w:bCs w:val="1"/>
          <w:color w:val="auto"/>
        </w:rPr>
        <w:t xml:space="preserve"> </w:t>
      </w:r>
      <w:r>
        <w:rPr>
          <w:rFonts w:ascii="Arial" w:cs="Arial" w:eastAsia="Arial" w:hAnsi="Arial"/>
          <w:sz w:val="18"/>
          <w:szCs w:val="18"/>
          <w:color w:val="auto"/>
        </w:rPr>
        <w:t>were $1.65 trillion, an increase of 27.5% from Q3 2020. The firm voluntarily waived money market advisory fees in Q3 2021 of $13.7 million to continue to maintain positive yields for investors. The firm anticipates that the waivers in Q4 2021 will be at a similar level to Q3 2021 and expects to continue to waive fees into 2022.</w:t>
      </w:r>
    </w:p>
    <w:p>
      <w:pPr>
        <w:spacing w:after="0" w:line="129" w:lineRule="exact"/>
        <w:rPr>
          <w:sz w:val="20"/>
          <w:szCs w:val="20"/>
          <w:color w:val="auto"/>
        </w:rPr>
      </w:pPr>
    </w:p>
    <w:p>
      <w:pPr>
        <w:ind w:left="660" w:right="160" w:hanging="328"/>
        <w:spacing w:after="0" w:line="333"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Investment advisory revenues earned in Q3 2021 from the firm's U.S. mutual funds were $1.1 billion, an increase of 19.8% from Q3 2020. Average assets under management in these funds increased 24.3% to $881.0 billion in Q3 2021 from Q3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52" w:right="339" w:bottom="1440" w:gutter="0" w:footer="0" w:header="0"/>
        </w:sectPr>
      </w:pPr>
    </w:p>
    <w:bookmarkStart w:id="49" w:name="page50"/>
    <w:bookmarkEnd w:id="49"/>
    <w:p>
      <w:pPr>
        <w:ind w:left="660" w:right="120" w:hanging="328"/>
        <w:spacing w:after="0" w:line="336" w:lineRule="auto"/>
        <w:tabs>
          <w:tab w:leader="none" w:pos="65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Investment advisory revenues earned in Q3 2021 from subadvised funds, separate accounts, collective investment trusts and other investment products were $687.9 million, an increase of 29.8% from Q3 2020. Average assets under management for these products increased 31.4% to $767.7 billion in Q3 2021 from Q3 2020.</w:t>
      </w:r>
    </w:p>
    <w:p>
      <w:pPr>
        <w:spacing w:after="0" w:line="294" w:lineRule="exact"/>
        <w:rPr>
          <w:rFonts w:ascii="Arial" w:cs="Arial" w:eastAsia="Arial" w:hAnsi="Arial"/>
          <w:sz w:val="22"/>
          <w:szCs w:val="22"/>
          <w:color w:val="40AEFF"/>
        </w:rPr>
      </w:pPr>
    </w:p>
    <w:p>
      <w:pPr>
        <w:ind w:left="660" w:hanging="328"/>
        <w:spacing w:after="0" w:line="351" w:lineRule="auto"/>
        <w:tabs>
          <w:tab w:leader="none" w:pos="65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The annualized effective fee rate of 43.6 basis points in Q3 2021 was down from 45.2 basis points earned in both Q2 2021 and Q3 2020. In comparison to Q2 2021, the decrease is primarily due to the July 2021 fee reductions in the firm's target-date products. In comparison to Q3 2020, the annualized effective fee rate was also impacted by client transfers to lower fee vehicles or share classes within the complex over the last twelve months and money market fee waivers. These fee pressures were partially offset as higher market valuations led to an asset class shift towards equity strategies. Over time, the firm's effective fee rate can be impacted by market or cash flow related shifts among asset and share classes, price changes in existing products, and asset level changes in products with tiered-fee structures.</w:t>
      </w:r>
    </w:p>
    <w:p>
      <w:pPr>
        <w:spacing w:after="0" w:line="284" w:lineRule="exact"/>
        <w:rPr>
          <w:rFonts w:ascii="Arial" w:cs="Arial" w:eastAsia="Arial" w:hAnsi="Arial"/>
          <w:sz w:val="22"/>
          <w:szCs w:val="22"/>
          <w:color w:val="40AEFF"/>
        </w:rPr>
      </w:pPr>
    </w:p>
    <w:p>
      <w:pPr>
        <w:ind w:left="660" w:right="20" w:hanging="328"/>
        <w:spacing w:after="0" w:line="343" w:lineRule="auto"/>
        <w:tabs>
          <w:tab w:leader="none" w:pos="65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Q3 2021 were $140.7 million, an increase of 11.2% from Q3 2020. The increase was primarily attributable to higher transfer agent servicing activities provided to the T. Rowe Price mutual funds, higher model delivery revenue, as well as higher 12b-1 revenue earned on the Advisor and R share classes of the U.S. mutual funds as a result of increased assets under management in these share classes.</w:t>
      </w:r>
    </w:p>
    <w:p>
      <w:pPr>
        <w:spacing w:after="0" w:line="228" w:lineRule="exact"/>
        <w:rPr>
          <w:sz w:val="20"/>
          <w:szCs w:val="20"/>
          <w:color w:val="auto"/>
        </w:rPr>
      </w:pPr>
    </w:p>
    <w:p>
      <w:pPr>
        <w:ind w:right="20"/>
        <w:spacing w:after="0" w:line="36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Q3 2021 were $957.9 million, an increase of 10.5% compared to Q3 2020. The increase in the firm's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from Q3 2020 was primarily due to higher compensation costs and higher distribution and servicing costs as average assets under management increased over the prior year. Also contributing to the increase in operating expenses during the quarter were costs incurred as FIS began providing technology development and core operations for our full-service recordkeeping offering on August 1, 2021. During the quarter, the firm incurred recordkeeping costs, which were partially offset by a reduction in the compensation expenses related to the approximately 800 associates who transitioned to FIS, as well as transition costs associated with the expanded relationship.</w:t>
      </w:r>
    </w:p>
    <w:p>
      <w:pPr>
        <w:spacing w:after="0" w:line="229"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These increases were partially offset by lower compensation expenses related to the supplemental savings plan. The lower supplemental savings plan-related expenses in the Q3 2021 were entirely offset by the non-operating gains earned on the investments used to economically hedge the related liability.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the firm's operating expenses in Q3 2021 were $957.2 million, a 15.3% increase over</w:t>
      </w:r>
    </w:p>
    <w:p>
      <w:pPr>
        <w:spacing w:after="0" w:line="104" w:lineRule="exact"/>
        <w:rPr>
          <w:sz w:val="20"/>
          <w:szCs w:val="20"/>
          <w:color w:val="auto"/>
        </w:rPr>
      </w:pPr>
    </w:p>
    <w:p>
      <w:pPr>
        <w:ind w:right="560"/>
        <w:spacing w:after="0" w:line="371" w:lineRule="auto"/>
        <w:rPr>
          <w:sz w:val="20"/>
          <w:szCs w:val="20"/>
          <w:color w:val="auto"/>
        </w:rPr>
      </w:pPr>
      <w:r>
        <w:rPr>
          <w:rFonts w:ascii="Arial" w:cs="Arial" w:eastAsia="Arial" w:hAnsi="Arial"/>
          <w:sz w:val="18"/>
          <w:szCs w:val="18"/>
          <w:color w:val="auto"/>
        </w:rPr>
        <w:t>Q3 2020. The firm's non-GAAP operating expenses exclude the impact of the supplemental savings plan and consolidated sponsored products.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21" w:right="379" w:bottom="1440" w:gutter="0" w:footer="0" w:header="0"/>
        </w:sectPr>
      </w:pPr>
    </w:p>
    <w:bookmarkStart w:id="50" w:name="page51"/>
    <w:bookmarkEnd w:id="50"/>
    <w:p>
      <w:pPr>
        <w:ind w:left="328" w:right="40" w:hanging="328"/>
        <w:spacing w:after="0" w:line="356" w:lineRule="auto"/>
        <w:tabs>
          <w:tab w:leader="none" w:pos="324"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on a GAAP basis were $564.6 million in Q3 2021, an increase of 2.2% compared to Q3 2020. On</w:t>
      </w:r>
      <w:r>
        <w:rPr>
          <w:rFonts w:ascii="Arial" w:cs="Arial" w:eastAsia="Arial" w:hAnsi="Arial"/>
          <w:sz w:val="18"/>
          <w:szCs w:val="18"/>
          <w:b w:val="1"/>
          <w:bCs w:val="1"/>
          <w:color w:val="auto"/>
        </w:rPr>
        <w:t xml:space="preserve"> </w:t>
      </w:r>
      <w:r>
        <w:rPr>
          <w:rFonts w:ascii="Arial" w:cs="Arial" w:eastAsia="Arial" w:hAnsi="Arial"/>
          <w:sz w:val="18"/>
          <w:szCs w:val="18"/>
          <w:color w:val="auto"/>
        </w:rPr>
        <w:t>a non-GAAP basis, compensation and related costs were $564.9 million in Q3 2021, an increase of 9.1% compared to Q3 2020. These increases were primarily related to a higher interim bonus accrual, which is based on a higher revenue forecast in 2021, and higher salaries and benefits, primarily due to modest increases in base salaries at the beginning of the year, and an increase in the firm's average staff size before the transition of approximately 800 T. Rowe Price operations and technology associates to FIS on August 1, 2021. These increases in compensation and related costs were partially offset by a $35.0 million decrease in compensation expense related to the supplemental savings plan, as the plan experienced market losses in Q3 2021 as compared to market gains in Q3 2020. The firm employed 7,124 associates at September 30, 2021, a decrease of 7.2% from the end of 2020 and 6.7% from September 30, 2020.</w:t>
      </w:r>
    </w:p>
    <w:p>
      <w:pPr>
        <w:spacing w:after="0" w:line="241" w:lineRule="exact"/>
        <w:rPr>
          <w:rFonts w:ascii="Arial" w:cs="Arial" w:eastAsia="Arial" w:hAnsi="Arial"/>
          <w:sz w:val="22"/>
          <w:szCs w:val="22"/>
          <w:color w:val="40AEFF"/>
        </w:rPr>
      </w:pPr>
    </w:p>
    <w:p>
      <w:pPr>
        <w:ind w:left="328" w:right="200"/>
        <w:spacing w:after="0" w:line="365" w:lineRule="auto"/>
        <w:rPr>
          <w:rFonts w:ascii="Arial" w:cs="Arial" w:eastAsia="Arial" w:hAnsi="Arial"/>
          <w:sz w:val="22"/>
          <w:szCs w:val="22"/>
          <w:color w:val="40AEFF"/>
        </w:rPr>
      </w:pPr>
      <w:r>
        <w:rPr>
          <w:rFonts w:ascii="Arial" w:cs="Arial" w:eastAsia="Arial" w:hAnsi="Arial"/>
          <w:sz w:val="18"/>
          <w:szCs w:val="18"/>
          <w:color w:val="auto"/>
        </w:rPr>
        <w:t>The increases in GAAP compensation and related costs were partially offset by a $35.0 million decrease in compensation expense related to the supplemental savings plan, as the plan experienced market losses in Q3 2021 as compared to market gains in Q3 2020.</w:t>
      </w:r>
    </w:p>
    <w:p>
      <w:pPr>
        <w:spacing w:after="0" w:line="234" w:lineRule="exact"/>
        <w:rPr>
          <w:rFonts w:ascii="Arial" w:cs="Arial" w:eastAsia="Arial" w:hAnsi="Arial"/>
          <w:sz w:val="22"/>
          <w:szCs w:val="22"/>
          <w:color w:val="40AEFF"/>
        </w:rPr>
      </w:pPr>
    </w:p>
    <w:p>
      <w:pPr>
        <w:ind w:left="328" w:hanging="328"/>
        <w:spacing w:after="0"/>
        <w:tabs>
          <w:tab w:leader="none" w:pos="328"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$96.0 million in Q3 2021, an increase of 30.6% from</w:t>
      </w:r>
    </w:p>
    <w:p>
      <w:pPr>
        <w:spacing w:after="0" w:line="107" w:lineRule="exact"/>
        <w:rPr>
          <w:rFonts w:ascii="Arial" w:cs="Arial" w:eastAsia="Arial" w:hAnsi="Arial"/>
          <w:sz w:val="22"/>
          <w:szCs w:val="22"/>
          <w:color w:val="40AEFF"/>
        </w:rPr>
      </w:pPr>
    </w:p>
    <w:p>
      <w:pPr>
        <w:ind w:left="328"/>
        <w:spacing w:after="0" w:line="362" w:lineRule="auto"/>
        <w:rPr>
          <w:rFonts w:ascii="Arial" w:cs="Arial" w:eastAsia="Arial" w:hAnsi="Arial"/>
          <w:sz w:val="22"/>
          <w:szCs w:val="22"/>
          <w:color w:val="40AEFF"/>
        </w:rPr>
      </w:pPr>
      <w:r>
        <w:rPr>
          <w:rFonts w:ascii="Arial" w:cs="Arial" w:eastAsia="Arial" w:hAnsi="Arial"/>
          <w:sz w:val="18"/>
          <w:szCs w:val="18"/>
          <w:color w:val="auto"/>
        </w:rPr>
        <w:t>the $73.5 million recognized in Q3 2020. The increase was primarily driven by higher AUM-based distribution costs as a result of continued market appreciation and inflows in the firm's international products, including the Japanese Investment Trusts (ITMs) and SICAVs. These distribution costs, like those related to certain shares classes of the U.S. mutual funds, are offset entirely in net revenues. For the ITMs and SICAVs, the related revenue is recognized in investment advisory revenues. Also contributing to the increase are higher costs incurred to distribute certain products through U.S. financial intermediaries as assets under management in these products have increased from the prior year.</w:t>
      </w:r>
    </w:p>
    <w:p>
      <w:pPr>
        <w:spacing w:after="0" w:line="251" w:lineRule="exact"/>
        <w:rPr>
          <w:rFonts w:ascii="Arial" w:cs="Arial" w:eastAsia="Arial" w:hAnsi="Arial"/>
          <w:sz w:val="22"/>
          <w:szCs w:val="22"/>
          <w:color w:val="40AEFF"/>
        </w:rPr>
      </w:pPr>
    </w:p>
    <w:p>
      <w:pPr>
        <w:ind w:left="328" w:right="320" w:hanging="328"/>
        <w:spacing w:after="0" w:line="347" w:lineRule="auto"/>
        <w:tabs>
          <w:tab w:leader="none" w:pos="324"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$22.1 million in Q3 2021, an increase of 55.6% from Q3 2020.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the media spend related to the launch of a new brand marketing campaign and the continued promotion of the firm's target date solutions, along with lower spending in 2020 due to the impact of the coronavirus pandemic.</w:t>
      </w:r>
    </w:p>
    <w:p>
      <w:pPr>
        <w:spacing w:after="0" w:line="264" w:lineRule="exact"/>
        <w:rPr>
          <w:rFonts w:ascii="Arial" w:cs="Arial" w:eastAsia="Arial" w:hAnsi="Arial"/>
          <w:sz w:val="22"/>
          <w:szCs w:val="22"/>
          <w:color w:val="40AEFF"/>
        </w:rPr>
      </w:pPr>
    </w:p>
    <w:p>
      <w:pPr>
        <w:ind w:left="328" w:right="40" w:hanging="328"/>
        <w:spacing w:after="0" w:line="351" w:lineRule="auto"/>
        <w:tabs>
          <w:tab w:leader="none" w:pos="324"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Product and recordkeeping related expenses </w:t>
      </w:r>
      <w:r>
        <w:rPr>
          <w:rFonts w:ascii="Arial" w:cs="Arial" w:eastAsia="Arial" w:hAnsi="Arial"/>
          <w:sz w:val="18"/>
          <w:szCs w:val="18"/>
          <w:color w:val="auto"/>
        </w:rPr>
        <w:t>were $70.3 million in Q3 2021, an increase of 91.0% from Q3 2020. More than 85%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increase was due to the costs incurred as part of the expanded FIS relationship, including certain transition expenses that will extend into Q4 2021, but not recur in 2022. While these transition expenses will not recur, we do expect to incur certain technology-related costs as part of</w:t>
      </w: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34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this expanded relationship with FIS over the next few years. These will be reported as technology, occupancy, and facility costs.</w:t>
      </w:r>
    </w:p>
    <w:p>
      <w:pPr>
        <w:spacing w:after="0" w:line="365" w:lineRule="exact"/>
        <w:rPr>
          <w:sz w:val="20"/>
          <w:szCs w:val="20"/>
          <w:color w:val="auto"/>
        </w:rPr>
      </w:pPr>
    </w:p>
    <w:p>
      <w:pPr>
        <w:ind w:left="660" w:right="440" w:hanging="328"/>
        <w:spacing w:after="0" w:line="347"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$123.1 million in Q3 2021, an increase of 6.5% from the $115.6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Q3 2020. The increase was primarily due to the ongoing investment in the firm's technology capabilities, including hosted solution licenses and depreciation.</w:t>
      </w:r>
    </w:p>
    <w:p>
      <w:pPr>
        <w:spacing w:after="0" w:line="264" w:lineRule="exact"/>
        <w:rPr>
          <w:rFonts w:ascii="Arial" w:cs="Arial" w:eastAsia="Arial" w:hAnsi="Arial"/>
          <w:sz w:val="22"/>
          <w:szCs w:val="22"/>
          <w:color w:val="40AEFF"/>
        </w:rPr>
      </w:pPr>
    </w:p>
    <w:p>
      <w:pPr>
        <w:ind w:left="660" w:right="320" w:hanging="328"/>
        <w:spacing w:after="0" w:line="347"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$81.8 million in Q3 2021, an increase of 9.8% compared with the $74.5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Q3 2020. Higher research costs, information services, and travel-related costs contributed to the higher costs in Q3 2021 as compared to Q3 2020.</w:t>
      </w:r>
    </w:p>
    <w:p>
      <w:pPr>
        <w:spacing w:after="0" w:line="246" w:lineRule="exact"/>
        <w:rPr>
          <w:sz w:val="20"/>
          <w:szCs w:val="20"/>
          <w:color w:val="auto"/>
        </w:rPr>
      </w:pPr>
    </w:p>
    <w:p>
      <w:pPr>
        <w:ind w:right="120"/>
        <w:spacing w:after="0" w:line="362" w:lineRule="auto"/>
        <w:rPr>
          <w:sz w:val="20"/>
          <w:szCs w:val="20"/>
          <w:color w:val="auto"/>
        </w:rPr>
      </w:pPr>
      <w:r>
        <w:rPr>
          <w:rFonts w:ascii="Arial" w:cs="Arial" w:eastAsia="Arial" w:hAnsi="Arial"/>
          <w:sz w:val="18"/>
          <w:szCs w:val="18"/>
          <w:color w:val="auto"/>
        </w:rPr>
        <w:t>The firm narrowed its 2021 non-GAAP operating expense growth guidance from a range of 12%-15% to a range of 13%-15% to reflect results year-to-date and expectations for Q4 2021. This expense excludes any acquisition costs expected to be incurred in relation to the announced agreement to acquire OHA. The firm could elect to further adjust its expense growth should unforeseen circumstances arise, including significant market movements. As discussed in July 2021, the impact of the firm's expanded partnership with FIS is reflected in the expense growth guidance above.</w:t>
      </w:r>
    </w:p>
    <w:p>
      <w:pPr>
        <w:spacing w:after="0" w:line="212" w:lineRule="exact"/>
        <w:rPr>
          <w:sz w:val="20"/>
          <w:szCs w:val="20"/>
          <w:color w:val="auto"/>
        </w:rPr>
      </w:pPr>
    </w:p>
    <w:p>
      <w:pPr>
        <w:spacing w:after="0" w:line="377"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loss was $11.5 million in Q3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income of $191.6 million in Q3 2020. The firm's consolidated products comprised the majority of the net market losses recognized during Q3 2021 and the net gains in Q3 2020. The cash and discretionary investment portfolio also experienced net investment losses of $3.0 million during Q3 2021. The components of non-operating income (loss) for Q3 2021 and Q3 2020 are included in the tables at the end of this release.</w:t>
      </w:r>
    </w:p>
    <w:p>
      <w:pPr>
        <w:spacing w:after="0" w:line="200" w:lineRule="exact"/>
        <w:rPr>
          <w:sz w:val="20"/>
          <w:szCs w:val="20"/>
          <w:color w:val="auto"/>
        </w:rPr>
      </w:pPr>
    </w:p>
    <w:p>
      <w:pPr>
        <w:spacing w:after="0" w:line="295" w:lineRule="exact"/>
        <w:rPr>
          <w:sz w:val="20"/>
          <w:szCs w:val="20"/>
          <w:color w:val="auto"/>
        </w:rPr>
      </w:pPr>
    </w:p>
    <w:p>
      <w:pPr>
        <w:ind w:right="48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23.1% in Q3 2021 and 24.1% in Q3 2020. The following reconciles the statutory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rate to the firm's effective tax rate for the third quarter and the first nine months of 2021 and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shd w:val="clear" w:color="auto" w:fill="CCEEFF"/>
          </w:tcPr>
          <w:p>
            <w:pPr>
              <w:spacing w:after="0"/>
              <w:rPr>
                <w:sz w:val="16"/>
                <w:szCs w:val="16"/>
                <w:color w:val="auto"/>
              </w:rPr>
            </w:pPr>
          </w:p>
        </w:tc>
        <w:tc>
          <w:tcPr>
            <w:tcW w:w="3240" w:type="dxa"/>
            <w:vAlign w:val="bottom"/>
            <w:tcBorders>
              <w:right w:val="single" w:sz="8" w:color="auto"/>
            </w:tcBorders>
            <w:gridSpan w:val="4"/>
            <w:shd w:val="clear" w:color="auto" w:fill="CCEEFF"/>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shd w:val="clear" w:color="auto" w:fill="CCEEFF"/>
          </w:tcPr>
          <w:p>
            <w:pPr>
              <w:spacing w:after="0"/>
              <w:rPr>
                <w:sz w:val="16"/>
                <w:szCs w:val="16"/>
                <w:color w:val="auto"/>
              </w:rPr>
            </w:pPr>
          </w:p>
        </w:tc>
        <w:tc>
          <w:tcPr>
            <w:tcW w:w="3140" w:type="dxa"/>
            <w:vAlign w:val="bottom"/>
            <w:gridSpan w:val="3"/>
            <w:shd w:val="clear" w:color="auto" w:fill="CCEEFF"/>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478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9/30/2020</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6"/>
                <w:szCs w:val="16"/>
                <w:color w:val="auto"/>
              </w:rPr>
              <w:t>State income taxes for current year, net of federal income tax</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1500" w:type="dxa"/>
            <w:vAlign w:val="bottom"/>
          </w:tcPr>
          <w:p>
            <w:pPr>
              <w:jc w:val="right"/>
              <w:ind w:right="1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4.1</w:t>
            </w: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losses attributable to redeemable non-controlling</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interests</w:t>
            </w:r>
            <w:r>
              <w:rPr>
                <w:rFonts w:ascii="Arial" w:cs="Arial" w:eastAsia="Arial" w:hAnsi="Arial"/>
                <w:sz w:val="21"/>
                <w:szCs w:val="21"/>
                <w:color w:val="auto"/>
                <w:vertAlign w:val="superscript"/>
              </w:rPr>
              <w:t>(2)</w:t>
            </w:r>
          </w:p>
        </w:tc>
        <w:tc>
          <w:tcPr>
            <w:tcW w:w="15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4780" w:type="dxa"/>
            <w:vAlign w:val="bottom"/>
          </w:tcPr>
          <w:p>
            <w:pPr>
              <w:ind w:left="20"/>
              <w:spacing w:after="0" w:line="178" w:lineRule="exact"/>
              <w:rPr>
                <w:sz w:val="20"/>
                <w:szCs w:val="20"/>
                <w:color w:val="auto"/>
              </w:rPr>
            </w:pPr>
            <w:r>
              <w:rPr>
                <w:rFonts w:ascii="Arial" w:cs="Arial" w:eastAsia="Arial" w:hAnsi="Arial"/>
                <w:sz w:val="16"/>
                <w:szCs w:val="16"/>
                <w:color w:val="auto"/>
              </w:rPr>
              <w:t>Net excess tax benefits from stock-based compensation plans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8"/>
        </w:trPr>
        <w:tc>
          <w:tcPr>
            <w:tcW w:w="4780" w:type="dxa"/>
            <w:vAlign w:val="bottom"/>
          </w:tcPr>
          <w:p>
            <w:pPr>
              <w:ind w:left="20"/>
              <w:spacing w:after="0"/>
              <w:rPr>
                <w:sz w:val="20"/>
                <w:szCs w:val="20"/>
                <w:color w:val="auto"/>
              </w:rPr>
            </w:pPr>
            <w:r>
              <w:rPr>
                <w:rFonts w:ascii="Arial" w:cs="Arial" w:eastAsia="Arial" w:hAnsi="Arial"/>
                <w:sz w:val="16"/>
                <w:szCs w:val="16"/>
                <w:color w:val="auto"/>
              </w:rPr>
              <w:t>activity</w:t>
            </w:r>
          </w:p>
        </w:tc>
        <w:tc>
          <w:tcPr>
            <w:tcW w:w="150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right"/>
              <w:ind w:right="8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(1.3)</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53"/>
        </w:trPr>
        <w:tc>
          <w:tcPr>
            <w:tcW w:w="47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r>
    </w:tbl>
    <w:p>
      <w:pPr>
        <w:spacing w:after="0" w:line="72"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15" w:lineRule="exact"/>
        <w:rPr>
          <w:rFonts w:ascii="Arial" w:cs="Arial" w:eastAsia="Arial" w:hAnsi="Arial"/>
          <w:sz w:val="9"/>
          <w:szCs w:val="9"/>
          <w:i w:val="1"/>
          <w:iCs w:val="1"/>
          <w:color w:val="auto"/>
        </w:rPr>
      </w:pPr>
    </w:p>
    <w:p>
      <w:pPr>
        <w:ind w:left="180" w:right="100" w:hanging="172"/>
        <w:spacing w:after="0" w:line="258" w:lineRule="auto"/>
        <w:tabs>
          <w:tab w:leader="none" w:pos="158"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84" w:right="339" w:bottom="1440" w:gutter="0" w:footer="0" w:header="0"/>
        </w:sectPr>
      </w:pPr>
    </w:p>
    <w:bookmarkStart w:id="52" w:name="page53"/>
    <w:bookmarkEnd w:id="52"/>
    <w:p>
      <w:pPr>
        <w:ind w:right="180"/>
        <w:spacing w:after="0" w:line="362"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redeemable non-controlling interests. The firm's non-GAAP effective tax rate was 23.1% for Q3 2021 compared with 24.1% for Q3 2020 and 23.4% for year-to-date 2021 compared with 23.9% for year-to-date 2020. The non-GAAP tax rate for Q3 2021 was favorably impacted by higher discrete tax benefits associated with the settlement of stock-based awards as compared to Q3 2020. For the year-to-date 2021 period, the rate was favorably impacted primarily by a lower state effective tax rate as compared to year-to-date 2020.</w:t>
      </w:r>
    </w:p>
    <w:p>
      <w:pPr>
        <w:spacing w:after="0" w:line="234" w:lineRule="exact"/>
        <w:rPr>
          <w:sz w:val="20"/>
          <w:szCs w:val="20"/>
          <w:color w:val="auto"/>
        </w:rPr>
      </w:pPr>
    </w:p>
    <w:p>
      <w:pPr>
        <w:ind w:right="320"/>
        <w:spacing w:after="0" w:line="371" w:lineRule="auto"/>
        <w:rPr>
          <w:sz w:val="20"/>
          <w:szCs w:val="20"/>
          <w:color w:val="auto"/>
        </w:rPr>
      </w:pPr>
      <w:r>
        <w:rPr>
          <w:rFonts w:ascii="Arial" w:cs="Arial" w:eastAsia="Arial" w:hAnsi="Arial"/>
          <w:sz w:val="18"/>
          <w:szCs w:val="18"/>
          <w:color w:val="auto"/>
        </w:rPr>
        <w:t>The firm continues to see the phased-in benefit of the 2018 Maryland state tax legislation in which we expect to reduce our effective state rate over the five-year phase-in period to less than 3% by the end of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that its effective tax rate for the full year 2021, on a GAAP and non-GAAP basis, will be in the range of 22.0% to 24.0%.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9/30/2021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2,151.7</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2,095.7</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4,247.4</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29"/>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The firm's common shares outstanding were 226.2 million at September 30, 2021, compared with 228.0 million at the end of 2020.</w:t>
      </w:r>
    </w:p>
    <w:p>
      <w:pPr>
        <w:spacing w:after="0" w:line="147" w:lineRule="exact"/>
        <w:rPr>
          <w:rFonts w:ascii="Arial" w:cs="Arial" w:eastAsia="Arial" w:hAnsi="Arial"/>
          <w:sz w:val="22"/>
          <w:szCs w:val="22"/>
          <w:color w:val="40AEFF"/>
        </w:rPr>
      </w:pPr>
    </w:p>
    <w:p>
      <w:pPr>
        <w:ind w:left="340" w:right="200" w:hanging="332"/>
        <w:spacing w:after="0" w:line="331"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In the first nine months of 2021, the firm expended $526.6 million to repurchase 2.9 million shares, or 1.3%, of its outstanding common shares at an average price of $182.27, including $217.7 million to repurchase</w:t>
      </w:r>
    </w:p>
    <w:p>
      <w:pPr>
        <w:ind w:left="660"/>
        <w:spacing w:after="0"/>
        <w:rPr>
          <w:rFonts w:ascii="Arial" w:cs="Arial" w:eastAsia="Arial" w:hAnsi="Arial"/>
          <w:sz w:val="22"/>
          <w:szCs w:val="22"/>
          <w:color w:val="40AEFF"/>
        </w:rPr>
      </w:pPr>
      <w:r>
        <w:rPr>
          <w:rFonts w:ascii="Arial" w:cs="Arial" w:eastAsia="Arial" w:hAnsi="Arial"/>
          <w:sz w:val="18"/>
          <w:szCs w:val="18"/>
          <w:color w:val="auto"/>
        </w:rPr>
        <w:t>1.0 million shares during Q3 2021.</w:t>
      </w:r>
    </w:p>
    <w:p>
      <w:pPr>
        <w:spacing w:after="0" w:line="144" w:lineRule="exact"/>
        <w:rPr>
          <w:rFonts w:ascii="Arial" w:cs="Arial" w:eastAsia="Arial" w:hAnsi="Arial"/>
          <w:sz w:val="22"/>
          <w:szCs w:val="22"/>
          <w:color w:val="40AEFF"/>
        </w:rPr>
      </w:pPr>
    </w:p>
    <w:p>
      <w:pPr>
        <w:ind w:left="340" w:right="20" w:hanging="332"/>
        <w:spacing w:after="0" w:line="333"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During Q3 2021, the firm paid the special cash dividend of $3.00 per common share, or $699.8 million, declared by the board of directors in Q2 2021.</w:t>
      </w:r>
    </w:p>
    <w:p>
      <w:pPr>
        <w:spacing w:after="0" w:line="36" w:lineRule="exact"/>
        <w:rPr>
          <w:rFonts w:ascii="Arial" w:cs="Arial" w:eastAsia="Arial" w:hAnsi="Arial"/>
          <w:sz w:val="22"/>
          <w:szCs w:val="22"/>
          <w:color w:val="40AEFF"/>
        </w:rPr>
      </w:pPr>
    </w:p>
    <w:p>
      <w:pPr>
        <w:ind w:left="340" w:right="280" w:hanging="332"/>
        <w:spacing w:after="0" w:line="331"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The firm invested $178.7 million during the first nine months of 2021 in capitalized facilities and technology. The firm currently expects capital expenditures, including internal labor capitalization, for 2021 to be about</w:t>
      </w:r>
    </w:p>
    <w:p>
      <w:pPr>
        <w:ind w:left="340" w:right="140"/>
        <w:spacing w:after="0" w:line="371" w:lineRule="auto"/>
        <w:rPr>
          <w:rFonts w:ascii="Arial" w:cs="Arial" w:eastAsia="Arial" w:hAnsi="Arial"/>
          <w:sz w:val="22"/>
          <w:szCs w:val="22"/>
          <w:color w:val="40AEFF"/>
        </w:rPr>
      </w:pPr>
      <w:r>
        <w:rPr>
          <w:rFonts w:ascii="Arial" w:cs="Arial" w:eastAsia="Arial" w:hAnsi="Arial"/>
          <w:sz w:val="18"/>
          <w:szCs w:val="18"/>
          <w:color w:val="auto"/>
        </w:rPr>
        <w:t>$250 million, of which more than three-quarters is planned for technology initiatives. These expenditures are expected to continue to be funded from the firm's operating resources.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8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Investment Performance</w:t>
      </w:r>
    </w:p>
    <w:p>
      <w:pPr>
        <w:spacing w:after="0" w:line="126" w:lineRule="exact"/>
        <w:rPr>
          <w:sz w:val="20"/>
          <w:szCs w:val="20"/>
          <w:color w:val="auto"/>
        </w:rPr>
      </w:pPr>
    </w:p>
    <w:p>
      <w:pPr>
        <w:ind w:right="80"/>
        <w:spacing w:after="0" w:line="349"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September 30, 2021. Past performance is no guarantee of future results.</w:t>
      </w:r>
    </w:p>
    <w:tbl>
      <w:tblPr>
        <w:tblLayout w:type="fixed"/>
        <w:tblInd w:w="0" w:type="dxa"/>
        <w:tblCellMar>
          <w:top w:w="0" w:type="dxa"/>
          <w:left w:w="0" w:type="dxa"/>
          <w:bottom w:w="0" w:type="dxa"/>
          <w:right w:w="0" w:type="dxa"/>
        </w:tblCellMar>
      </w:tblPr>
      <w:tr>
        <w:trPr>
          <w:trHeight w:val="218"/>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9" w:lineRule="exact"/>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78%</w:t>
            </w:r>
          </w:p>
        </w:tc>
      </w:tr>
      <w:tr>
        <w:trPr>
          <w:trHeight w:val="111"/>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85%</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48"/>
        </w:trPr>
        <w:tc>
          <w:tcPr>
            <w:tcW w:w="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80" w:type="dxa"/>
            <w:vAlign w:val="bottom"/>
            <w:gridSpan w:val="2"/>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82%</w:t>
            </w:r>
          </w:p>
        </w:tc>
      </w:tr>
      <w:tr>
        <w:trPr>
          <w:trHeight w:val="111"/>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180" w:type="dxa"/>
            <w:vAlign w:val="bottom"/>
            <w:gridSpan w:val="2"/>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bl>
    <w:p>
      <w:pPr>
        <w:spacing w:after="0" w:line="35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As of September 30, 2021, 73 of 123 (59.3%)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86%</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September 30, 2021 with an overall rating of 4 or 5 stars.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2" w:right="339" w:bottom="1440" w:gutter="0" w:footer="0" w:header="0"/>
        </w:sectPr>
      </w:pPr>
    </w:p>
    <w:bookmarkStart w:id="54" w:name="page55"/>
    <w:bookmarkEnd w:id="54"/>
    <w:p>
      <w:pPr>
        <w:ind w:right="60" w:firstLine="8"/>
        <w:spacing w:after="0" w:line="342" w:lineRule="auto"/>
        <w:tabs>
          <w:tab w:leader="none" w:pos="140" w:val="left"/>
        </w:tabs>
        <w:numPr>
          <w:ilvl w:val="0"/>
          <w:numId w:val="3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2021 Morningstar, Inc. All rights reserved. The information contained herein: 1) is proprietary to Morningstar and/or its content providers; 2) may not be copied or distributed; and 3) is not warranted to be accurate, complete, or timely.Neither Morningstar nor its content providers are responsible for any damages or losses arising from any use of this information.</w:t>
      </w:r>
    </w:p>
    <w:p>
      <w:pPr>
        <w:ind w:right="20" w:firstLine="8"/>
        <w:spacing w:after="0" w:line="221" w:lineRule="auto"/>
        <w:tabs>
          <w:tab w:leader="none" w:pos="154"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$518B for 1 year, $518B for 3 years, $518B for 5 years, and $508B for 10 years.</w:t>
      </w:r>
    </w:p>
    <w:p>
      <w:pPr>
        <w:spacing w:after="0" w:line="1" w:lineRule="exact"/>
        <w:rPr>
          <w:rFonts w:ascii="Arial" w:cs="Arial" w:eastAsia="Arial" w:hAnsi="Arial"/>
          <w:sz w:val="17"/>
          <w:szCs w:val="17"/>
          <w:i w:val="1"/>
          <w:iCs w:val="1"/>
          <w:color w:val="auto"/>
          <w:vertAlign w:val="superscript"/>
        </w:rPr>
      </w:pPr>
    </w:p>
    <w:p>
      <w:pPr>
        <w:ind w:right="20" w:firstLine="8"/>
        <w:spacing w:after="0" w:line="224" w:lineRule="auto"/>
        <w:tabs>
          <w:tab w:leader="none" w:pos="154"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$504B for 1 year, $498B for 3 years, $490B for 5 years, and $422B for 10 years.</w:t>
      </w:r>
    </w:p>
    <w:p>
      <w:pPr>
        <w:spacing w:after="0" w:line="1" w:lineRule="exact"/>
        <w:rPr>
          <w:rFonts w:ascii="Arial" w:cs="Arial" w:eastAsia="Arial" w:hAnsi="Arial"/>
          <w:sz w:val="17"/>
          <w:szCs w:val="17"/>
          <w:i w:val="1"/>
          <w:iCs w:val="1"/>
          <w:color w:val="auto"/>
          <w:vertAlign w:val="superscript"/>
        </w:rPr>
      </w:pPr>
    </w:p>
    <w:p>
      <w:pPr>
        <w:ind w:right="240"/>
        <w:spacing w:after="0" w:line="206" w:lineRule="auto"/>
        <w:rPr>
          <w:rFonts w:ascii="Arial" w:cs="Arial" w:eastAsia="Arial" w:hAnsi="Arial"/>
          <w:sz w:val="17"/>
          <w:szCs w:val="17"/>
          <w:i w:val="1"/>
          <w:iCs w:val="1"/>
          <w:color w:val="auto"/>
          <w:vertAlign w:val="superscript"/>
        </w:rPr>
      </w:pPr>
      <w:r>
        <w:rPr>
          <w:rFonts w:ascii="Arial" w:cs="Arial" w:eastAsia="Arial" w:hAnsi="Arial"/>
          <w:sz w:val="18"/>
          <w:szCs w:val="18"/>
          <w:i w:val="1"/>
          <w:iCs w:val="1"/>
          <w:color w:val="auto"/>
          <w:vertAlign w:val="superscript"/>
        </w:rPr>
        <w:t>(4)</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$1,501B for 1 year, $1,498B for 3 years, $1,482B for 5 years, and $1,446B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31" w:lineRule="auto"/>
        <w:tabs>
          <w:tab w:leader="none" w:pos="154"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jc w:val="both"/>
        <w:ind w:right="380"/>
        <w:spacing w:after="0" w:line="36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2021 with the U.S. Securities and Exchange Commission later today. The Form 10-Q will include additional information on the firm's unaudited consolidated financial statements at September 30, 2021.</w:t>
      </w:r>
    </w:p>
    <w:p>
      <w:pPr>
        <w:spacing w:after="0" w:line="230"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2020 Annual Report on Form 10-K.</w:t>
      </w:r>
    </w:p>
    <w:p>
      <w:pPr>
        <w:spacing w:after="0" w:line="211"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5020" w:type="dxa"/>
            <w:vAlign w:val="bottom"/>
            <w:gridSpan w:val="3"/>
          </w:tcPr>
          <w:p>
            <w:pPr>
              <w:ind w:left="2300"/>
              <w:spacing w:after="0"/>
              <w:rPr>
                <w:sz w:val="20"/>
                <w:szCs w:val="20"/>
                <w:color w:val="auto"/>
              </w:rPr>
            </w:pPr>
            <w:r>
              <w:rPr>
                <w:rFonts w:ascii="Arial" w:cs="Arial" w:eastAsia="Arial" w:hAnsi="Arial"/>
                <w:sz w:val="18"/>
                <w:szCs w:val="18"/>
                <w:b w:val="1"/>
                <w:bCs w:val="1"/>
                <w:color w:val="054C70"/>
              </w:rPr>
              <w:t>Investor Relations</w:t>
            </w:r>
          </w:p>
        </w:tc>
      </w:tr>
      <w:tr>
        <w:trPr>
          <w:trHeight w:val="250"/>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660" w:type="dxa"/>
            <w:vAlign w:val="bottom"/>
          </w:tcPr>
          <w:p>
            <w:pPr>
              <w:spacing w:after="0"/>
              <w:rPr>
                <w:sz w:val="19"/>
                <w:szCs w:val="19"/>
                <w:color w:val="auto"/>
              </w:rPr>
            </w:pPr>
          </w:p>
        </w:tc>
        <w:tc>
          <w:tcPr>
            <w:tcW w:w="3860" w:type="dxa"/>
            <w:vAlign w:val="bottom"/>
            <w:gridSpan w:val="2"/>
          </w:tcPr>
          <w:p>
            <w:pPr>
              <w:ind w:left="230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5020" w:type="dxa"/>
            <w:vAlign w:val="bottom"/>
            <w:gridSpan w:val="3"/>
          </w:tcPr>
          <w:p>
            <w:pPr>
              <w:ind w:left="230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56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0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00"/>
          </w:cols>
          <w:pgMar w:left="320" w:top="1224" w:right="37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4"/>
            <w:shd w:val="clear" w:color="auto" w:fill="CCEEFF"/>
          </w:tcPr>
          <w:p>
            <w:pPr>
              <w:jc w:val="right"/>
              <w:ind w:right="468"/>
              <w:spacing w:after="0"/>
              <w:rPr>
                <w:sz w:val="20"/>
                <w:szCs w:val="20"/>
                <w:color w:val="auto"/>
              </w:rPr>
            </w:pPr>
            <w:r>
              <w:rPr>
                <w:rFonts w:ascii="Arial" w:cs="Arial" w:eastAsia="Arial" w:hAnsi="Arial"/>
                <w:sz w:val="14"/>
                <w:szCs w:val="14"/>
                <w:color w:val="auto"/>
              </w:rPr>
              <w:t>Nine months ended</w:t>
            </w:r>
          </w:p>
        </w:tc>
      </w:tr>
      <w:tr>
        <w:trPr>
          <w:trHeight w:val="18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9/30/2021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9/30/2020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6/30/2021</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9/30/2021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9/30/2020</w:t>
            </w:r>
          </w:p>
        </w:tc>
      </w:tr>
      <w:tr>
        <w:trPr>
          <w:trHeight w:val="183"/>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4,090.9</w:t>
            </w:r>
          </w:p>
        </w:tc>
      </w:tr>
      <w:tr>
        <w:trPr>
          <w:trHeight w:val="189"/>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w:t>
            </w:r>
          </w:p>
        </w:tc>
      </w:tr>
      <w:tr>
        <w:trPr>
          <w:trHeight w:val="183"/>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1,954.1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1,595.8</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1,929.3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5,710.2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4,473.8</w:t>
            </w:r>
          </w:p>
        </w:tc>
      </w:tr>
      <w:tr>
        <w:trPr>
          <w:trHeight w:val="34"/>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240" w:type="dxa"/>
            <w:vAlign w:val="bottom"/>
          </w:tcPr>
          <w:p>
            <w:pPr>
              <w:ind w:left="220"/>
              <w:spacing w:after="0"/>
              <w:rPr>
                <w:sz w:val="20"/>
                <w:szCs w:val="20"/>
                <w:color w:val="auto"/>
              </w:rPr>
            </w:pPr>
            <w:r>
              <w:rPr>
                <w:rFonts w:ascii="Arial" w:cs="Arial" w:eastAsia="Arial" w:hAnsi="Arial"/>
                <w:sz w:val="14"/>
                <w:szCs w:val="14"/>
                <w:color w:val="auto"/>
              </w:rPr>
              <w:t>Compensation and related costs, excluding supplemental savings plan</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566.1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1,496.6</w:t>
            </w:r>
          </w:p>
        </w:tc>
      </w:tr>
      <w:tr>
        <w:trPr>
          <w:trHeight w:val="189"/>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Supplemental savings plan</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r>
      <w:tr>
        <w:trPr>
          <w:trHeight w:val="183"/>
        </w:trPr>
        <w:tc>
          <w:tcPr>
            <w:tcW w:w="5240" w:type="dxa"/>
            <w:vAlign w:val="bottom"/>
          </w:tcPr>
          <w:p>
            <w:pPr>
              <w:ind w:left="120"/>
              <w:spacing w:after="0"/>
              <w:rPr>
                <w:sz w:val="20"/>
                <w:szCs w:val="20"/>
                <w:color w:val="auto"/>
              </w:rPr>
            </w:pPr>
            <w:r>
              <w:rPr>
                <w:rFonts w:ascii="Arial" w:cs="Arial" w:eastAsia="Arial" w:hAnsi="Arial"/>
                <w:sz w:val="14"/>
                <w:szCs w:val="14"/>
                <w:color w:val="auto"/>
              </w:rPr>
              <w:t>Compensation and related costs</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564.6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603.8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1,542.0</w:t>
            </w:r>
          </w:p>
        </w:tc>
      </w:tr>
      <w:tr>
        <w:trPr>
          <w:trHeight w:val="189"/>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and servicing</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r>
      <w:tr>
        <w:trPr>
          <w:trHeight w:val="189"/>
        </w:trPr>
        <w:tc>
          <w:tcPr>
            <w:tcW w:w="524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189"/>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and recordkeeping related costs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r>
      <w:tr>
        <w:trPr>
          <w:trHeight w:val="189"/>
        </w:trPr>
        <w:tc>
          <w:tcPr>
            <w:tcW w:w="5240" w:type="dxa"/>
            <w:vAlign w:val="bottom"/>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332.3</w:t>
            </w:r>
          </w:p>
        </w:tc>
      </w:tr>
      <w:tr>
        <w:trPr>
          <w:trHeight w:val="189"/>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administrative, and other</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w:t>
            </w:r>
          </w:p>
        </w:tc>
      </w:tr>
      <w:tr>
        <w:trPr>
          <w:trHeight w:val="18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957.9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866.9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971.2</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2,862.7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2,484.0</w:t>
            </w:r>
          </w:p>
        </w:tc>
      </w:tr>
      <w:tr>
        <w:trPr>
          <w:trHeight w:val="88"/>
        </w:trPr>
        <w:tc>
          <w:tcPr>
            <w:tcW w:w="5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996.2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728.9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958.1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2,847.5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1,989.8</w:t>
            </w:r>
          </w:p>
        </w:tc>
      </w:tr>
      <w:tr>
        <w:trPr>
          <w:trHeight w:val="108"/>
        </w:trPr>
        <w:tc>
          <w:tcPr>
            <w:tcW w:w="5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on investments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r>
      <w:tr>
        <w:trPr>
          <w:trHeight w:val="189"/>
        </w:trPr>
        <w:tc>
          <w:tcPr>
            <w:tcW w:w="5240" w:type="dxa"/>
            <w:vAlign w:val="bottom"/>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89"/>
        </w:trPr>
        <w:tc>
          <w:tcPr>
            <w:tcW w:w="5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(loss)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8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143.9</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106.4</w:t>
            </w:r>
          </w:p>
        </w:tc>
      </w:tr>
      <w:tr>
        <w:trPr>
          <w:trHeight w:val="88"/>
        </w:trPr>
        <w:tc>
          <w:tcPr>
            <w:tcW w:w="5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2,096.2</w:t>
            </w: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502.5</w:t>
            </w:r>
          </w:p>
        </w:tc>
      </w:tr>
      <w:tr>
        <w:trPr>
          <w:trHeight w:val="183"/>
        </w:trPr>
        <w:tc>
          <w:tcPr>
            <w:tcW w:w="5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698.6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842.7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1,593.7</w:t>
            </w:r>
          </w:p>
        </w:tc>
      </w:tr>
      <w:tr>
        <w:trPr>
          <w:trHeight w:val="189"/>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attributable to redeemable non-controlling interests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8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777.2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643.2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815.7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2,342.3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1,589.3</w:t>
            </w:r>
          </w:p>
        </w:tc>
      </w:tr>
      <w:tr>
        <w:trPr>
          <w:trHeight w:val="189"/>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Net income allocated to T. Rowe Price common stockholders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757.7</w:t>
            </w: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625.3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793.5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2,280.7</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1,545.2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5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9"/>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3"/>
        </w:trPr>
        <w:tc>
          <w:tcPr>
            <w:tcW w:w="5240" w:type="dxa"/>
            <w:vAlign w:val="bottom"/>
          </w:tcPr>
          <w:p>
            <w:pPr>
              <w:ind w:left="120"/>
              <w:spacing w:after="0"/>
              <w:rPr>
                <w:sz w:val="20"/>
                <w:szCs w:val="20"/>
                <w:color w:val="auto"/>
              </w:rPr>
            </w:pPr>
            <w:r>
              <w:rPr>
                <w:rFonts w:ascii="Arial" w:cs="Arial" w:eastAsia="Arial" w:hAnsi="Arial"/>
                <w:sz w:val="14"/>
                <w:szCs w:val="14"/>
                <w:b w:val="1"/>
                <w:bCs w:val="1"/>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3.31</w:t>
            </w: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9.94</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5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120"/>
              <w:spacing w:after="0"/>
              <w:rPr>
                <w:sz w:val="20"/>
                <w:szCs w:val="20"/>
                <w:color w:val="auto"/>
              </w:rPr>
            </w:pPr>
            <w:r>
              <w:rPr>
                <w:rFonts w:ascii="Arial" w:cs="Arial" w:eastAsia="Arial" w:hAnsi="Arial"/>
                <w:sz w:val="14"/>
                <w:szCs w:val="14"/>
                <w:color w:val="auto"/>
              </w:rPr>
              <w:t>Outstanding assuming dilution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6" w:right="339" w:bottom="1440" w:gutter="0" w:footer="0" w:header="0"/>
        </w:sectPr>
      </w:pPr>
    </w:p>
    <w:bookmarkStart w:id="56" w:name="page57"/>
    <w:bookmarkEnd w:id="56"/>
    <w:p>
      <w:pPr>
        <w:ind w:right="2300"/>
        <w:spacing w:after="0" w:line="371" w:lineRule="auto"/>
        <w:rPr>
          <w:sz w:val="20"/>
          <w:szCs w:val="20"/>
          <w:color w:val="auto"/>
        </w:rPr>
      </w:pPr>
      <w:r>
        <w:rPr>
          <w:rFonts w:ascii="Arial" w:cs="Arial" w:eastAsia="Arial" w:hAnsi="Arial"/>
          <w:sz w:val="18"/>
          <w:szCs w:val="18"/>
          <w:color w:val="auto"/>
        </w:rPr>
        <w:t>The following table presents investment advisory revenues for the three- and nine-month periods ended September 30, 2021 and 2020, including a separate break out of revenue earned from our multi-asset portfolios.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gridSpan w:val="7"/>
            <w:shd w:val="clear" w:color="auto" w:fill="CCEEFF"/>
          </w:tcPr>
          <w:p>
            <w:pPr>
              <w:jc w:val="right"/>
              <w:ind w:right="8"/>
              <w:spacing w:after="0"/>
              <w:rPr>
                <w:sz w:val="20"/>
                <w:szCs w:val="20"/>
                <w:color w:val="auto"/>
              </w:rPr>
            </w:pPr>
            <w:r>
              <w:rPr>
                <w:rFonts w:ascii="Arial" w:cs="Arial" w:eastAsia="Arial" w:hAnsi="Arial"/>
                <w:sz w:val="14"/>
                <w:szCs w:val="14"/>
                <w:color w:val="auto"/>
              </w:rPr>
              <w:t>Three months ended</w:t>
            </w: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gridSpan w:val="8"/>
            <w:shd w:val="clear" w:color="auto" w:fill="CCEEFF"/>
          </w:tcPr>
          <w:p>
            <w:pPr>
              <w:jc w:val="right"/>
              <w:ind w:right="648"/>
              <w:spacing w:after="0"/>
              <w:rPr>
                <w:sz w:val="20"/>
                <w:szCs w:val="20"/>
                <w:color w:val="auto"/>
              </w:rPr>
            </w:pPr>
            <w:r>
              <w:rPr>
                <w:rFonts w:ascii="Arial" w:cs="Arial" w:eastAsia="Arial" w:hAnsi="Arial"/>
                <w:sz w:val="14"/>
                <w:szCs w:val="14"/>
                <w:color w:val="auto"/>
              </w:rPr>
              <w:t>Nine months ended</w:t>
            </w:r>
          </w:p>
        </w:tc>
      </w:tr>
      <w:tr>
        <w:trPr>
          <w:trHeight w:val="18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5"/>
          </w:tcPr>
          <w:p>
            <w:pPr>
              <w:jc w:val="right"/>
              <w:ind w:right="208"/>
              <w:spacing w:after="0"/>
              <w:rPr>
                <w:sz w:val="20"/>
                <w:szCs w:val="20"/>
                <w:color w:val="auto"/>
              </w:rPr>
            </w:pPr>
            <w:r>
              <w:rPr>
                <w:rFonts w:ascii="Arial" w:cs="Arial" w:eastAsia="Arial" w:hAnsi="Arial"/>
                <w:sz w:val="14"/>
                <w:szCs w:val="14"/>
                <w:color w:val="auto"/>
              </w:rPr>
              <w:t>9/30/2021</w:t>
            </w:r>
          </w:p>
        </w:tc>
        <w:tc>
          <w:tcPr>
            <w:tcW w:w="1340" w:type="dxa"/>
            <w:vAlign w:val="bottom"/>
            <w:gridSpan w:val="6"/>
          </w:tcPr>
          <w:p>
            <w:pPr>
              <w:jc w:val="right"/>
              <w:ind w:right="168"/>
              <w:spacing w:after="0"/>
              <w:rPr>
                <w:sz w:val="20"/>
                <w:szCs w:val="20"/>
                <w:color w:val="auto"/>
              </w:rPr>
            </w:pPr>
            <w:r>
              <w:rPr>
                <w:rFonts w:ascii="Arial" w:cs="Arial" w:eastAsia="Arial" w:hAnsi="Arial"/>
                <w:sz w:val="14"/>
                <w:szCs w:val="14"/>
                <w:color w:val="auto"/>
              </w:rPr>
              <w:t>9/30/2020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5"/>
          </w:tcPr>
          <w:p>
            <w:pPr>
              <w:jc w:val="right"/>
              <w:ind w:right="108"/>
              <w:spacing w:after="0"/>
              <w:rPr>
                <w:sz w:val="20"/>
                <w:szCs w:val="20"/>
                <w:color w:val="auto"/>
              </w:rPr>
            </w:pPr>
            <w:r>
              <w:rPr>
                <w:rFonts w:ascii="Arial" w:cs="Arial" w:eastAsia="Arial" w:hAnsi="Arial"/>
                <w:sz w:val="14"/>
                <w:szCs w:val="14"/>
                <w:color w:val="auto"/>
              </w:rPr>
              <w:t>9/30/2021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9/30/2020</w:t>
            </w:r>
          </w:p>
        </w:tc>
      </w:tr>
      <w:tr>
        <w:trPr>
          <w:trHeight w:val="16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813.0</w:t>
            </w:r>
          </w:p>
        </w:tc>
        <w:tc>
          <w:tcPr>
            <w:tcW w:w="6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636.3</w:t>
            </w:r>
          </w:p>
        </w:tc>
        <w:tc>
          <w:tcPr>
            <w:tcW w:w="200" w:type="dxa"/>
            <w:vAlign w:val="bottom"/>
            <w:tcBorders>
              <w:right w:val="single" w:sz="8" w:color="auto"/>
            </w:tcBorders>
            <w:gridSpan w:val="2"/>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2,310.8</w:t>
            </w:r>
          </w:p>
        </w:tc>
        <w:tc>
          <w:tcPr>
            <w:tcW w:w="3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1,750.6</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183.7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r>
      <w:tr>
        <w:trPr>
          <w:trHeight w:val="18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247.7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236.6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778.7</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683.1</w:t>
            </w:r>
          </w:p>
        </w:tc>
      </w:tr>
      <w:tr>
        <w:trPr>
          <w:trHeight w:val="183"/>
        </w:trPr>
        <w:tc>
          <w:tcPr>
            <w:tcW w:w="3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right w:val="single" w:sz="8" w:color="CCEEFF"/>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1,125.5</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3,273.2</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2,638.8</w:t>
            </w:r>
          </w:p>
        </w:tc>
      </w:tr>
      <w:tr>
        <w:trPr>
          <w:trHeight w:val="133"/>
        </w:trPr>
        <w:tc>
          <w:tcPr>
            <w:tcW w:w="634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Subadvised funds, separate accounts, collective investment trusts, and other investment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1,329.0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41.3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110.3</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566.6</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417.1</w:t>
            </w: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687.9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529.8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2,015.2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1,452.1</w:t>
            </w: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1,813.4</w:t>
            </w: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1,469.3</w:t>
            </w:r>
          </w:p>
        </w:tc>
        <w:tc>
          <w:tcPr>
            <w:tcW w:w="200" w:type="dxa"/>
            <w:vAlign w:val="bottom"/>
            <w:tcBorders>
              <w:right w:val="single" w:sz="8" w:color="auto"/>
            </w:tcBorders>
            <w:gridSpan w:val="2"/>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5,288.4</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Average during</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color w:val="auto"/>
              </w:rPr>
              <w:t>Three months ended</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color w:val="auto"/>
              </w:rPr>
              <w:t>Nine months ended</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w:t>
            </w:r>
          </w:p>
        </w:tc>
        <w:tc>
          <w:tcPr>
            <w:tcW w:w="980" w:type="dxa"/>
            <w:vAlign w:val="bottom"/>
            <w:tcBorders>
              <w:bottom w:val="single" w:sz="8" w:color="auto"/>
            </w:tcBorders>
          </w:tcPr>
          <w:p>
            <w:pPr>
              <w:spacing w:after="0"/>
              <w:rPr>
                <w:sz w:val="15"/>
                <w:szCs w:val="15"/>
                <w:color w:val="auto"/>
              </w:rPr>
            </w:pPr>
          </w:p>
        </w:tc>
      </w:tr>
      <w:tr>
        <w:trPr>
          <w:trHeight w:val="183"/>
        </w:trPr>
        <w:tc>
          <w:tcPr>
            <w:tcW w:w="3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9/30/2021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9/30/2020</w:t>
            </w:r>
          </w:p>
        </w:tc>
        <w:tc>
          <w:tcPr>
            <w:tcW w:w="140" w:type="dxa"/>
            <w:vAlign w:val="bottom"/>
            <w:tcBorders>
              <w:right w:val="single" w:sz="8" w:color="auto"/>
            </w:tcBorders>
            <w:shd w:val="clear" w:color="auto" w:fill="CCEEFF"/>
          </w:tcPr>
          <w:p>
            <w:pPr>
              <w:spacing w:after="0"/>
              <w:rPr>
                <w:sz w:val="15"/>
                <w:szCs w:val="15"/>
                <w:color w:val="auto"/>
              </w:rPr>
            </w:pPr>
          </w:p>
        </w:tc>
        <w:tc>
          <w:tcPr>
            <w:tcW w:w="1180" w:type="dxa"/>
            <w:vAlign w:val="bottom"/>
            <w:gridSpan w:val="5"/>
            <w:shd w:val="clear" w:color="auto" w:fill="CCEEFF"/>
          </w:tcPr>
          <w:p>
            <w:pPr>
              <w:jc w:val="right"/>
              <w:ind w:right="240"/>
              <w:spacing w:after="0"/>
              <w:rPr>
                <w:sz w:val="20"/>
                <w:szCs w:val="20"/>
                <w:color w:val="auto"/>
              </w:rPr>
            </w:pPr>
            <w:r>
              <w:rPr>
                <w:rFonts w:ascii="Arial" w:cs="Arial" w:eastAsia="Arial" w:hAnsi="Arial"/>
                <w:sz w:val="14"/>
                <w:szCs w:val="14"/>
                <w:color w:val="auto"/>
              </w:rPr>
              <w:t>9/30/2021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5"/>
            <w:shd w:val="clear" w:color="auto" w:fill="CCEEFF"/>
          </w:tcPr>
          <w:p>
            <w:pPr>
              <w:jc w:val="right"/>
              <w:ind w:right="8"/>
              <w:spacing w:after="0"/>
              <w:rPr>
                <w:sz w:val="20"/>
                <w:szCs w:val="20"/>
                <w:color w:val="auto"/>
              </w:rPr>
            </w:pPr>
            <w:r>
              <w:rPr>
                <w:rFonts w:ascii="Arial" w:cs="Arial" w:eastAsia="Arial" w:hAnsi="Arial"/>
                <w:sz w:val="14"/>
                <w:szCs w:val="14"/>
                <w:color w:val="auto"/>
              </w:rPr>
              <w:t>9/30/2020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9/30/2021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12/31/2020</w:t>
            </w: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140" w:type="dxa"/>
            <w:vAlign w:val="bottom"/>
            <w:tcBorders>
              <w:right w:val="single" w:sz="8" w:color="auto"/>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398.9</w:t>
            </w:r>
          </w:p>
        </w:tc>
        <w:tc>
          <w:tcPr>
            <w:tcW w:w="180" w:type="dxa"/>
            <w:vAlign w:val="bottom"/>
            <w:tcBorders>
              <w:right w:val="single" w:sz="8" w:color="auto"/>
            </w:tcBorders>
            <w:gridSpan w:val="2"/>
            <w:shd w:val="clear" w:color="auto" w:fill="CCEEFF"/>
          </w:tcPr>
          <w:p>
            <w:pPr>
              <w:spacing w:after="0"/>
              <w:rPr>
                <w:sz w:val="16"/>
                <w:szCs w:val="16"/>
                <w:color w:val="auto"/>
              </w:rPr>
            </w:pP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546.1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78.1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4"/>
                <w:szCs w:val="14"/>
                <w:color w:val="auto"/>
              </w:rPr>
              <w:t>76.0</w:t>
            </w:r>
          </w:p>
        </w:tc>
        <w:tc>
          <w:tcPr>
            <w:tcW w:w="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79.4</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189.1</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w:t>
            </w:r>
          </w:p>
        </w:tc>
      </w:tr>
      <w:tr>
        <w:trPr>
          <w:trHeight w:val="222"/>
        </w:trPr>
        <w:tc>
          <w:tcPr>
            <w:tcW w:w="3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708.8</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848.1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6"/>
              </w:rPr>
              <w:t>664.0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861.0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794.6</w:t>
            </w:r>
          </w:p>
        </w:tc>
      </w:tr>
      <w:tr>
        <w:trPr>
          <w:trHeight w:val="153"/>
        </w:trPr>
        <w:tc>
          <w:tcPr>
            <w:tcW w:w="3900" w:type="dxa"/>
            <w:vAlign w:val="bottom"/>
            <w:tcBorders>
              <w:top w:val="single" w:sz="8" w:color="CCEEFF"/>
            </w:tcBorders>
          </w:tcPr>
          <w:p>
            <w:pPr>
              <w:ind w:left="20"/>
              <w:spacing w:after="0" w:line="153" w:lineRule="exact"/>
              <w:rPr>
                <w:sz w:val="20"/>
                <w:szCs w:val="20"/>
                <w:color w:val="auto"/>
              </w:rPr>
            </w:pPr>
            <w:r>
              <w:rPr>
                <w:rFonts w:ascii="Arial" w:cs="Arial" w:eastAsia="Arial" w:hAnsi="Arial"/>
                <w:sz w:val="14"/>
                <w:szCs w:val="14"/>
                <w:color w:val="auto"/>
              </w:rPr>
              <w:t>Subadvised funds, separate accounts, collective investment</w:t>
            </w:r>
          </w:p>
        </w:tc>
        <w:tc>
          <w:tcPr>
            <w:tcW w:w="18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40" w:type="dxa"/>
            <w:vAlign w:val="bottom"/>
            <w:tcBorders>
              <w:top w:val="single" w:sz="8" w:color="CCEEFF"/>
              <w:right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right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trusts, and other investment 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338.8</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427.3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303.3</w:t>
            </w:r>
          </w:p>
        </w:tc>
        <w:tc>
          <w:tcPr>
            <w:tcW w:w="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397.2</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4"/>
                <w:szCs w:val="14"/>
                <w:color w:val="auto"/>
              </w:rPr>
              <w:t>80.3</w:t>
            </w:r>
          </w:p>
        </w:tc>
        <w:tc>
          <w:tcPr>
            <w:tcW w:w="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213.8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6"/>
              </w:rPr>
              <w:t>151.3</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229.7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189.4</w:t>
            </w: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584.1</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733.2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6"/>
              </w:rPr>
              <w:t>534.9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751.3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675.9</w:t>
            </w:r>
          </w:p>
        </w:tc>
      </w:tr>
      <w:tr>
        <w:trPr>
          <w:trHeight w:val="20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1,292.9</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1,581.3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1,198.9</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1,612.3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1,470.5</w:t>
            </w: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38"/>
        </w:trPr>
        <w:tc>
          <w:tcPr>
            <w:tcW w:w="634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5"/>
          </w:tcPr>
          <w:p>
            <w:pPr>
              <w:spacing w:after="0"/>
              <w:rPr>
                <w:sz w:val="24"/>
                <w:szCs w:val="24"/>
                <w:color w:val="auto"/>
              </w:rPr>
            </w:pPr>
          </w:p>
        </w:tc>
      </w:tr>
      <w:tr>
        <w:trPr>
          <w:trHeight w:val="189"/>
        </w:trPr>
        <w:tc>
          <w:tcPr>
            <w:tcW w:w="6340" w:type="dxa"/>
            <w:vAlign w:val="bottom"/>
            <w:tcBorders>
              <w:right w:val="single" w:sz="8" w:color="CCEEFF"/>
            </w:tcBorders>
            <w:gridSpan w:val="8"/>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gridSpan w:val="10"/>
            <w:shd w:val="clear" w:color="auto" w:fill="CCEEFF"/>
          </w:tcPr>
          <w:p>
            <w:pPr>
              <w:jc w:val="center"/>
              <w:ind w:right="120"/>
              <w:spacing w:after="0"/>
              <w:rPr>
                <w:sz w:val="20"/>
                <w:szCs w:val="20"/>
                <w:color w:val="auto"/>
              </w:rPr>
            </w:pPr>
            <w:r>
              <w:rPr>
                <w:rFonts w:ascii="Arial" w:cs="Arial" w:eastAsia="Arial" w:hAnsi="Arial"/>
                <w:sz w:val="14"/>
                <w:szCs w:val="14"/>
                <w:color w:val="auto"/>
              </w:rPr>
              <w:t>Three months ended</w:t>
            </w:r>
          </w:p>
        </w:tc>
        <w:tc>
          <w:tcPr>
            <w:tcW w:w="40" w:type="dxa"/>
            <w:vAlign w:val="bottom"/>
            <w:shd w:val="clear" w:color="auto" w:fill="CCEEFF"/>
          </w:tcPr>
          <w:p>
            <w:pPr>
              <w:spacing w:after="0"/>
              <w:rPr>
                <w:sz w:val="16"/>
                <w:szCs w:val="16"/>
                <w:color w:val="auto"/>
              </w:rPr>
            </w:pPr>
          </w:p>
        </w:tc>
        <w:tc>
          <w:tcPr>
            <w:tcW w:w="1400" w:type="dxa"/>
            <w:vAlign w:val="bottom"/>
            <w:gridSpan w:val="5"/>
            <w:shd w:val="clear" w:color="auto" w:fill="CCEEFF"/>
          </w:tcPr>
          <w:p>
            <w:pPr>
              <w:jc w:val="right"/>
              <w:ind w:right="28"/>
              <w:spacing w:after="0"/>
              <w:rPr>
                <w:sz w:val="20"/>
                <w:szCs w:val="20"/>
                <w:color w:val="auto"/>
              </w:rPr>
            </w:pPr>
            <w:r>
              <w:rPr>
                <w:rFonts w:ascii="Arial" w:cs="Arial" w:eastAsia="Arial" w:hAnsi="Arial"/>
                <w:sz w:val="14"/>
                <w:szCs w:val="14"/>
                <w:color w:val="auto"/>
              </w:rPr>
              <w:t>Nine months ended</w:t>
            </w:r>
          </w:p>
        </w:tc>
      </w:tr>
      <w:tr>
        <w:trPr>
          <w:trHeight w:val="18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billions)</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5"/>
          </w:tcPr>
          <w:p>
            <w:pPr>
              <w:jc w:val="center"/>
              <w:ind w:right="328"/>
              <w:spacing w:after="0"/>
              <w:rPr>
                <w:sz w:val="20"/>
                <w:szCs w:val="20"/>
                <w:color w:val="auto"/>
              </w:rPr>
            </w:pPr>
            <w:r>
              <w:rPr>
                <w:rFonts w:ascii="Arial" w:cs="Arial" w:eastAsia="Arial" w:hAnsi="Arial"/>
                <w:sz w:val="14"/>
                <w:szCs w:val="14"/>
                <w:color w:val="auto"/>
              </w:rPr>
              <w:t>9/30/2021</w:t>
            </w:r>
          </w:p>
        </w:tc>
        <w:tc>
          <w:tcPr>
            <w:tcW w:w="10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9/30/2021</w:t>
            </w:r>
          </w:p>
        </w:tc>
      </w:tr>
      <w:tr>
        <w:trPr>
          <w:trHeight w:val="16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183"/>
        </w:trPr>
        <w:tc>
          <w:tcPr>
            <w:tcW w:w="3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69"/>
        </w:trPr>
        <w:tc>
          <w:tcPr>
            <w:tcW w:w="6340" w:type="dxa"/>
            <w:vAlign w:val="bottom"/>
            <w:gridSpan w:val="8"/>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9"/>
        </w:trPr>
        <w:tc>
          <w:tcPr>
            <w:tcW w:w="390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3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83"/>
        </w:trPr>
        <w:tc>
          <w:tcPr>
            <w:tcW w:w="3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20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cash flows after client transfers</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9"/>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220" w:type="dxa"/>
            <w:vAlign w:val="bottom"/>
            <w:shd w:val="clear" w:color="auto" w:fill="CCEEFF"/>
          </w:tcPr>
          <w:p>
            <w:pPr>
              <w:spacing w:after="0"/>
              <w:rPr>
                <w:sz w:val="16"/>
                <w:szCs w:val="16"/>
                <w:color w:val="auto"/>
              </w:rPr>
            </w:pPr>
          </w:p>
        </w:tc>
        <w:tc>
          <w:tcPr>
            <w:tcW w:w="2640" w:type="dxa"/>
            <w:vAlign w:val="bottom"/>
            <w:tcBorders>
              <w:right w:val="single" w:sz="8" w:color="auto"/>
            </w:tcBorders>
            <w:gridSpan w:val="5"/>
            <w:shd w:val="clear" w:color="auto" w:fill="CCEEFF"/>
          </w:tcPr>
          <w:p>
            <w:pPr>
              <w:ind w:left="480"/>
              <w:spacing w:after="0"/>
              <w:rPr>
                <w:sz w:val="20"/>
                <w:szCs w:val="20"/>
                <w:color w:val="auto"/>
              </w:rPr>
            </w:pPr>
            <w:r>
              <w:rPr>
                <w:rFonts w:ascii="Arial" w:cs="Arial" w:eastAsia="Arial" w:hAnsi="Arial"/>
                <w:sz w:val="14"/>
                <w:szCs w:val="14"/>
                <w:color w:val="auto"/>
              </w:rPr>
              <w:t>Three months ended</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40" w:type="dxa"/>
            <w:vAlign w:val="bottom"/>
            <w:gridSpan w:val="4"/>
            <w:shd w:val="clear" w:color="auto" w:fill="CCEEFF"/>
          </w:tcPr>
          <w:p>
            <w:pPr>
              <w:jc w:val="right"/>
              <w:ind w:right="68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3"/>
        </w:trPr>
        <w:tc>
          <w:tcPr>
            <w:tcW w:w="55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9/30/2021</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9/30/2020</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9/30/2021</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9/30/2020</w:t>
            </w: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(losses) from cash and discretionary investments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25.6</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w:t>
            </w:r>
          </w:p>
        </w:tc>
        <w:tc>
          <w:tcPr>
            <w:tcW w:w="0" w:type="dxa"/>
            <w:vAlign w:val="bottom"/>
          </w:tcPr>
          <w:p>
            <w:pPr>
              <w:spacing w:after="0"/>
              <w:rPr>
                <w:sz w:val="1"/>
                <w:szCs w:val="1"/>
                <w:color w:val="auto"/>
              </w:rPr>
            </w:pPr>
          </w:p>
        </w:tc>
      </w:tr>
      <w:tr>
        <w:trPr>
          <w:trHeight w:val="189"/>
        </w:trPr>
        <w:tc>
          <w:tcPr>
            <w:tcW w:w="554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5540" w:type="dxa"/>
            <w:vAlign w:val="bottom"/>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 recognized upon deconsolidation</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28"/>
        </w:trPr>
        <w:tc>
          <w:tcPr>
            <w:tcW w:w="55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net gains (losses) from non-consolidated T. Rowe Price investment</w:t>
            </w:r>
          </w:p>
        </w:tc>
        <w:tc>
          <w:tcPr>
            <w:tcW w:w="2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117.5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products</w:t>
            </w:r>
          </w:p>
        </w:tc>
        <w:tc>
          <w:tcPr>
            <w:tcW w:w="2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on investments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84.6</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100.6</w:t>
            </w: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101.2</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6"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line="215" w:lineRule="auto"/>
        <w:rPr>
          <w:sz w:val="20"/>
          <w:szCs w:val="20"/>
          <w:color w:val="auto"/>
        </w:rPr>
      </w:pPr>
      <w:r>
        <w:rPr>
          <w:rFonts w:ascii="Arial" w:cs="Arial" w:eastAsia="Arial" w:hAnsi="Arial"/>
          <w:sz w:val="14"/>
          <w:szCs w:val="14"/>
          <w:color w:val="auto"/>
        </w:rPr>
        <w:t>Cash provided by (used in) operating activities, including $166.3 of stock-based compensation expense and $151.1 of depreciation expense in 2021</w:t>
      </w:r>
    </w:p>
    <w:p>
      <w:pPr>
        <w:spacing w:after="0" w:line="17" w:lineRule="exact"/>
        <w:rPr>
          <w:sz w:val="20"/>
          <w:szCs w:val="20"/>
          <w:color w:val="auto"/>
        </w:rPr>
      </w:pPr>
    </w:p>
    <w:p>
      <w:pPr>
        <w:ind w:left="20" w:right="60"/>
        <w:spacing w:after="0" w:line="210" w:lineRule="auto"/>
        <w:rPr>
          <w:sz w:val="20"/>
          <w:szCs w:val="20"/>
          <w:color w:val="auto"/>
        </w:rPr>
      </w:pPr>
      <w:r>
        <w:rPr>
          <w:rFonts w:ascii="Arial" w:cs="Arial" w:eastAsia="Arial" w:hAnsi="Arial"/>
          <w:sz w:val="14"/>
          <w:szCs w:val="14"/>
          <w:color w:val="auto"/>
        </w:rPr>
        <w:t>Cash provided by (used in) investing activities, including $(178.7) for additions to property and equipment, $(47.3) of purchases and $285.4 of dispositions to T. Rowe Price investment products in 2021</w:t>
      </w:r>
    </w:p>
    <w:p>
      <w:pPr>
        <w:spacing w:after="0" w:line="19" w:lineRule="exact"/>
        <w:rPr>
          <w:sz w:val="20"/>
          <w:szCs w:val="20"/>
          <w:color w:val="auto"/>
        </w:rPr>
      </w:pPr>
    </w:p>
    <w:p>
      <w:pPr>
        <w:ind w:left="20" w:right="80"/>
        <w:spacing w:after="0" w:line="215" w:lineRule="auto"/>
        <w:rPr>
          <w:sz w:val="20"/>
          <w:szCs w:val="20"/>
          <w:color w:val="auto"/>
        </w:rPr>
      </w:pPr>
      <w:r>
        <w:rPr>
          <w:rFonts w:ascii="Arial" w:cs="Arial" w:eastAsia="Arial" w:hAnsi="Arial"/>
          <w:sz w:val="14"/>
          <w:szCs w:val="14"/>
          <w:color w:val="auto"/>
        </w:rPr>
        <w:t>Cash provided by (used in) financing activities, including T. Rowe Price common stock repurchases of $(493.1)* and dividends paid of $(1,454.0) in 2021</w:t>
      </w:r>
    </w:p>
    <w:p>
      <w:pPr>
        <w:spacing w:after="0" w:line="17" w:lineRule="exact"/>
        <w:rPr>
          <w:sz w:val="20"/>
          <w:szCs w:val="20"/>
          <w:color w:val="auto"/>
        </w:rPr>
      </w:pPr>
    </w:p>
    <w:p>
      <w:pPr>
        <w:ind w:left="20" w:right="40"/>
        <w:spacing w:after="0" w:line="229"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7" w:lineRule="exact"/>
        <w:rPr>
          <w:sz w:val="20"/>
          <w:szCs w:val="20"/>
          <w:color w:val="auto"/>
        </w:rPr>
      </w:pPr>
    </w:p>
    <w:p>
      <w:pPr>
        <w:ind w:left="20" w:right="40"/>
        <w:spacing w:after="0" w:line="229"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9/30/2021</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9/30/2020</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consolidated</w:t>
            </w:r>
          </w:p>
        </w:tc>
        <w:tc>
          <w:tcPr>
            <w:tcW w:w="11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color w:val="auto"/>
              </w:rPr>
              <w:t>As reported 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consolidated</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4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rPr>
              <w:t>T. Rowe Price investment</w:t>
            </w:r>
          </w:p>
        </w:tc>
        <w:tc>
          <w:tcPr>
            <w:tcW w:w="116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60" w:type="dxa"/>
            <w:vAlign w:val="bottom"/>
            <w:gridSpan w:val="3"/>
          </w:tcPr>
          <w:p>
            <w:pPr>
              <w:jc w:val="center"/>
              <w:ind w:right="120"/>
              <w:spacing w:after="0" w:line="131" w:lineRule="exact"/>
              <w:rPr>
                <w:sz w:val="20"/>
                <w:szCs w:val="20"/>
                <w:color w:val="auto"/>
              </w:rPr>
            </w:pPr>
            <w:r>
              <w:rPr>
                <w:rFonts w:ascii="Arial" w:cs="Arial" w:eastAsia="Arial" w:hAnsi="Arial"/>
                <w:sz w:val="14"/>
                <w:szCs w:val="14"/>
                <w:color w:val="auto"/>
              </w:rPr>
              <w:t>T. Rowe Price investment</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attributable to T.</w:t>
            </w:r>
          </w:p>
        </w:tc>
        <w:tc>
          <w:tcPr>
            <w:tcW w:w="100" w:type="dxa"/>
            <w:vAlign w:val="bottom"/>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color w:val="auto"/>
              </w:rPr>
              <w:t>statement of</w:t>
            </w:r>
          </w:p>
        </w:tc>
        <w:tc>
          <w:tcPr>
            <w:tcW w:w="8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attributable to T.</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cash flows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575"/>
        </w:trPr>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3,072.6</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3,090.7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2,265.0</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(348.1)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1,916.9</w:t>
            </w:r>
          </w:p>
        </w:tc>
        <w:tc>
          <w:tcPr>
            <w:tcW w:w="0" w:type="dxa"/>
            <w:vAlign w:val="bottom"/>
          </w:tcPr>
          <w:p>
            <w:pPr>
              <w:spacing w:after="0"/>
              <w:rPr>
                <w:sz w:val="1"/>
                <w:szCs w:val="1"/>
                <w:color w:val="auto"/>
              </w:rPr>
            </w:pPr>
          </w:p>
        </w:tc>
      </w:tr>
      <w:tr>
        <w:trPr>
          <w:trHeight w:val="864"/>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57.6</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(1,913.8)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(1,891.1)</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(1,718.0)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(1,419.3)</w:t>
            </w:r>
          </w:p>
        </w:tc>
        <w:tc>
          <w:tcPr>
            <w:tcW w:w="0" w:type="dxa"/>
            <w:vAlign w:val="bottom"/>
          </w:tcPr>
          <w:p>
            <w:pPr>
              <w:spacing w:after="0"/>
              <w:rPr>
                <w:sz w:val="1"/>
                <w:szCs w:val="1"/>
                <w:color w:val="auto"/>
              </w:rPr>
            </w:pPr>
          </w:p>
        </w:tc>
      </w:tr>
      <w:tr>
        <w:trPr>
          <w:trHeight w:val="323"/>
        </w:trPr>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17"/>
        </w:trPr>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1,266.8</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1,253.6</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-1731010</wp:posOffset>
            </wp:positionV>
            <wp:extent cx="7132320" cy="377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-805180</wp:posOffset>
            </wp:positionV>
            <wp:extent cx="7132320" cy="377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-222250</wp:posOffset>
            </wp:positionV>
            <wp:extent cx="713232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2680" w:space="20"/>
            <w:col w:w="8540"/>
          </w:cols>
          <w:pgMar w:left="320" w:top="1058"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8" w:right="339" w:bottom="144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6350</wp:posOffset>
            </wp:positionV>
            <wp:extent cx="1885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880" w:space="720"/>
            <w:col w:w="1640"/>
          </w:cols>
          <w:pgMar w:left="320" w:top="1058"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Total other liabilities, includes $92.1 at September 30, 2021, and $57.7 at December 31, 2020, from consolidated T. Rowe Price investment products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8" w:lineRule="exact"/>
        <w:rPr>
          <w:sz w:val="20"/>
          <w:szCs w:val="20"/>
          <w:color w:val="auto"/>
        </w:rPr>
      </w:pPr>
    </w:p>
    <w:p>
      <w:pPr>
        <w:ind w:left="20" w:right="340"/>
        <w:spacing w:after="0" w:line="229" w:lineRule="auto"/>
        <w:rPr>
          <w:sz w:val="20"/>
          <w:szCs w:val="20"/>
          <w:color w:val="auto"/>
        </w:rPr>
      </w:pPr>
      <w:r>
        <w:rPr>
          <w:rFonts w:ascii="Arial" w:cs="Arial" w:eastAsia="Arial" w:hAnsi="Arial"/>
          <w:sz w:val="14"/>
          <w:szCs w:val="14"/>
          <w:color w:val="auto"/>
        </w:rPr>
        <w:t>Stockholders' equity, 226.2 common shares outstanding at September 30, 2021 and 228.0 common shares outstanding at December 31, 2020</w:t>
      </w:r>
    </w:p>
    <w:p>
      <w:pPr>
        <w:spacing w:after="0" w:line="20" w:lineRule="exact"/>
        <w:rPr>
          <w:sz w:val="20"/>
          <w:szCs w:val="20"/>
          <w:color w:val="auto"/>
        </w:rPr>
      </w:pPr>
      <w:r>
        <w:rPr>
          <w:sz w:val="20"/>
          <w:szCs w:val="20"/>
          <w:color w:val="auto"/>
        </w:rPr>
        <w:br w:type="column"/>
      </w:r>
    </w:p>
    <w:p>
      <w:pPr>
        <w:jc w:val="center"/>
        <w:ind w:left="-59"/>
        <w:spacing w:after="0"/>
        <w:rPr>
          <w:sz w:val="20"/>
          <w:szCs w:val="20"/>
          <w:color w:val="auto"/>
        </w:rPr>
      </w:pPr>
      <w:r>
        <w:rPr>
          <w:rFonts w:ascii="Arial" w:cs="Arial" w:eastAsia="Arial" w:hAnsi="Arial"/>
          <w:sz w:val="14"/>
          <w:szCs w:val="14"/>
          <w:color w:val="auto"/>
        </w:rPr>
        <w:t>9/30/2021</w:t>
      </w:r>
    </w:p>
    <w:p>
      <w:pPr>
        <w:spacing w:after="0" w:line="42" w:lineRule="exact"/>
        <w:rPr>
          <w:sz w:val="20"/>
          <w:szCs w:val="20"/>
          <w:color w:val="auto"/>
        </w:rPr>
      </w:pPr>
    </w:p>
    <w:p>
      <w:pPr>
        <w:ind w:left="880" w:hanging="872"/>
        <w:spacing w:after="0"/>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3,418.5</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941.6</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3,330.3</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2,026.7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719.1</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665.7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242.6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11,450.7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799.8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1,302.2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1,086.6</w:t>
      </w:r>
    </w:p>
    <w:p>
      <w:pPr>
        <w:spacing w:after="0" w:line="136"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8,262.1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908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4"/>
          <w:szCs w:val="14"/>
          <w:color w:val="auto"/>
        </w:rPr>
        <w:t>12/31/2020</w:t>
      </w:r>
    </w:p>
    <w:p>
      <w:pPr>
        <w:spacing w:after="0" w:line="42" w:lineRule="exact"/>
        <w:rPr>
          <w:sz w:val="20"/>
          <w:szCs w:val="20"/>
          <w:color w:val="auto"/>
        </w:rPr>
      </w:pPr>
    </w:p>
    <w:p>
      <w:pPr>
        <w:ind w:left="880" w:hanging="873"/>
        <w:spacing w:after="0"/>
        <w:tabs>
          <w:tab w:leader="none" w:pos="8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2,151.7</w:t>
      </w:r>
    </w:p>
    <w:p>
      <w:pPr>
        <w:spacing w:after="0" w:line="28"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863.1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3,250.8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2,695.5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117.6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695.4</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665.7</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219.2</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10,659.0</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772.2</w:t>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618.1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1,561.7</w:t>
      </w:r>
    </w:p>
    <w:p>
      <w:pPr>
        <w:spacing w:after="0" w:line="136" w:lineRule="exact"/>
        <w:rPr>
          <w:sz w:val="20"/>
          <w:szCs w:val="20"/>
          <w:color w:val="auto"/>
        </w:rPr>
      </w:pPr>
    </w:p>
    <w:p>
      <w:pPr>
        <w:ind w:left="880" w:hanging="873"/>
        <w:spacing w:after="0"/>
        <w:tabs>
          <w:tab w:leader="none" w:pos="8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7,707.0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120" w:space="160"/>
            <w:col w:w="1360" w:space="180"/>
            <w:col w:w="1420"/>
          </w:cols>
          <w:pgMar w:left="320" w:top="1058" w:right="339" w:bottom="1440" w:gutter="0" w:footer="0" w:header="0"/>
          <w:type w:val="continuous"/>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Net assets of</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consolidated T.</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11"/>
                <w:szCs w:val="11"/>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equivalents</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5,343.6</w:t>
            </w:r>
          </w:p>
        </w:tc>
        <w:tc>
          <w:tcPr>
            <w:tcW w:w="0" w:type="dxa"/>
            <w:vAlign w:val="bottom"/>
          </w:tcPr>
          <w:p>
            <w:pPr>
              <w:spacing w:after="0"/>
              <w:rPr>
                <w:sz w:val="1"/>
                <w:szCs w:val="1"/>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1,188.7</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795.5</w:t>
            </w:r>
          </w:p>
        </w:tc>
        <w:tc>
          <w:tcPr>
            <w:tcW w:w="0" w:type="dxa"/>
            <w:vAlign w:val="bottom"/>
          </w:tcPr>
          <w:p>
            <w:pPr>
              <w:spacing w:after="0"/>
              <w:rPr>
                <w:sz w:val="1"/>
                <w:szCs w:val="1"/>
                <w:color w:val="auto"/>
              </w:rPr>
            </w:pPr>
          </w:p>
        </w:tc>
      </w:tr>
      <w:tr>
        <w:trPr>
          <w:trHeight w:val="129"/>
        </w:trPr>
        <w:tc>
          <w:tcPr>
            <w:tcW w:w="5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3,418.5</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3,061.3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848.0</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7,327.8</w:t>
            </w: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UTI and other investments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183"/>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3,418.5</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3,330.3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848.0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7,596.8</w:t>
            </w: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129"/>
        </w:trPr>
        <w:tc>
          <w:tcPr>
            <w:tcW w:w="5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As reported on unaudited condensed consolidated balance sheet at September</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3,418.5</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3,330.3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1,934.6</w:t>
            </w:r>
          </w:p>
        </w:tc>
        <w:tc>
          <w:tcPr>
            <w:tcW w:w="120" w:type="dxa"/>
            <w:vAlign w:val="bottom"/>
          </w:tcPr>
          <w:p>
            <w:pPr>
              <w:spacing w:after="0"/>
              <w:rPr>
                <w:sz w:val="11"/>
                <w:szCs w:val="11"/>
                <w:color w:val="auto"/>
              </w:rPr>
            </w:pPr>
          </w:p>
        </w:tc>
        <w:tc>
          <w:tcPr>
            <w:tcW w:w="2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8,683.4</w:t>
            </w:r>
          </w:p>
        </w:tc>
        <w:tc>
          <w:tcPr>
            <w:tcW w:w="0" w:type="dxa"/>
            <w:vAlign w:val="bottom"/>
          </w:tcPr>
          <w:p>
            <w:pPr>
              <w:spacing w:after="0"/>
              <w:rPr>
                <w:sz w:val="1"/>
                <w:szCs w:val="1"/>
                <w:color w:val="auto"/>
              </w:rPr>
            </w:pPr>
          </w:p>
        </w:tc>
      </w:tr>
      <w:tr>
        <w:trPr>
          <w:trHeight w:val="153"/>
        </w:trPr>
        <w:tc>
          <w:tcPr>
            <w:tcW w:w="5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30, 2021</w:t>
            </w:r>
          </w:p>
        </w:tc>
        <w:tc>
          <w:tcPr>
            <w:tcW w:w="24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firstLine="8"/>
        <w:spacing w:after="0" w:line="303" w:lineRule="auto"/>
        <w:tabs>
          <w:tab w:leader="none" w:pos="84" w:val="left"/>
        </w:tabs>
        <w:numPr>
          <w:ilvl w:val="0"/>
          <w:numId w:val="39"/>
        </w:numPr>
        <w:rPr>
          <w:rFonts w:ascii="Arial" w:cs="Arial" w:eastAsia="Arial" w:hAnsi="Arial"/>
          <w:sz w:val="12"/>
          <w:szCs w:val="12"/>
          <w:i w:val="1"/>
          <w:iCs w:val="1"/>
          <w:color w:val="auto"/>
        </w:rPr>
      </w:pPr>
      <w:r>
        <w:rPr>
          <w:rFonts w:ascii="Arial" w:cs="Arial" w:eastAsia="Arial" w:hAnsi="Arial"/>
          <w:sz w:val="12"/>
          <w:szCs w:val="12"/>
          <w:i w:val="1"/>
          <w:iCs w:val="1"/>
          <w:color w:val="auto"/>
        </w:rPr>
        <w:t>The $60.8 million and $787.2 million represent the total value at September 30, 2021, of T. Rowe Price's interest in the consolidated T. Rowe Price investment products. The total net assets of $1,934.6 million at September 30, 2021, includes assets of $2,026.7 million less liabilities of $92.1 million as reflected in the unaudited condensed consolidated balance sheet information table above.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06" w:lineRule="exact"/>
        <w:rPr>
          <w:sz w:val="20"/>
          <w:szCs w:val="20"/>
          <w:color w:val="auto"/>
        </w:rPr>
      </w:pPr>
    </w:p>
    <w:p>
      <w:pPr>
        <w:ind w:right="140"/>
        <w:spacing w:after="0" w:line="362"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58"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September</w:t>
      </w:r>
    </w:p>
    <w:p>
      <w:pPr>
        <w:sectPr>
          <w:pgSz w:w="11900" w:h="16838" w:orient="portrait"/>
          <w:cols w:equalWidth="0" w:num="1">
            <w:col w:w="11180"/>
          </w:cols>
          <w:pgMar w:left="320" w:top="1084" w:right="39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30, 2021 and 2020 and June 30,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80" w:right="900" w:firstLine="135"/>
        <w:spacing w:after="0" w:line="211"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(1)</w:t>
      </w:r>
    </w:p>
    <w:p>
      <w:pPr>
        <w:ind w:left="220"/>
        <w:spacing w:after="0" w:line="215"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ind w:left="220"/>
        <w:spacing w:after="0" w:line="231"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900"/>
        <w:spacing w:after="0" w:line="215"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32"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ind w:left="220"/>
        <w:spacing w:after="0" w:line="226"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900"/>
        <w:spacing w:after="0" w:line="223"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16"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ind w:left="220"/>
        <w:spacing w:after="0" w:line="230"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Three months ended 9/30/2021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-101600</wp:posOffset>
            </wp:positionV>
            <wp:extent cx="706374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063740" cy="12001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957.9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996.2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777.2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957.2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9/30/2020</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866.9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728.9</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830.5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768.0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6/30/2021</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971.2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958.1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-4105275</wp:posOffset>
            </wp:positionV>
            <wp:extent cx="706374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-3830955</wp:posOffset>
            </wp:positionV>
            <wp:extent cx="706374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-3453765</wp:posOffset>
            </wp:positionV>
            <wp:extent cx="706374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-2965450</wp:posOffset>
            </wp:positionV>
            <wp:extent cx="706374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-2545715</wp:posOffset>
            </wp:positionV>
            <wp:extent cx="706374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-2270760</wp:posOffset>
            </wp:positionV>
            <wp:extent cx="706374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-1894205</wp:posOffset>
            </wp:positionV>
            <wp:extent cx="70637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-1370965</wp:posOffset>
            </wp:positionV>
            <wp:extent cx="706374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-950595</wp:posOffset>
            </wp:positionV>
            <wp:extent cx="706374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-676910</wp:posOffset>
            </wp:positionV>
            <wp:extent cx="706374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-299720</wp:posOffset>
            </wp:positionV>
            <wp:extent cx="70637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540"/>
            <w:col w:w="7540"/>
          </w:cols>
          <w:pgMar w:left="320" w:top="108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80"/>
          </w:cols>
          <w:pgMar w:left="320" w:top="1084" w:right="3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177800</wp:posOffset>
            </wp:positionV>
            <wp:extent cx="706374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063740" cy="12001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56" w:lineRule="auto"/>
        <w:rPr>
          <w:sz w:val="20"/>
          <w:szCs w:val="20"/>
          <w:color w:val="auto"/>
        </w:rPr>
      </w:pPr>
      <w:r>
        <w:rPr>
          <w:rFonts w:ascii="Arial" w:cs="Arial" w:eastAsia="Arial" w:hAnsi="Arial"/>
          <w:sz w:val="15"/>
          <w:szCs w:val="15"/>
          <w:color w:val="auto"/>
        </w:rPr>
        <w:t>Consolidated T. Rowe Price investment products(1)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Supplemental savings plan liability(2)</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non-operating income(3)</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U.S. GAAP Basis</w:t>
      </w:r>
    </w:p>
    <w:p>
      <w:pPr>
        <w:spacing w:after="0" w:line="5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Non-GAAP adjustments:</w:t>
      </w:r>
    </w:p>
    <w:p>
      <w:pPr>
        <w:spacing w:after="0" w:line="32" w:lineRule="exact"/>
        <w:rPr>
          <w:sz w:val="20"/>
          <w:szCs w:val="20"/>
          <w:color w:val="auto"/>
        </w:rPr>
      </w:pPr>
    </w:p>
    <w:p>
      <w:pPr>
        <w:ind w:left="220" w:right="720"/>
        <w:spacing w:after="0" w:line="215" w:lineRule="auto"/>
        <w:rPr>
          <w:sz w:val="20"/>
          <w:szCs w:val="20"/>
          <w:color w:val="auto"/>
        </w:rPr>
      </w:pPr>
      <w:r>
        <w:rPr>
          <w:rFonts w:ascii="Arial" w:cs="Arial" w:eastAsia="Arial" w:hAnsi="Arial"/>
          <w:sz w:val="15"/>
          <w:szCs w:val="15"/>
          <w:color w:val="auto"/>
        </w:rPr>
        <w:t>Consolidated T. Rowe Price investment products</w:t>
      </w:r>
      <w:r>
        <w:rPr>
          <w:rFonts w:ascii="Arial" w:cs="Arial" w:eastAsia="Arial" w:hAnsi="Arial"/>
          <w:sz w:val="20"/>
          <w:szCs w:val="20"/>
          <w:color w:val="auto"/>
          <w:vertAlign w:val="superscript"/>
        </w:rPr>
        <w:t>(1)</w:t>
      </w:r>
    </w:p>
    <w:p>
      <w:pPr>
        <w:ind w:left="220"/>
        <w:spacing w:after="0" w:line="232"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p>
      <w:pPr>
        <w:ind w:left="220"/>
        <w:spacing w:after="0" w:line="226"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p>
      <w:pPr>
        <w:ind w:left="8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auto"/>
        </w:rPr>
        <w:t>Nine months ended 9/30/2021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7"/>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2,862.7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2,847.5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2,342.3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2,798.2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2,916.2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2,258.6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 9/30/2020</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2,484.0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1,989.8</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502.5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1,589.3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2,046.9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-2553970</wp:posOffset>
            </wp:positionV>
            <wp:extent cx="706374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-2279650</wp:posOffset>
            </wp:positionV>
            <wp:extent cx="706374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-1902460</wp:posOffset>
            </wp:positionV>
            <wp:extent cx="706374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-1370965</wp:posOffset>
            </wp:positionV>
            <wp:extent cx="706374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063740" cy="12001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-950595</wp:posOffset>
            </wp:positionV>
            <wp:extent cx="706374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-676910</wp:posOffset>
            </wp:positionV>
            <wp:extent cx="706374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063740" cy="240030"/>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-299720</wp:posOffset>
            </wp:positionV>
            <wp:extent cx="706374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720"/>
            <w:col w:w="7600"/>
          </w:cols>
          <w:pgMar w:left="320" w:top="1030" w:right="339" w:bottom="1440" w:gutter="0" w:footer="0" w:header="0"/>
          <w:type w:val="continuous"/>
        </w:sectPr>
      </w:pPr>
    </w:p>
    <w:p>
      <w:pPr>
        <w:spacing w:after="0" w:line="126" w:lineRule="exact"/>
        <w:rPr>
          <w:sz w:val="20"/>
          <w:szCs w:val="20"/>
          <w:color w:val="auto"/>
        </w:rPr>
      </w:pPr>
    </w:p>
    <w:p>
      <w:pPr>
        <w:ind w:left="340" w:right="100" w:hanging="332"/>
        <w:spacing w:after="0" w:line="235"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42" w:lineRule="exact"/>
        <w:rPr>
          <w:rFonts w:ascii="Arial" w:cs="Arial" w:eastAsia="Arial" w:hAnsi="Arial"/>
          <w:sz w:val="22"/>
          <w:szCs w:val="22"/>
          <w:color w:val="auto"/>
          <w:vertAlign w:val="superscript"/>
        </w:rPr>
      </w:pPr>
    </w:p>
    <w:p>
      <w:pPr>
        <w:ind w:left="340" w:hanging="332"/>
        <w:spacing w:after="0" w:line="235"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the firm's core operating results and to increase comparability period to period.</w:t>
      </w:r>
    </w:p>
    <w:p>
      <w:pPr>
        <w:spacing w:after="0" w:line="242" w:lineRule="exact"/>
        <w:rPr>
          <w:rFonts w:ascii="Arial" w:cs="Arial" w:eastAsia="Arial" w:hAnsi="Arial"/>
          <w:sz w:val="22"/>
          <w:szCs w:val="22"/>
          <w:color w:val="auto"/>
          <w:vertAlign w:val="superscript"/>
        </w:rPr>
      </w:pPr>
    </w:p>
    <w:p>
      <w:pPr>
        <w:ind w:left="340" w:right="40" w:hanging="332"/>
        <w:spacing w:after="0"/>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06" w:lineRule="exact"/>
        <w:rPr>
          <w:rFonts w:ascii="Arial" w:cs="Arial" w:eastAsia="Arial" w:hAnsi="Arial"/>
          <w:sz w:val="22"/>
          <w:szCs w:val="22"/>
          <w:color w:val="auto"/>
          <w:vertAlign w:val="superscript"/>
        </w:rPr>
      </w:pPr>
    </w:p>
    <w:p>
      <w:pPr>
        <w:ind w:left="340" w:right="100" w:hanging="332"/>
        <w:spacing w:after="0" w:line="236"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23.4% for 2021 and 23.9% for 2020. As such, the non-GAAP effective tax rate for three months ended September 30, 2021 and 2020 was 23.1% and 24.1%, respectively. The firm estimates that its effective tax rate for the full-year 2021 on a non-GAAP basis will be in the range of 22.0% to 24.0%.</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30" w:right="339" w:bottom="1440" w:gutter="0" w:footer="0" w:header="0"/>
          <w:type w:val="continuous"/>
        </w:sectPr>
      </w:pPr>
    </w:p>
    <w:bookmarkStart w:id="61" w:name="page62"/>
    <w:bookmarkEnd w:id="61"/>
    <w:p>
      <w:pPr>
        <w:ind w:left="340" w:right="280" w:hanging="332"/>
        <w:spacing w:after="0" w:line="226" w:lineRule="auto"/>
        <w:tabs>
          <w:tab w:leader="none" w:pos="341"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gridSpan w:val="3"/>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9/30/2021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9/30/2020</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6/30/2021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9/30/2021</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9/30/2020</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779.0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1,596.6</w:t>
            </w:r>
          </w:p>
        </w:tc>
      </w:tr>
      <w:tr>
        <w:trPr>
          <w:trHeight w:val="177"/>
        </w:trPr>
        <w:tc>
          <w:tcPr>
            <w:tcW w:w="562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 and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 holders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r>
      <w:tr>
        <w:trPr>
          <w:trHeight w:val="203"/>
        </w:trPr>
        <w:tc>
          <w:tcPr>
            <w:tcW w:w="56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Adjusted net income allocated to common 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10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83" Type="http://schemas.openxmlformats.org/officeDocument/2006/relationships/hyperlink" Target="http://www.sec.gov/Archives/edgar/data/1113169/000111316918000018/articlesofrestatementfin.htm" TargetMode="External"/><Relationship Id="rId84"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2021-10-28T14:17:49Z</dcterms:created>
  <dcterms:modified xsi:type="dcterms:W3CDTF">2021-10-28T14:17:49Z</dcterms:modified>
</cp:coreProperties>
</file>