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ANNUAL REPORT PURSUANT TO SECTION 13 OF THE SECURITIES EXCHANGE ACT OF 1934</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000-32191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State of incorporation Maryland</w:t>
            </w:r>
          </w:p>
        </w:tc>
        <w:tc>
          <w:tcPr>
            <w:tcW w:w="3640" w:type="dxa"/>
            <w:vAlign w:val="bottom"/>
            <w:gridSpan w:val="3"/>
          </w:tcPr>
          <w:p>
            <w:pPr>
              <w:ind w:left="80"/>
              <w:spacing w:after="0"/>
              <w:rPr>
                <w:sz w:val="20"/>
                <w:szCs w:val="20"/>
                <w:color w:val="auto"/>
              </w:rPr>
            </w:pPr>
            <w:r>
              <w:rPr>
                <w:rFonts w:ascii="Arial" w:cs="Arial" w:eastAsia="Arial" w:hAnsi="Arial"/>
                <w:sz w:val="18"/>
                <w:szCs w:val="18"/>
                <w:color w:val="auto"/>
              </w:rPr>
              <w:t>IRS Employer Identification No. 52-2264646</w:t>
            </w:r>
          </w:p>
        </w:tc>
        <w:tc>
          <w:tcPr>
            <w:tcW w:w="4460" w:type="dxa"/>
            <w:vAlign w:val="bottom"/>
          </w:tcPr>
          <w:p>
            <w:pPr>
              <w:spacing w:after="0"/>
              <w:rPr>
                <w:sz w:val="20"/>
                <w:szCs w:val="20"/>
                <w:color w:val="auto"/>
              </w:rPr>
            </w:pPr>
          </w:p>
        </w:tc>
      </w:tr>
      <w:tr>
        <w:trPr>
          <w:trHeight w:val="310"/>
        </w:trPr>
        <w:tc>
          <w:tcPr>
            <w:tcW w:w="6960" w:type="dxa"/>
            <w:vAlign w:val="bottom"/>
            <w:gridSpan w:val="4"/>
          </w:tcPr>
          <w:p>
            <w:pPr>
              <w:spacing w:after="0"/>
              <w:rPr>
                <w:sz w:val="20"/>
                <w:szCs w:val="20"/>
                <w:color w:val="auto"/>
              </w:rPr>
            </w:pPr>
            <w:r>
              <w:rPr>
                <w:rFonts w:ascii="Arial" w:cs="Arial" w:eastAsia="Arial" w:hAnsi="Arial"/>
                <w:sz w:val="18"/>
                <w:szCs w:val="18"/>
                <w:color w:val="auto"/>
              </w:rPr>
              <w:t>Address, including zip code, of principal executive offices</w:t>
            </w:r>
          </w:p>
        </w:tc>
        <w:tc>
          <w:tcPr>
            <w:tcW w:w="4460" w:type="dxa"/>
            <w:vAlign w:val="bottom"/>
          </w:tcPr>
          <w:p>
            <w:pPr>
              <w:spacing w:after="0"/>
              <w:rPr>
                <w:sz w:val="24"/>
                <w:szCs w:val="24"/>
                <w:color w:val="auto"/>
              </w:rPr>
            </w:pPr>
          </w:p>
        </w:tc>
      </w:tr>
      <w:tr>
        <w:trPr>
          <w:trHeight w:val="230"/>
        </w:trPr>
        <w:tc>
          <w:tcPr>
            <w:tcW w:w="6960" w:type="dxa"/>
            <w:vAlign w:val="bottom"/>
            <w:gridSpan w:val="4"/>
          </w:tcPr>
          <w:p>
            <w:pPr>
              <w:spacing w:after="0"/>
              <w:rPr>
                <w:sz w:val="20"/>
                <w:szCs w:val="20"/>
                <w:color w:val="auto"/>
              </w:rPr>
            </w:pPr>
            <w:r>
              <w:rPr>
                <w:rFonts w:ascii="Arial" w:cs="Arial" w:eastAsia="Arial" w:hAnsi="Arial"/>
                <w:sz w:val="18"/>
                <w:szCs w:val="18"/>
                <w:color w:val="auto"/>
              </w:rPr>
              <w:t>100 East Pratt Street, Baltimore, Maryland 21202</w:t>
            </w:r>
          </w:p>
        </w:tc>
        <w:tc>
          <w:tcPr>
            <w:tcW w:w="4460" w:type="dxa"/>
            <w:vAlign w:val="bottom"/>
          </w:tcPr>
          <w:p>
            <w:pPr>
              <w:spacing w:after="0"/>
              <w:rPr>
                <w:sz w:val="20"/>
                <w:szCs w:val="20"/>
                <w:color w:val="auto"/>
              </w:rPr>
            </w:pPr>
          </w:p>
        </w:tc>
      </w:tr>
      <w:tr>
        <w:trPr>
          <w:trHeight w:val="324"/>
        </w:trPr>
        <w:tc>
          <w:tcPr>
            <w:tcW w:w="6960" w:type="dxa"/>
            <w:vAlign w:val="bottom"/>
            <w:gridSpan w:val="4"/>
          </w:tcPr>
          <w:p>
            <w:pPr>
              <w:spacing w:after="0"/>
              <w:rPr>
                <w:sz w:val="20"/>
                <w:szCs w:val="20"/>
                <w:color w:val="auto"/>
              </w:rPr>
            </w:pPr>
            <w:r>
              <w:rPr>
                <w:rFonts w:ascii="Arial" w:cs="Arial" w:eastAsia="Arial" w:hAnsi="Arial"/>
                <w:sz w:val="18"/>
                <w:szCs w:val="18"/>
                <w:color w:val="auto"/>
              </w:rPr>
              <w:t>Registrant’s telephone number, including area code (410) 345-2000</w:t>
            </w:r>
          </w:p>
        </w:tc>
        <w:tc>
          <w:tcPr>
            <w:tcW w:w="4460" w:type="dxa"/>
            <w:vAlign w:val="bottom"/>
          </w:tcPr>
          <w:p>
            <w:pPr>
              <w:spacing w:after="0"/>
              <w:rPr>
                <w:sz w:val="24"/>
                <w:szCs w:val="24"/>
                <w:color w:val="auto"/>
              </w:rPr>
            </w:pPr>
          </w:p>
        </w:tc>
      </w:tr>
      <w:tr>
        <w:trPr>
          <w:trHeight w:val="324"/>
        </w:trPr>
        <w:tc>
          <w:tcPr>
            <w:tcW w:w="696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460" w:type="dxa"/>
            <w:vAlign w:val="bottom"/>
          </w:tcPr>
          <w:p>
            <w:pPr>
              <w:spacing w:after="0"/>
              <w:rPr>
                <w:sz w:val="24"/>
                <w:szCs w:val="24"/>
                <w:color w:val="auto"/>
              </w:rPr>
            </w:pPr>
          </w:p>
        </w:tc>
      </w:tr>
      <w:tr>
        <w:trPr>
          <w:trHeight w:val="432"/>
        </w:trPr>
        <w:tc>
          <w:tcPr>
            <w:tcW w:w="6960" w:type="dxa"/>
            <w:vAlign w:val="bottom"/>
            <w:gridSpan w:val="4"/>
          </w:tcPr>
          <w:p>
            <w:pPr>
              <w:ind w:left="1260"/>
              <w:spacing w:after="0"/>
              <w:rPr>
                <w:sz w:val="20"/>
                <w:szCs w:val="20"/>
                <w:color w:val="auto"/>
              </w:rPr>
            </w:pPr>
            <w:r>
              <w:rPr>
                <w:rFonts w:ascii="Arial" w:cs="Arial" w:eastAsia="Arial" w:hAnsi="Arial"/>
                <w:sz w:val="18"/>
                <w:szCs w:val="18"/>
                <w:color w:val="auto"/>
              </w:rPr>
              <w:t>Common stock, $.20 par value per share</w:t>
            </w:r>
          </w:p>
        </w:tc>
        <w:tc>
          <w:tcPr>
            <w:tcW w:w="4460" w:type="dxa"/>
            <w:vAlign w:val="bottom"/>
          </w:tcPr>
          <w:p>
            <w:pPr>
              <w:jc w:val="center"/>
              <w:ind w:right="890"/>
              <w:spacing w:after="0"/>
              <w:rPr>
                <w:sz w:val="20"/>
                <w:szCs w:val="20"/>
                <w:color w:val="auto"/>
              </w:rPr>
            </w:pPr>
            <w:r>
              <w:rPr>
                <w:rFonts w:ascii="Arial" w:cs="Arial" w:eastAsia="Arial" w:hAnsi="Arial"/>
                <w:sz w:val="18"/>
                <w:szCs w:val="18"/>
                <w:color w:val="auto"/>
                <w:w w:val="95"/>
              </w:rPr>
              <w:t>The NASDAQ Stock Market LLC</w:t>
            </w:r>
          </w:p>
        </w:tc>
      </w:tr>
      <w:tr>
        <w:trPr>
          <w:trHeight w:val="224"/>
        </w:trPr>
        <w:tc>
          <w:tcPr>
            <w:tcW w:w="3320" w:type="dxa"/>
            <w:vAlign w:val="bottom"/>
            <w:tcBorders>
              <w:top w:val="single" w:sz="8" w:color="auto"/>
            </w:tcBorders>
          </w:tcPr>
          <w:p>
            <w:pPr>
              <w:ind w:left="2200"/>
              <w:spacing w:after="0"/>
              <w:rPr>
                <w:sz w:val="20"/>
                <w:szCs w:val="20"/>
                <w:color w:val="auto"/>
              </w:rPr>
            </w:pPr>
            <w:r>
              <w:rPr>
                <w:rFonts w:ascii="Arial" w:cs="Arial" w:eastAsia="Arial" w:hAnsi="Arial"/>
                <w:sz w:val="18"/>
                <w:szCs w:val="18"/>
                <w:color w:val="auto"/>
                <w:w w:val="98"/>
              </w:rPr>
              <w:t>(Title of class)</w:t>
            </w:r>
          </w:p>
        </w:tc>
        <w:tc>
          <w:tcPr>
            <w:tcW w:w="21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60" w:type="dxa"/>
            <w:vAlign w:val="bottom"/>
            <w:tcBorders>
              <w:top w:val="single" w:sz="8" w:color="auto"/>
            </w:tcBorders>
          </w:tcPr>
          <w:p>
            <w:pPr>
              <w:jc w:val="center"/>
              <w:ind w:right="870"/>
              <w:spacing w:after="0"/>
              <w:rPr>
                <w:sz w:val="20"/>
                <w:szCs w:val="20"/>
                <w:color w:val="auto"/>
              </w:rPr>
            </w:pPr>
            <w:r>
              <w:rPr>
                <w:rFonts w:ascii="Arial" w:cs="Arial" w:eastAsia="Arial" w:hAnsi="Arial"/>
                <w:sz w:val="18"/>
                <w:szCs w:val="18"/>
                <w:color w:val="auto"/>
                <w:w w:val="90"/>
              </w:rPr>
              <w:t>(Name of exchange on which registered)</w:t>
            </w:r>
          </w:p>
        </w:tc>
      </w:tr>
    </w:tbl>
    <w:p>
      <w:pPr>
        <w:spacing w:after="0" w:line="60" w:lineRule="exact"/>
        <w:rPr>
          <w:sz w:val="24"/>
          <w:szCs w:val="24"/>
          <w:color w:val="auto"/>
        </w:rPr>
      </w:pPr>
    </w:p>
    <w:p>
      <w:pPr>
        <w:ind w:right="188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o No Indicate by check mark if the registrant is not required to file reports pursuant to Section 13 or Section 15(d) of the Act. o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4"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74" w:lineRule="exact"/>
        <w:rPr>
          <w:sz w:val="24"/>
          <w:szCs w:val="24"/>
          <w:color w:val="auto"/>
        </w:rPr>
      </w:pPr>
    </w:p>
    <w:p>
      <w:pPr>
        <w:ind w:right="460"/>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every Interactive Data File required to be submitted and posted pursuant to Rule 405 of Regulations S-T during the preceding 12 months.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4"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4"/>
          <w:szCs w:val="24"/>
          <w:color w:val="auto"/>
        </w:rPr>
      </w:pPr>
    </w:p>
    <w:p>
      <w:pPr>
        <w:ind w:left="3200" w:right="160" w:hanging="5039"/>
        <w:spacing w:after="0" w:line="223" w:lineRule="exact"/>
        <w:tabs>
          <w:tab w:leader="none" w:pos="31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9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0"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The aggregate market value of the common equity (all voting) held by non-affiliates (excludes current executive officers and directors) at February 1, 2011, computed using $44.39 per share (the NASDAQ Official Closing Price on June 30, 2010, the last business day of the registrant’s most recently completed second fiscal quarter) was $11.5 billion.</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the latest practicable date, February 1, 2011, is 258,993,603.</w:t>
      </w:r>
    </w:p>
    <w:p>
      <w:pPr>
        <w:spacing w:after="0" w:line="11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DOCUMENTS INCORPORATED BY REFERENCE: In Part III, the Definitive Proxy Statement for the 2011 Annual Meeting of Stockholders to be filed pursuant to Regulation 14A.</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Exhibit index begins on page 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 Rowe Price Group is a financial services holding company that derives its consolidated revenues and net income primarily from investment advisory services that its subsidiaries provide to individual and institutional investors in the sponsored T. Rowe Price mutual funds and other investment portfolios. Our 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late Thomas Rowe Price, Jr., began our advisory business in 1937, and the common stock of T. Rowe Price Associates was first offered to the public in 1986. The T. Rowe Price Group corporate holding company structure was established in 2000.</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operate our investment advisory business through our subsidiary companies, primarily T. Rowe Price Associates, Inc., T. Rowe Price International, Inc., and T. Rowe Price Global Investment Services Limited. Following the close of business on December 31, 2010, we completed an international reorganization to realize additional operational efficiencies whereby all our international operations were consolidated under one entity, T. Rowe Price Global Investment Services Limited. As part of the reorganization, the operations of our existing Hong Kong and Singapore branches were transferred to two newly incorporated investment advisers, T. Rowe Price Hong Kong Limited and T. Rowe Price Singapore Private Ltd. We also dissolved T. Rowe Price International, Inc. and renamed T. Rowe Price Global Investment Services Limited to T. Rowe Price International Ltd.</w:t>
      </w:r>
    </w:p>
    <w:p>
      <w:pPr>
        <w:spacing w:after="0" w:line="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assets under management are accumulated from a diversified client base across four primary distribution channels: third-party financial intermediaries that distribute our managed investment portfolios in the U.S. and other countries; individual U.S. investors on a direct basis; U.S. defined contribution retirement plans; and institutional investors in the U.S. and other countries.</w:t>
      </w:r>
    </w:p>
    <w:p>
      <w:pPr>
        <w:spacing w:after="0" w:line="73"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manage a broad range of U.S. and international stock, blended asset, bond, and money market mutual funds and other investment portfolios that are designed to meet the varied and changing needs and objectives of individual and institutional investors. Mutual fund shareholders can exchange balances among mutual funds as permitted when economic and market conditions and their investment needs change.</w:t>
      </w:r>
    </w:p>
    <w:p>
      <w:pPr>
        <w:spacing w:after="0" w:line="5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From time to time, we introduce new funds and other investment portfolios to complement and expand our investment offerings, respond to competitive developments in the financial marketplace, and meet the changing needs of our investment advisory clients. We will open a new mutual fund or investment portfolio if we believe that we have the appropriate investment management expertise and that its objective will be useful for investors over a long period. Conversely, we may also limit new investments into a mutual fund or investment mandate in order to maintain the integrity of the investment strategy and to protect the interests of its existing fund shareholders and investors. At present, the following funds are closed to all new investors.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00" w:type="dxa"/>
            <w:vAlign w:val="bottom"/>
            <w:tcBorders>
              <w:bottom w:val="single" w:sz="8" w:color="auto"/>
            </w:tcBorders>
          </w:tcPr>
          <w:p>
            <w:pPr>
              <w:ind w:left="2700"/>
              <w:spacing w:after="0"/>
              <w:rPr>
                <w:sz w:val="20"/>
                <w:szCs w:val="20"/>
                <w:color w:val="auto"/>
              </w:rPr>
            </w:pPr>
            <w:r>
              <w:rPr>
                <w:rFonts w:ascii="Arial" w:cs="Arial" w:eastAsia="Arial" w:hAnsi="Arial"/>
                <w:sz w:val="14"/>
                <w:szCs w:val="14"/>
                <w:color w:val="auto"/>
              </w:rPr>
              <w:t>Fund</w:t>
            </w:r>
          </w:p>
        </w:tc>
        <w:tc>
          <w:tcPr>
            <w:tcW w:w="560" w:type="dxa"/>
            <w:vAlign w:val="bottom"/>
          </w:tcPr>
          <w:p>
            <w:pPr>
              <w:spacing w:after="0"/>
              <w:rPr>
                <w:sz w:val="14"/>
                <w:szCs w:val="14"/>
                <w:color w:val="auto"/>
              </w:rPr>
            </w:pPr>
          </w:p>
        </w:tc>
        <w:tc>
          <w:tcPr>
            <w:tcW w:w="5140" w:type="dxa"/>
            <w:vAlign w:val="bottom"/>
            <w:tcBorders>
              <w:bottom w:val="single" w:sz="8" w:color="auto"/>
            </w:tcBorders>
          </w:tcPr>
          <w:p>
            <w:pPr>
              <w:ind w:left="2220"/>
              <w:spacing w:after="0"/>
              <w:rPr>
                <w:sz w:val="20"/>
                <w:szCs w:val="20"/>
                <w:color w:val="auto"/>
              </w:rPr>
            </w:pPr>
            <w:r>
              <w:rPr>
                <w:rFonts w:ascii="Arial" w:cs="Arial" w:eastAsia="Arial" w:hAnsi="Arial"/>
                <w:sz w:val="14"/>
                <w:szCs w:val="14"/>
                <w:color w:val="auto"/>
              </w:rPr>
              <w:t>Date Closed</w:t>
            </w:r>
          </w:p>
        </w:tc>
      </w:tr>
      <w:tr>
        <w:trPr>
          <w:trHeight w:val="195"/>
        </w:trPr>
        <w:tc>
          <w:tcPr>
            <w:tcW w:w="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Institutional Mid-Cap Equity Growth</w:t>
            </w:r>
          </w:p>
        </w:tc>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December 8, 2003</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Institutional Small-Cap Stock</w:t>
            </w:r>
          </w:p>
        </w:tc>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February 20, 2004</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Mid-Cap Growth</w:t>
            </w:r>
          </w:p>
        </w:tc>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May 31, 2010</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Mid-Cap Value</w:t>
            </w:r>
          </w:p>
        </w:tc>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May 31, 2010</w:t>
            </w:r>
          </w:p>
        </w:tc>
      </w:tr>
    </w:tbl>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Investment objectives for our managed investment portfolios, including the Price funds, accommodate a variety of strategies. Investors select from among the mutual funds based on the distinct objective that is described in each fund’s prospectus. Investment management of other client portfolios includes approaches similar to those employed in the Price funds. Equity investment strategies may emphasize large-cap, mid-cap or small-cap investing; growth, value or core investing; and U.S., global, or international investing. We also offer systematic, tax-efficient, and blended equity and asset allocation investment strategies including target retirement-date investment portfolios, as well as active, systematic and municipal tax-free management strategies for fixed income investments. Our specialized advisory services include management of stable value investment contracts and a distribution management service for the disposition of equity securities received from third-party venture capital investment pools.</w:t>
      </w:r>
    </w:p>
    <w:p>
      <w:pPr>
        <w:spacing w:after="0" w:line="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employ fundamental and quantitative security analyses in the performance of the investment advisory function. We maintain substantial internal equity and fixed income investment research capabilities. We perform original industry and company research using such sources as inspection of corporate activities, management interviews, company-published financial and other information, financial newspapers and magazines, corporate rating services, and field checks with suppliers and competitors in the same industry and particular business sector.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p>
      <w:pPr>
        <w:spacing w:after="0" w:line="259" w:lineRule="auto"/>
        <w:rPr>
          <w:sz w:val="20"/>
          <w:szCs w:val="20"/>
          <w:color w:val="auto"/>
        </w:rPr>
      </w:pPr>
      <w:r>
        <w:rPr>
          <w:rFonts w:ascii="Arial" w:cs="Arial" w:eastAsia="Arial" w:hAnsi="Arial"/>
          <w:sz w:val="18"/>
          <w:szCs w:val="18"/>
          <w:color w:val="auto"/>
        </w:rPr>
        <w:t>Our research staff operates primarily from offices located in the United States and England with additional staff resident in Argentina, Hong Kong, Japan, and Singapore. We also use research provided by brokerage firms and security analysts in a supportive capacity and information received from private economists, political observers, commentators, government experts, and market analysts. Our stock selection process for some investment portfolios is based on quantitative analyses using computerized data modeling.</w:t>
      </w:r>
    </w:p>
    <w:p>
      <w:pPr>
        <w:spacing w:after="0" w:line="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also provide certain administrative services as ancillary services to our investment advisory clients. These administrative services are provided by several of our subsidiaries and include mutual fund transfer agent, accounting, and shareholder services; participant recordkeeping and transfer agent services for defined contribution retirement plans investing in our sponsored mutual funds; recordkeeping services for defined contribution retirement plans investing in mutual funds outside the T. Rowe Price complex; brokerage; and trust services. Approximately 90% of our administrative revenues in 2010 were determined based generally on the recovery of our related costs to provide the administrative services. Changes in our administrative revenues and related expenses, therefore, do not significantly affect our net operating income or net income.</w:t>
      </w:r>
    </w:p>
    <w:p>
      <w:pPr>
        <w:spacing w:after="0" w:line="7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Information concerning our revenues, results of operations and total assets, and our investment assets under management during the past three years is contained in our consolidated financial statements and in note 2 thereto, which are both included in Item 8 of this Form 10-K.</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2010 DEVELOPMENTS. Total assets under our management increased $90.7 billion over the course of 2010 and ended the year at a record $482.0 billion, a substantial recovery from the $276.3 billion at the end of 2008 and an increase of 21% from the previous record year-end high of $400.0 billion at the end of 2007. Our year-end assets under management include $360.6 billion in equity and blended asset investment portfolios and $121.4 billion in fixed income investment portfolios. The investment portfolios that we manage consist of $282.6 billion in the T. Rowe Price mutual funds distributed in the United States and $199.4 billion in other investment portfolios, including separately managed accounts for institutional and individual investors, subadvised funds, and other sponsored investment funds offered to investors outside the U.S. and through variable annuity life insurance plans in the U.S. Retirement accounts and variable annuity investment portfolios account for $293.3 billion of our year-end assets under management. Non-U.S. dollar denominated securities account for about $70 billion of the total.</w:t>
      </w:r>
    </w:p>
    <w:p>
      <w:pPr>
        <w:spacing w:after="0" w:line="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firm’s long-term investment advisory results relative to our peers remain very strong, with 86% of the T. Rowe Price funds across their share classes surpassing their comparable Lipper averages on a total return basis for the three-year period ended December 31, 2010, 88% outperforming for the five-year period, 84% outperforming for the 10-year period, and 74% outperforming for the one-year period. In addition, T. Rowe Price stock, bond and blended asset funds that ended the quarter with an overall rating of four or five stars from Morningstar account for more than 70% of our rated funds’ assets under management.</w:t>
      </w:r>
    </w:p>
    <w:p>
      <w:pPr>
        <w:spacing w:after="0" w:line="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strong relative investment performance and brand awareness contributed significantly to attracting net inflows of $30.3 billion to our management in 2010. Third-party financial intermediaries, institutional investors around the world, and our target-date retirement portfolios were the most significant sources of these net inflows. Market appreciation and income added $60.4 billion in 2010.</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Assets under management in our target-date retirement portfolios increased nearly 36% or $15.7 billion during 2010 to total $59.4 billion, or 12% of our managed assets at year-end.</w:t>
      </w:r>
    </w:p>
    <w:p>
      <w:pPr>
        <w:spacing w:after="0" w:line="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Six Price funds — Growth Stock, Equity Income, Mid-Cap Growth, Blue Chip Growth, Value, and Capital Appreciation — accounted for 25% of our investment advisory revenues in 2010 and 21% of our assets under management at December 31, 2010.</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Our international clients account for 12.5% of our total assets under management at December 31, 2010, up from nearly 12% at the beginning of the year.</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20, 2010, we completed the purchase of a 26% equity interest in UTI Asset Management Company and an affiliate from existing stockholders for 6.5 billion Indian rupees (INR), or $142.4 million, plus transaction costs of $3.2 million of which a portion was paid in 2009. We repurchased 5.0 million shares of our common stock for $240 million in 2010. We funded the investment in UTI and the share repurchases with existing cash balances and cash generated from operations.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 w:name="page4"/>
    <w:bookmarkEnd w:id="3"/>
    <w:p>
      <w:pPr>
        <w:ind w:right="300"/>
        <w:spacing w:after="0" w:line="264" w:lineRule="auto"/>
        <w:rPr>
          <w:sz w:val="20"/>
          <w:szCs w:val="20"/>
          <w:color w:val="auto"/>
        </w:rPr>
      </w:pPr>
      <w:r>
        <w:rPr>
          <w:rFonts w:ascii="Arial" w:cs="Arial" w:eastAsia="Arial" w:hAnsi="Arial"/>
          <w:sz w:val="18"/>
          <w:szCs w:val="18"/>
          <w:color w:val="auto"/>
        </w:rPr>
        <w:t>We made a one-time contribution of $16.4 million in November 2010, to certain of our sponsored money market mutual funds to offset the effect of cumulative net losses realized by those funds in past years in order to allay any fund shareholder concerns that might arise because of new SEC disclosure rules. The charge associated with this one-time contribution is included in other operating expenses.</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the Background section of Management’s Discussion and Analysis of Financial Condition and Results of Operations in Item 7 of this report for more information on the 2010 market environment in which we operated.</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PRICE FUNDS. We provide investment advisory, distribution and other administrative services to the Price funds under various agreements. Investment advisory services are provided to each fund under individual investment management agreements that grant the fund the right to use the T. Rowe Price name. The boards of the respective funds, including a majority of directors who are not interested persons of the funds or of T. Rowe Price Group (as defined in the Investment Company Act of 1940), must approve the investment management agreements annually. Fund shareholders must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w:t>
      </w:r>
    </w:p>
    <w:p>
      <w:pPr>
        <w:spacing w:after="0" w:line="7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u w:val="single" w:color="auto"/>
          <w:color w:val="auto"/>
        </w:rPr>
        <w:t>Advisory Services.</w:t>
      </w:r>
      <w:r>
        <w:rPr>
          <w:rFonts w:ascii="Arial" w:cs="Arial" w:eastAsia="Arial" w:hAnsi="Arial"/>
          <w:sz w:val="16"/>
          <w:szCs w:val="16"/>
          <w:color w:val="auto"/>
        </w:rPr>
        <w:t xml:space="preserve"> Investment advisory revenues are determined daily based on the net assets managed in each fund. Additional revenues are earned for advisory-related administrative services as discussed below. Independent directors and trustees of the Price funds regularly review our fee structures.</w:t>
      </w:r>
    </w:p>
    <w:p>
      <w:pPr>
        <w:spacing w:after="0" w:line="1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advisory fee paid monthly by each of the Price funds is computed on a daily basis by multiplying a fund’s net assets by a specific fee rate. For the majority of the Price funds, the fee rate is equal to the sum of a tiered group rate that is set based on the aggregate net assets of nearly all of the Price funds and an individual fund rate that is set based on the fund’s specific investment objective.</w:t>
      </w:r>
    </w:p>
    <w:p>
      <w:pPr>
        <w:spacing w:after="0" w:line="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effective group rate when combined net assets exceed $220 billion is calculated based on a weighted-average fee across pricing tiers of 30.0 basis points for the first $220 billion of net assets plus 28.5 basis points for net assets in excess of $220 billion. To the extent that the combined net assets of the funds increase, the group charge component of a fund’s advisory fee rate, and therefore the advisory fee rate paid by each fund, will decrease. Each individual fund charge for four of our five largest funds — Growth Stock, Mid-Cap Growth, Equity Income, and Blue Chip Growth — is a weighted average determined by applying a 15% reduction for net assets in excess of $15 billion to the base individual fund rate.</w:t>
      </w:r>
    </w:p>
    <w:p>
      <w:pPr>
        <w:spacing w:after="0" w:line="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calendar-year 2010 fees determined in the above manner for stock and bond funds that incurred advisory fees of at least $5 million in 2010 varied from a low of 40 basis points for the Tax-Free Short-Intermediate and Maryland Tax-Free Bond funds to a high of 105 basis points for the Emerging Europe &amp; Mediterranean, International Discovery, Latin America, and Emerging Markets Stock funds. Details of each fund’s fee arrangement are available in its prospectus.</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Several of the Price funds, including the Index and Summit funds, instead have individual advisory fees or single, all-inclusive fees that cover both investment management and ordinary operating expenses. Each of the funds in the series of Spectrum Funds and in the series of target-date Retirement Funds invest in a broadly diversified portfolio of other Price funds and have no separate investment advisory fee. However, they indirectly bear the expenses of the funds in which they invest. Mutual funds for institutional investors each have a separate advisory fee arrangement.</w:t>
      </w:r>
    </w:p>
    <w:p>
      <w:pPr>
        <w:spacing w:after="0" w:line="6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Because of the low interest rate environment continuing throughout 2010, we voluntarily waived money market advisory fees of $25.1 million to maintain a zero or positive yield for fund investors. We began waiving our money market advisory fees during the second half of 2009 and anticipate these fee waivers will continue into 2011. These 2010 fee waivers lowered the money market advisory fee rates from a low of five basis points for the U.S. Treasury Money and California Tax-Free Money funds to a high of 28 basis points for the Summit Cash Reserves fund.</w:t>
      </w:r>
    </w:p>
    <w:p>
      <w:pPr>
        <w:spacing w:after="0" w:line="6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Each of the Price funds has a distinct investment objective that has been developed as part of our strategy to provide a broad, comprehensive selection of investing opportunities. The Investor class of all Price funds can be purchased in the United States on a no-load basis, without a sales commission or 12b-1 fee. No-load mutual fund shares offer investors a low-cost and relatively easy method of directly investing in a variety of stock and bond portfolios.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 w:name="page5"/>
    <w:bookmarkEnd w:id="4"/>
    <w:p>
      <w:pPr>
        <w:ind w:right="120"/>
        <w:spacing w:after="0" w:line="302" w:lineRule="auto"/>
        <w:rPr>
          <w:sz w:val="20"/>
          <w:szCs w:val="20"/>
          <w:color w:val="auto"/>
        </w:rPr>
      </w:pPr>
      <w:r>
        <w:rPr>
          <w:rFonts w:ascii="Arial" w:cs="Arial" w:eastAsia="Arial" w:hAnsi="Arial"/>
          <w:sz w:val="16"/>
          <w:szCs w:val="16"/>
          <w:color w:val="auto"/>
        </w:rPr>
        <w:t>Certain of the Price funds also offer Advisor and R classes of shares that are distributed to mutual fund shareholders and defined contribution retirement plans, respectively, through third-party financial intermediaries. These share classes incur 12b-1 fees of 25 and 50 basis points, respectively, for distribution, administration, and personal services. Our subsidiary, T. Rowe Price Investment Services, is the principal distributor of the Price funds and enters into agreements with each intermediary. Payment of 12b-1 fees is made by each fund directly to the applicable intermediaries.</w:t>
      </w:r>
    </w:p>
    <w:p>
      <w:pPr>
        <w:spacing w:after="0" w:line="4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accounting for 12b-1 fees, the applicable mutual fund share classes incur the related expense and we recognize the corresponding administrative revenue in our consolidated statement of income. We also recognize, as part of our other operating expenses in the consolidated statement of income, the corresponding payment of these fees from each fund to the third-party financial intermediaries. The revenue that we recognize from the funds and the expense that we recognize for the fees paid to third party intermediaries are equal in amount and, therefore, do not impact our net operating income.</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Each Price fund typically bears all expenses associated with its operation and the issuance and redemption of its securities. In particular, each fund pays investment advisory fees; shareholder servicing fees and expenses; fund accounting fees and expenses; 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We usually provide that a newly organized fund’s expenses will not exceed a specified percentage of its net assets during an initial operating period.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Generally, during the earlier portion of the period, we will waive advisory fees and absorb other mutual fund expenses in excess of the self-imposed limits.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latter portion of the period, we may recover some or all of the waived fees and absorbed costs.</w:t>
      </w:r>
    </w:p>
    <w:p>
      <w:pPr>
        <w:spacing w:after="0" w:line="1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Except as noted above for 12b-1 fees, we bear all advertising and promotion expenses associated with our distribution of the Price funds. These costs are recognized currently, and include advertising and direct mail communications to potential fund shareholders as well as substantial staff and communications capabilities to respond to investor inquiries. Marketing and promotional efforts are focused in the print media, television, and the Internet. In addition, we direct considerable marketing efforts to defined contribution plans that invest in mutual funds. Advertising and promotion expenditures vary over time based on investor interest, market conditions, new investment offerings, and the development and expansion of new marketing initiatives, including enhancements to our website.</w:t>
      </w:r>
    </w:p>
    <w:p>
      <w:pPr>
        <w:spacing w:after="0" w:line="8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u w:val="single" w:color="auto"/>
          <w:color w:val="auto"/>
        </w:rPr>
        <w:t>Administrative Services.</w:t>
      </w:r>
      <w:r>
        <w:rPr>
          <w:rFonts w:ascii="Arial" w:cs="Arial" w:eastAsia="Arial" w:hAnsi="Arial"/>
          <w:sz w:val="17"/>
          <w:szCs w:val="17"/>
          <w:color w:val="auto"/>
        </w:rPr>
        <w:t xml:space="preserve"> We provide advisory-related administrative services to the Price funds through our subsidiaries. T. Rowe Price Services provides mutual fund transfer agency and shareholder services, including maintenance of staff, facilities, and technology and other equipment to respond to inquiries from fund shareholders. T. Rowe Price Associates provides mutual fund accounting services, including maintenance of financial records, preparation of financial statements and reports, daily valuation of portfolio securities and computation of daily net asset values per share. T. Rowe Price Retirement Plan Services provides participant accounting, plan administration and transfer agent services for defined contribution retirement plans that invest in the Price funds. Plan sponsors and participants compensate us for some services while the Price funds compensate us for maintaining and administering the individual participant accounts for those plans that invest in the funds.</w:t>
      </w:r>
    </w:p>
    <w:p>
      <w:pPr>
        <w:spacing w:after="0" w:line="7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Our trustee services are provided by another subsidiary, T. Rowe Price Trust Company. Through this Maryland-chartered limited-service trust company, we offer common trust funds for investment by qualified retirement plans and serve as trustee for retirement plans and IRAs.</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 Rowe Price Trust Company may not accept deposits and cannot make personal or commercial loans. Another subsidiary, T. Rowe Price Savings Bank, issues federally insured certificates of deposit.</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provide non-discretionary advisory planning services to fund shareholders and potential investors through our subsidiary T. Rowe Price Advisory Services. These services are limited in scope and include retirement planning services, such as saving for retirement, transitioning into retirement, and income in retirement. An investment portfolio evaluation service is an integral part of these services. An ongoing checkup service is also available to assist an investor in remaining on track to achieve their financial goals.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Fund Assets.</w:t>
      </w:r>
      <w:r>
        <w:rPr>
          <w:rFonts w:ascii="Arial" w:cs="Arial" w:eastAsia="Arial" w:hAnsi="Arial"/>
          <w:sz w:val="18"/>
          <w:szCs w:val="18"/>
          <w:color w:val="auto"/>
        </w:rPr>
        <w:t xml:space="preserve"> At December 31, 2010, assets under our management in the Price funds aggregated $282.6 billion, an increase of 21.4% or $49.9 billion from the beginning of the year. The following table presents the net assets (in billions) of our largest funds (net assets in excess of $.7 billion at December 31) and the year each fund was started. The Spectrum and Retirement series of funds are not presented in the table because their assets are already included in their underlying fund holdings.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Stock funds: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Balanced (1991)</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Blue Chip Growth (1993)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Capital Appreciation (1986)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Growth (1992)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Emerging Europe &amp; Mediterranean (2000)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Emerging Markets Stock (1995)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Equity Income (1985)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Index 500 (1990)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European Stock (1990)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Global Stock (1995)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Growth &amp; Income (1982)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Growth Stock (1950)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Health Sciences (1995)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Institutional Emerging Markets Equity (2002)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Institutional Large-Cap Growth (2001)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Institutional Mid-Cap Equity Growth (1996)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International Discovery (1988)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Growth &amp; Income (1998)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International Stock (1980)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 (1993)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Media &amp; Telecommunications (1993)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Mid-Cap Growth (1992)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Mid-Cap Value (1996)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America Growth (1985)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New Asia (1990)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Era (1969)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New Horizons (1960)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Overseas Stock (2006)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Personal Strategy Balanced (1994)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Personal Strategy Growth (1994)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Personal Strategy Income (1994)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Assets (2010)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Real Estate (1997)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Science &amp; Technology (1987)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Small-Cap Stock (1992)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Small-Cap Value (1988)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Value (1994)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stock and blended asset funds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Bond and money market funds: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Corporate Income (1995)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Emerging Markets Bond (1994)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GNMA (1985)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High Yield (1984)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Inflation Focused Bond (2006)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Institutional Floating Rate (2008)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Institutional High Yield (2002)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Bond (1986)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Maryland Tax-Free Bond (1987)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Income (1973)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Prime Reserve (1976)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Bond (1984)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Summit Cash Reserves (1993)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Summit Municipal Intermediate (1993)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Tax-Exempt Money (1981)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Tax-Free High Yield (1985)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Tax-Free Income (1976)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Tax-Free Short-Intermediate (1983)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U.S. Treasury Money (1982)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Virginia Tax-Free Bond (1991)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Other bond and money market funds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subsidiaries invest in many of the T. Rowe Price funds.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32" w:gutter="0" w:footer="0" w:header="0"/>
        </w:sectPr>
      </w:pPr>
    </w:p>
    <w:bookmarkStart w:id="6" w:name="page7"/>
    <w:bookmarkEnd w:id="6"/>
    <w:p>
      <w:pPr>
        <w:ind w:right="220"/>
        <w:spacing w:after="0" w:line="277" w:lineRule="auto"/>
        <w:rPr>
          <w:sz w:val="20"/>
          <w:szCs w:val="20"/>
          <w:color w:val="auto"/>
        </w:rPr>
      </w:pPr>
      <w:r>
        <w:rPr>
          <w:rFonts w:ascii="Arial" w:cs="Arial" w:eastAsia="Arial" w:hAnsi="Arial"/>
          <w:sz w:val="18"/>
          <w:szCs w:val="18"/>
          <w:color w:val="auto"/>
        </w:rPr>
        <w:t>OTHER INVESTMENT PORTFOLIOS. We managed $199.4 billion at December 31, 2010, in other client investment portfolios, up $40.8 billion from the beginning of the year.</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provide investment advisory services to these clients through our subsidiaries on a separately managed or subadvised account basis and through sponsored investment portfolios, such as common trust funds, Luxembourg-based mutual funds, and variable annuity life insurance plans. At December 31, these portfolios included the following investment assets: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U.S. stocks</w:t>
            </w:r>
          </w:p>
        </w:tc>
        <w:tc>
          <w:tcPr>
            <w:tcW w:w="3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International stocks</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Stable value assets</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Bonds and money market securities</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25.3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7"/>
        </w:trPr>
        <w:tc>
          <w:tcPr>
            <w:tcW w:w="5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w:t>
            </w:r>
          </w:p>
        </w:tc>
      </w:tr>
      <w:tr>
        <w:trPr>
          <w:trHeight w:val="20"/>
        </w:trPr>
        <w:tc>
          <w:tcPr>
            <w:tcW w:w="5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fees for managing these investment portfolios are computed using the value of assets under our management. In 2010, 49% of these advisory fees were recognized based on daily portfolio valuations. The balance of our managed investment portfolios are generally billed quarterly, with month-end average values during the billing period and end of billing period values accounting for 30% and 20%, respectively, of our 2010 revenues.</w:t>
      </w:r>
    </w:p>
    <w:p>
      <w:pPr>
        <w:spacing w:after="0" w:line="5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charge fees for investment management to these clients based on, among other things, the specific investment services to be provided. Our standard form of investment advisory agreement for client accounts provides that the agreement may be terminated at any time and that any unearned fees paid in advance will be refunded.</w:t>
      </w:r>
    </w:p>
    <w:p>
      <w:pPr>
        <w:spacing w:after="0" w:line="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largest client account relationship outside the T. Rowe Price funds is with a third-party financial intermediary that accounted for about 3% of our investment advisory revenues in 2010.</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REGULATION. T. Rowe Price Associates, T. Rowe Price International Ltd, T. Rowe Price (Canada), T. Rowe Price Hong Kong Limited, T. Rowe Price Singapore Private Ltd., and T. Rowe Price Advisory Services are registered with the SEC as investment advisers under the Investment Advisers Act of 1940. T. Rowe Price International Ltd is also regulated by the Financial Services Authority (FSA) in the United Kingdom and, in certain cases, by other foreign regulators. The Securities and Futures Commission and Monetary Authority of Singapore also regulate T. Rowe Price Hong Kong Limited and T. Rowe Price Singapore Private Ltd., respectively. Our transfer agent services subsidiaries are registered under the Securities Exchange Act of 1934, and our trust company is regulated by the State of Maryland, Commissioner of Financial Regulation. T. Rowe Price Savings Bank is regulated by the Office of Thrift Supervision, U.S. Department of the Treasury. T. Rowe Price (Canada) is also registered with several of the provincial securities commissions in Canada.</w:t>
      </w:r>
    </w:p>
    <w:p>
      <w:pPr>
        <w:spacing w:after="0" w:line="5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 Rowe Price Investment Services is a registered broker-dealer and member of the Financial Industry Regulatory Authority (FINRA) and the Securities Investor Protection Corporation. We provide brokerage services through this subsidiary primarily to complement the other services provided to shareholders of the Price funds. Pershing, a third-party clearing broker and affiliate of the Bank of New York, maintains our brokerage’s customer accounts and clears all transactions.</w:t>
      </w:r>
    </w:p>
    <w:p>
      <w:pPr>
        <w:spacing w:after="0" w:line="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All aspects of our business are subject to extensive federal, state and foreign laws and regulations. These laws and regulations are primarily intended to benefit or protect our clients and the Price funds’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foreign regulatory agencies. Our subsidiaries’ net capital, as defined, meets or exceeds all minimum requirements.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COMPETITION. 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and other financial institutions in all aspects of our business and in every country in which we offer our advisory services. Many of these financial institutions have substantially greater resources than we do. We compete with other providers of investment advisory services primarily based on the availability and objectives of the investment portfolios offered, investment performance, and the scope and quality of investment advice and other client services. In order to maintain and enhance our competitive position, we may review acquisition and venture opportunities and, if appropriate, engage in discussions and negotiations that could lead to the acquisition of a new equity or other financial relationship.</w:t>
      </w:r>
    </w:p>
    <w:p>
      <w:pPr>
        <w:spacing w:after="0" w:line="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EMPLOYEES. At December 31, 2010, we employed 5,052 associates, up 5.2% from the 4,802 associates employed at the end of 2009. We may add additional temporary and part-time personnel to our staff from time to time to meet periodic and special project demands, primarily for technology and mutual fund administrative services.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60"/>
        <w:spacing w:after="0" w:line="276" w:lineRule="auto"/>
        <w:rPr>
          <w:sz w:val="20"/>
          <w:szCs w:val="20"/>
          <w:color w:val="auto"/>
        </w:rPr>
      </w:pPr>
      <w:r>
        <w:rPr>
          <w:rFonts w:ascii="Arial" w:cs="Arial" w:eastAsia="Arial" w:hAnsi="Arial"/>
          <w:sz w:val="17"/>
          <w:szCs w:val="17"/>
          <w:color w:val="auto"/>
        </w:rPr>
        <w:t xml:space="preserve">SEC FILINGS. We make available free of charge through our Internet web 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Securities and Exchange Commission. To obtain any of this information, access our web page at </w:t>
      </w:r>
      <w:r>
        <w:rPr>
          <w:rFonts w:ascii="Arial" w:cs="Arial" w:eastAsia="Arial" w:hAnsi="Arial"/>
          <w:sz w:val="17"/>
          <w:szCs w:val="17"/>
          <w:u w:val="single" w:color="auto"/>
          <w:color w:val="auto"/>
        </w:rPr>
        <w:t>http://trow.client.shareholder.com/financials.cfm</w:t>
      </w:r>
      <w:r>
        <w:rPr>
          <w:rFonts w:ascii="Arial" w:cs="Arial" w:eastAsia="Arial" w:hAnsi="Arial"/>
          <w:sz w:val="17"/>
          <w:szCs w:val="17"/>
          <w:color w:val="auto"/>
        </w:rPr>
        <w:t>. We also make our financial statement information from our periodic SEC filings available on our website in the form of XBRL data files that may be used to facilitate computer-assisted investor analysis.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An investment in our common stock involves various risks, including those mentioned below and those that are discussed from time-to-time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RISKS RELATING TO OUR BUSINESS AND THE FINANCIAL SERVICES INDUSTRY.</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Our revenues are based on the market value and composition of the assets under our management, all of which are subject to fluctuation caused by factors outside of our control.</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derive our revenues primarily from investment advisory services provided by our subsidiaries to individual and institutional investors in the T. Rowe Price mutual funds and other investment portfolios. Our investment advisory fees typically are calculated as a percentage of the market value of the assets under our management. We generally earn higher fees on assets invested in our equity funds and equity investment portfolios than we earn on assets invested in our fixed income funds and portfolios. Among equity investments, there is a significant variation in fees earned from index-based investments at the low end and emerging markets funds and portfolios at the high end. Fees also vary across the fixed income funds and portfolios, though not as widely as equity investments, with stable value portfolios and money market securities at the lower end and non-U.S. dollar denominated bonds at the high end. As a result, our revenues are dependent on the value and composition of the assets under our management, all of which are subject to substantial fluctuation due to many factors, including:</w:t>
      </w:r>
    </w:p>
    <w:p>
      <w:pPr>
        <w:spacing w:after="0" w:line="84"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Investor Mobility. Our investors generally may withdraw their funds at any time, on very short notice and without any significant penalty.</w:t>
      </w:r>
    </w:p>
    <w:p>
      <w:pPr>
        <w:spacing w:after="0" w:line="117" w:lineRule="exact"/>
        <w:rPr>
          <w:rFonts w:ascii="Arial" w:cs="Arial" w:eastAsia="Arial" w:hAnsi="Arial"/>
          <w:sz w:val="18"/>
          <w:szCs w:val="18"/>
          <w:b w:val="1"/>
          <w:bCs w:val="1"/>
          <w:color w:val="auto"/>
        </w:rPr>
      </w:pPr>
    </w:p>
    <w:p>
      <w:pPr>
        <w:ind w:right="520" w:firstLine="8"/>
        <w:spacing w:after="0" w:line="277" w:lineRule="auto"/>
        <w:tabs>
          <w:tab w:leader="none" w:pos="10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General Market Declines. A downturn in stock or bond prices would cause the value of assets under our management to decrease, and may also cause investors to withdraw their investments, thereby further decreasing the level of assets under our management.</w:t>
      </w:r>
    </w:p>
    <w:p>
      <w:pPr>
        <w:spacing w:after="0" w:line="62" w:lineRule="exact"/>
        <w:rPr>
          <w:rFonts w:ascii="Arial" w:cs="Arial" w:eastAsia="Arial" w:hAnsi="Arial"/>
          <w:sz w:val="18"/>
          <w:szCs w:val="18"/>
          <w:b w:val="1"/>
          <w:bCs w:val="1"/>
          <w:color w:val="auto"/>
        </w:rPr>
      </w:pPr>
    </w:p>
    <w:p>
      <w:pPr>
        <w:ind w:right="80" w:firstLine="8"/>
        <w:spacing w:after="0" w:line="259" w:lineRule="auto"/>
        <w:tabs>
          <w:tab w:leader="none" w:pos="10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Investment Performance. If the investment performance of our managed portfolios is less than that of our competitors or applicable third-party benchmarks, we could lose existing and potential customers and suffer a decrease in assets under management. Institutional investors in particular consider changing investment advisers based upon poor relative investment performance. Individual investors in contrast are more likely to react to poor absolute investment performance.</w:t>
      </w:r>
    </w:p>
    <w:p>
      <w:pPr>
        <w:spacing w:after="0" w:line="78" w:lineRule="exact"/>
        <w:rPr>
          <w:rFonts w:ascii="Arial" w:cs="Arial" w:eastAsia="Arial" w:hAnsi="Arial"/>
          <w:sz w:val="18"/>
          <w:szCs w:val="18"/>
          <w:b w:val="1"/>
          <w:bCs w:val="1"/>
          <w:color w:val="auto"/>
        </w:rPr>
      </w:pPr>
    </w:p>
    <w:p>
      <w:pPr>
        <w:ind w:right="280" w:firstLine="8"/>
        <w:spacing w:after="0" w:line="277" w:lineRule="auto"/>
        <w:tabs>
          <w:tab w:leader="none" w:pos="10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Global Economies. National and international political and economic events may cause financial market declines that lower the value of assets under our management, and may cause investors to withdraw funds.</w:t>
      </w:r>
    </w:p>
    <w:p>
      <w:pPr>
        <w:spacing w:after="0" w:line="62" w:lineRule="exact"/>
        <w:rPr>
          <w:rFonts w:ascii="Arial" w:cs="Arial" w:eastAsia="Arial" w:hAnsi="Arial"/>
          <w:sz w:val="18"/>
          <w:szCs w:val="18"/>
          <w:b w:val="1"/>
          <w:bCs w:val="1"/>
          <w:color w:val="auto"/>
        </w:rPr>
      </w:pPr>
    </w:p>
    <w:p>
      <w:pPr>
        <w:ind w:right="40" w:firstLine="8"/>
        <w:spacing w:after="0" w:line="277" w:lineRule="auto"/>
        <w:tabs>
          <w:tab w:leader="none" w:pos="10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Investing Trends. Changes in investing trends and, in particular, retirement savings trends, including the prevalence of defined contribution retirement plans, may reduce interest in our funds and portfolios and may alter our mix of assets under management.</w:t>
      </w:r>
    </w:p>
    <w:p>
      <w:pPr>
        <w:spacing w:after="0" w:line="62" w:lineRule="exact"/>
        <w:rPr>
          <w:rFonts w:ascii="Arial" w:cs="Arial" w:eastAsia="Arial" w:hAnsi="Arial"/>
          <w:sz w:val="18"/>
          <w:szCs w:val="18"/>
          <w:b w:val="1"/>
          <w:bCs w:val="1"/>
          <w:color w:val="auto"/>
        </w:rPr>
      </w:pPr>
    </w:p>
    <w:p>
      <w:pPr>
        <w:ind w:left="120" w:hanging="112"/>
        <w:spacing w:after="0"/>
        <w:tabs>
          <w:tab w:leader="none" w:pos="12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Interest Rate Changes. Investor interest in and the valuation of our fixed income investment funds and portfolios are affected by changes in interest rates.</w:t>
      </w:r>
    </w:p>
    <w:p>
      <w:pPr>
        <w:spacing w:after="0" w:line="140" w:lineRule="exact"/>
        <w:rPr>
          <w:rFonts w:ascii="Arial" w:cs="Arial" w:eastAsia="Arial" w:hAnsi="Arial"/>
          <w:sz w:val="16"/>
          <w:szCs w:val="16"/>
          <w:b w:val="1"/>
          <w:bCs w:val="1"/>
          <w:color w:val="auto"/>
        </w:rPr>
      </w:pPr>
    </w:p>
    <w:p>
      <w:pPr>
        <w:ind w:right="340" w:firstLine="8"/>
        <w:spacing w:after="0" w:line="312" w:lineRule="auto"/>
        <w:tabs>
          <w:tab w:leader="none" w:pos="105"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Tax Regulation Changes. Changes in the status of tax deferred retirement plan investments and tax-free municipal bonds, the capital gains and corporate dividend tax rates, and other individual and corporate tax rates and regulations could adversely affect investor behavior and may cause investors to view certain investment offerings less favorably and withdraw their investment assets, thereby decreasing the level of assets under our management.</w:t>
      </w:r>
    </w:p>
    <w:p>
      <w:pPr>
        <w:spacing w:after="0" w:line="3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 decrease in the value of assets under our management, or an adverse change in their composition, could have a material adverse effect on our investment advisory fees and revenues. For any period in which revenues decline, net income and operating margins will likely decline by a greater proportion because certain expenses will be fixed over that finite period.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 significant majority of our revenues are based on contracts with the Price funds that are subject to termination without cause and on short notice.</w:t>
      </w:r>
    </w:p>
    <w:p>
      <w:pPr>
        <w:spacing w:after="0" w:line="1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provide investment advisory, distribution and other administrative services to the Price funds under various agreements. Investment advisory services are provided to each Price fund under individual investment management agreements. The board of each Price fund must annually approve the terms of the investment management and service agreements and can terminate the agreement upon 60-day notice. If a Price fund seeks to lower the fees that we receive or terminate its contract with us, we would experience a decline in fees earned from the Price funds, which could have a material adverse effect on our revenues and net income.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right="200"/>
        <w:spacing w:after="0" w:line="277" w:lineRule="auto"/>
        <w:rPr>
          <w:sz w:val="20"/>
          <w:szCs w:val="20"/>
          <w:color w:val="auto"/>
        </w:rPr>
      </w:pPr>
      <w:r>
        <w:rPr>
          <w:rFonts w:ascii="Arial" w:cs="Arial" w:eastAsia="Arial" w:hAnsi="Arial"/>
          <w:sz w:val="18"/>
          <w:szCs w:val="18"/>
          <w:u w:val="single" w:color="auto"/>
          <w:color w:val="auto"/>
        </w:rPr>
        <w:t>We operate in an intensely competitive industry, which could cause a loss of customers and their assets, thereby reducing our assets under management and our revenues and net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competition in all aspects of our business from:</w:t>
      </w:r>
    </w:p>
    <w:p>
      <w:pPr>
        <w:spacing w:after="0" w:line="117"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asset management firms,</w:t>
      </w:r>
    </w:p>
    <w:p>
      <w:pPr>
        <w:spacing w:after="0" w:line="23" w:lineRule="exact"/>
        <w:rPr>
          <w:rFonts w:ascii="Arial" w:cs="Arial" w:eastAsia="Arial" w:hAnsi="Arial"/>
          <w:sz w:val="18"/>
          <w:szCs w:val="18"/>
          <w:b w:val="1"/>
          <w:bCs w:val="1"/>
          <w:color w:val="auto"/>
        </w:rPr>
      </w:pPr>
    </w:p>
    <w:p>
      <w:pPr>
        <w:ind w:left="120" w:hanging="112"/>
        <w:spacing w:after="0"/>
        <w:tabs>
          <w:tab w:leader="none" w:pos="1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mutual fund companies,</w:t>
      </w:r>
    </w:p>
    <w:p>
      <w:pPr>
        <w:spacing w:after="0" w:line="9" w:lineRule="exact"/>
        <w:rPr>
          <w:rFonts w:ascii="Arial" w:cs="Arial" w:eastAsia="Arial" w:hAnsi="Arial"/>
          <w:sz w:val="18"/>
          <w:szCs w:val="18"/>
          <w:b w:val="1"/>
          <w:bCs w:val="1"/>
          <w:color w:val="auto"/>
        </w:rPr>
      </w:pPr>
    </w:p>
    <w:p>
      <w:pPr>
        <w:ind w:left="120" w:hanging="112"/>
        <w:spacing w:after="0"/>
        <w:tabs>
          <w:tab w:leader="none" w:pos="1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commercial banks and thrift institutions,</w:t>
      </w:r>
    </w:p>
    <w:p>
      <w:pPr>
        <w:spacing w:after="0" w:line="9" w:lineRule="exact"/>
        <w:rPr>
          <w:rFonts w:ascii="Arial" w:cs="Arial" w:eastAsia="Arial" w:hAnsi="Arial"/>
          <w:sz w:val="18"/>
          <w:szCs w:val="18"/>
          <w:b w:val="1"/>
          <w:bCs w:val="1"/>
          <w:color w:val="auto"/>
        </w:rPr>
      </w:pPr>
    </w:p>
    <w:p>
      <w:pPr>
        <w:ind w:left="120" w:hanging="112"/>
        <w:spacing w:after="0"/>
        <w:tabs>
          <w:tab w:leader="none" w:pos="1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insurance companies,</w:t>
      </w:r>
    </w:p>
    <w:p>
      <w:pPr>
        <w:spacing w:after="0" w:line="9" w:lineRule="exact"/>
        <w:rPr>
          <w:rFonts w:ascii="Arial" w:cs="Arial" w:eastAsia="Arial" w:hAnsi="Arial"/>
          <w:sz w:val="18"/>
          <w:szCs w:val="18"/>
          <w:b w:val="1"/>
          <w:bCs w:val="1"/>
          <w:color w:val="auto"/>
        </w:rPr>
      </w:pPr>
    </w:p>
    <w:p>
      <w:pPr>
        <w:ind w:left="120" w:hanging="112"/>
        <w:spacing w:after="0"/>
        <w:tabs>
          <w:tab w:leader="none" w:pos="1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hedge funds,</w:t>
      </w:r>
    </w:p>
    <w:p>
      <w:pPr>
        <w:spacing w:after="0" w:line="9" w:lineRule="exact"/>
        <w:rPr>
          <w:rFonts w:ascii="Arial" w:cs="Arial" w:eastAsia="Arial" w:hAnsi="Arial"/>
          <w:sz w:val="18"/>
          <w:szCs w:val="18"/>
          <w:b w:val="1"/>
          <w:bCs w:val="1"/>
          <w:color w:val="auto"/>
        </w:rPr>
      </w:pPr>
    </w:p>
    <w:p>
      <w:pPr>
        <w:ind w:left="120" w:hanging="112"/>
        <w:spacing w:after="0"/>
        <w:tabs>
          <w:tab w:leader="none" w:pos="1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exchange traded funds,</w:t>
      </w:r>
    </w:p>
    <w:p>
      <w:pPr>
        <w:spacing w:after="0" w:line="9" w:lineRule="exact"/>
        <w:rPr>
          <w:rFonts w:ascii="Arial" w:cs="Arial" w:eastAsia="Arial" w:hAnsi="Arial"/>
          <w:sz w:val="18"/>
          <w:szCs w:val="18"/>
          <w:b w:val="1"/>
          <w:bCs w:val="1"/>
          <w:color w:val="auto"/>
        </w:rPr>
      </w:pPr>
    </w:p>
    <w:p>
      <w:pPr>
        <w:ind w:left="120" w:hanging="112"/>
        <w:spacing w:after="0"/>
        <w:tabs>
          <w:tab w:leader="none" w:pos="1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brokerage and investment banking firms, and</w:t>
      </w:r>
    </w:p>
    <w:p>
      <w:pPr>
        <w:spacing w:after="0" w:line="9" w:lineRule="exact"/>
        <w:rPr>
          <w:rFonts w:ascii="Arial" w:cs="Arial" w:eastAsia="Arial" w:hAnsi="Arial"/>
          <w:sz w:val="18"/>
          <w:szCs w:val="18"/>
          <w:b w:val="1"/>
          <w:bCs w:val="1"/>
          <w:color w:val="auto"/>
        </w:rPr>
      </w:pPr>
    </w:p>
    <w:p>
      <w:pPr>
        <w:ind w:left="120" w:hanging="112"/>
        <w:spacing w:after="0"/>
        <w:tabs>
          <w:tab w:leader="none" w:pos="1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other financial institutions including multinational firms and subsidiaries of diversified conglomerates.</w:t>
      </w:r>
    </w:p>
    <w:p>
      <w:pPr>
        <w:spacing w:after="0" w:line="10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Many of these financial institutions have substantially greater resources than we do and may offer a broader range of financial products across more markets. Some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portfolios offered, investment performance, and the scope and quality of investment advice and other client services. Some institutions have proprietary products and distribution channels that make it more difficult for us to compete with them. We believe that competition within the investment management industry will intensify as a result of consolidation and acquisition activity and because new competitors face few barriers to entry. Most of our investment portfolios are available without sales or redemption fees, which means that investors may be more willing to transfer assets to competing funds.</w:t>
      </w:r>
    </w:p>
    <w:p>
      <w:pPr>
        <w:spacing w:after="0" w:line="5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current or potential customers decide to use one of our competitors, we could face a significant decline in market share, assets under management, revenues, and net income. If we are required to lower our fees in order to remain competitive, our net income could be significantly reduced because some of our expenses are fixed, especially over shorter periods of time, and others may not decrease in proportion to the decrease in revenues.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success depends on our key personnel and our financial performance could be negatively affected by the loss of their services.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on our highly skilled personnel, including our portfolio and fund managers, investment analysts, management and client relationship personnel, and corporate officers, many of whom have specialized expertise and extensive experience in our industry. Strong financial services professionals are in demand, and we face significant competition for highly qualified employees. Our key employees do not have employment contracts, and generally can terminate their employment with us at any time. We cannot assure that we will be able to retain or replace key personnel.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u w:val="single" w:color="auto"/>
          <w:color w:val="auto"/>
        </w:rPr>
        <w:t>Certain of the Price funds and other investment portfolios are vulnerable to market-specific risks that could adversely affect investment performance, our reputation and our revenues.</w:t>
      </w:r>
    </w:p>
    <w:p>
      <w:pPr>
        <w:spacing w:after="0" w:line="62"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Several of the Price funds and investment portfolios (for example, emerging market investments) are subject to political and economic instability, wide exchange-rate fluctuations, illiquid and highly volatile markets, and other risks that could materially decrease the investment returns available in foreign markets. A significant decrease in the investment return or net asset value of any Price fund or investment portfolio could harm our reputation and cause a decrease in assets under management, including client asset withdrawals. The result could be a material decline in our revenues and net income.</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performance of our money market funds is dependent on the income from the underlying securities exceeding the operating costs of the fund. When interest rates are at the historic lows that presently exist, the operating costs of the funds will become a greater portion of the portfolio’s income and reduce the yield of the funds to very low levels. In 2010 and presently, such an environment has caused us to waive a portion of our advisory fees on money market funds in order to maintain yields at or above 0% to fund investors. Such actions reduce our advisory fee income and net income. Also, bank deposits may become more attractive to investors and money market funds have and could continue to experience redemptions. Client losses decrease our revenues and net income.</w:t>
      </w:r>
    </w:p>
    <w:p>
      <w:pPr>
        <w:spacing w:after="0" w:line="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Our operations are complex and a failure to perform operational tasks or the misrepresentation of products and services could have an adverse affect on our reputation and subject us to regulatory sanctions, fines, penalties, and litigation.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Operating risks include:</w:t>
      </w:r>
    </w:p>
    <w:p>
      <w:pPr>
        <w:spacing w:after="0" w:line="117" w:lineRule="exact"/>
        <w:rPr>
          <w:sz w:val="20"/>
          <w:szCs w:val="20"/>
          <w:color w:val="auto"/>
        </w:rPr>
      </w:pPr>
    </w:p>
    <w:p>
      <w:pPr>
        <w:ind w:right="200" w:firstLine="8"/>
        <w:spacing w:after="0" w:line="264" w:lineRule="auto"/>
        <w:tabs>
          <w:tab w:leader="none" w:pos="10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failure to properly perform fund or portfolio recordkeeping responsibilities, including portfolio accounting, security pricing, corporate actions, investment restrictions compliance, daily net asset value computations, account reconciliations, and required distributions to fund shareholders to comply with tax regulations;</w:t>
      </w:r>
    </w:p>
    <w:p>
      <w:pPr>
        <w:spacing w:after="0" w:line="73" w:lineRule="exact"/>
        <w:rPr>
          <w:rFonts w:ascii="Arial" w:cs="Arial" w:eastAsia="Arial" w:hAnsi="Arial"/>
          <w:sz w:val="18"/>
          <w:szCs w:val="18"/>
          <w:b w:val="1"/>
          <w:bCs w:val="1"/>
          <w:color w:val="auto"/>
        </w:rPr>
      </w:pPr>
    </w:p>
    <w:p>
      <w:pPr>
        <w:ind w:right="80" w:firstLine="8"/>
        <w:spacing w:after="0" w:line="277" w:lineRule="auto"/>
        <w:tabs>
          <w:tab w:leader="none" w:pos="10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failure to properly perform transfer agent and participant recordkeeping responsibilities, including transaction processing, supervision of staff, tax reporting and record retention; and failure to identify excessive trading in mutual funds by our customers or plan participants;</w:t>
      </w:r>
    </w:p>
    <w:p>
      <w:pPr>
        <w:spacing w:after="0" w:line="143" w:lineRule="exact"/>
        <w:rPr>
          <w:rFonts w:ascii="Arial" w:cs="Arial" w:eastAsia="Arial" w:hAnsi="Arial"/>
          <w:sz w:val="18"/>
          <w:szCs w:val="18"/>
          <w:b w:val="1"/>
          <w:bCs w:val="1"/>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right="140" w:firstLine="8"/>
        <w:spacing w:after="0" w:line="264" w:lineRule="auto"/>
        <w:tabs>
          <w:tab w:leader="none" w:pos="108"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sales and marketing risks, including the intentional or unintentional misrepresentation of products and services in advertising materials, public relations information, or other external communications, and failure to properly calculate and present investment performance data accurately and in accordance with established guidelines and regulations.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Any damage to our reputation could harm our business and lead to a loss of revenues and net income.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spent many years developing our reputation for integrity, strong investment performance, and superior client services. Our brand is a valuable intangible asset, but it is vulnerable to a variety of threats that can be difficult or impossible to control, and costly or even impossible to remediate. Regulatory inquiries and rumors can tarnish or substantially damage our reputation, even if they are satisfactorily addressed. Any damage to our brand could impede our ability to attract and retain customers and key personnel, and reduce the amount of assets under our management, any of which could have a material adverse effect on our revenues and net income.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expenses are subject to significant fluctuations that could materially decrease net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117" w:lineRule="exact"/>
        <w:rPr>
          <w:sz w:val="20"/>
          <w:szCs w:val="20"/>
          <w:color w:val="auto"/>
        </w:rPr>
      </w:pPr>
    </w:p>
    <w:p>
      <w:pPr>
        <w:ind w:right="60" w:firstLine="8"/>
        <w:spacing w:after="0" w:line="277" w:lineRule="auto"/>
        <w:tabs>
          <w:tab w:leader="none" w:pos="108"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changes in the level of our advertising expenses, including the costs of expanding investment advisory services to investors outside of the United States and further penetrating U.S. distribution channels,</w:t>
      </w:r>
    </w:p>
    <w:p>
      <w:pPr>
        <w:spacing w:after="0" w:line="62" w:lineRule="exact"/>
        <w:rPr>
          <w:rFonts w:ascii="Arial" w:cs="Arial" w:eastAsia="Arial" w:hAnsi="Arial"/>
          <w:sz w:val="18"/>
          <w:szCs w:val="18"/>
          <w:b w:val="1"/>
          <w:bCs w:val="1"/>
          <w:color w:val="auto"/>
        </w:rPr>
      </w:pPr>
    </w:p>
    <w:p>
      <w:pPr>
        <w:ind w:right="380" w:firstLine="8"/>
        <w:spacing w:after="0" w:line="342" w:lineRule="auto"/>
        <w:tabs>
          <w:tab w:leader="none" w:pos="108"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variations in the level of total compensation expense due to, among other things, bonuses, stock option grants and other stock-based awards, changes in employee benefit costs due to regulatory or plan design changes, changes in our employee count and mix, competitive factors, and inflation,</w:t>
      </w:r>
    </w:p>
    <w:p>
      <w:pPr>
        <w:spacing w:after="0" w:line="15" w:lineRule="exact"/>
        <w:rPr>
          <w:rFonts w:ascii="Arial" w:cs="Arial" w:eastAsia="Arial" w:hAnsi="Arial"/>
          <w:sz w:val="16"/>
          <w:szCs w:val="16"/>
          <w:b w:val="1"/>
          <w:bCs w:val="1"/>
          <w:color w:val="auto"/>
        </w:rPr>
      </w:pPr>
    </w:p>
    <w:p>
      <w:pPr>
        <w:ind w:left="120" w:hanging="112"/>
        <w:spacing w:after="0"/>
        <w:tabs>
          <w:tab w:leader="none" w:pos="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 future impairment of our investment in UTI,</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 future impairment of goodwill that is recognized in our balance sheet,</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unanticipated material fluctuations in foreign currency exchange rates applicable to the costs of our operations abroad,</w:t>
      </w:r>
    </w:p>
    <w:p>
      <w:pPr>
        <w:spacing w:after="0" w:line="117" w:lineRule="exact"/>
        <w:rPr>
          <w:rFonts w:ascii="Arial" w:cs="Arial" w:eastAsia="Arial" w:hAnsi="Arial"/>
          <w:sz w:val="18"/>
          <w:szCs w:val="18"/>
          <w:b w:val="1"/>
          <w:bCs w:val="1"/>
          <w:color w:val="auto"/>
        </w:rPr>
      </w:pPr>
    </w:p>
    <w:p>
      <w:pPr>
        <w:ind w:right="960" w:firstLine="8"/>
        <w:spacing w:after="0" w:line="277" w:lineRule="auto"/>
        <w:tabs>
          <w:tab w:leader="none" w:pos="108"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expenses and capital costs incurred to maintain and enhance our administrative and operating services infrastructure, such as technology assets, depreciation, amortization, and research and development,</w:t>
      </w:r>
    </w:p>
    <w:p>
      <w:pPr>
        <w:spacing w:after="0" w:line="62" w:lineRule="exact"/>
        <w:rPr>
          <w:rFonts w:ascii="Arial" w:cs="Arial" w:eastAsia="Arial" w:hAnsi="Arial"/>
          <w:sz w:val="18"/>
          <w:szCs w:val="18"/>
          <w:b w:val="1"/>
          <w:bCs w:val="1"/>
          <w:color w:val="auto"/>
        </w:rPr>
      </w:pPr>
    </w:p>
    <w:p>
      <w:pPr>
        <w:ind w:left="120" w:hanging="112"/>
        <w:spacing w:after="0"/>
        <w:tabs>
          <w:tab w:leader="none" w:pos="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unanticipated costs incurred to protect investor accounts and client goodwill, and</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disruptions of third-party services such as communications, power, and mutual fund transfer agent and accounting systems.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Under our agreements with the T. Rowe Price mutual funds, we charge the mutual funds certain administrative fees and related expenses based upon contracted terms. If we fail to accurately estimate our underlying expense levels or otherwise are required to incur expenses relating to the mutual funds that are not otherwise paid by the funds, our operating results will be adversely affected.</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u w:val="single" w:color="auto"/>
          <w:color w:val="auto"/>
        </w:rPr>
        <w:t>We have contracted with third-party financial intermediaries that distribute our investment portfolios, and such relationships may not be available or profitable to us in the future.</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More than 30% of our assets under management are sourced from our largest distribution channel, third-party financial intermediaries that distribute our managed investment portfolios in the U.S. and abroad. These intermediaries generally offer their clients various investment products in addition to, and in competition with, our investment offerings, and have no contractual obligation to encourage investment in our portfolios. It would be difficult for us to acquire or retain the management of those assets without the assistance of the intermediaries, and we cannot assure that we will be able to maintain an adequate number of successful distribution relationships. In addition, some investors rely on third party financial planners, registered investment advisers, and other consultants or financial professionals to advise them on the choice of investment adviser and investment portfolio. These professionals and consultants can favor a competing investment portfolio as better meeting their particular client’s needs. We cannot assure that our investment offerings will be among their recommended choices in the future. Further, their recommendations can change over time and we could lose their recommendation and their client assets under our management. Mergers, acquisitions, and other ownership or management changes could also adversely impact our relationships with these third party intermediaries. The presence of any of the adverse conditions discussed above would reduce revenues and net income, possibly by material amounts.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Natural disasters and other unpredictable events could adversely affect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Armed conflict, terrorist attacks, power failures, and natural disasters could adversely affect our revenues, expenses and net income by:</w:t>
      </w:r>
    </w:p>
    <w:p>
      <w:pPr>
        <w:spacing w:after="0" w:line="117" w:lineRule="exact"/>
        <w:rPr>
          <w:sz w:val="20"/>
          <w:szCs w:val="20"/>
          <w:color w:val="auto"/>
        </w:rPr>
      </w:pPr>
    </w:p>
    <w:p>
      <w:pPr>
        <w:ind w:left="120" w:hanging="112"/>
        <w:spacing w:after="0"/>
        <w:tabs>
          <w:tab w:leader="none" w:pos="1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decreasing investment valuations in, and returns on, the investment portfolios that we manage,</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causing disruptions in national or global economies that decrease investor confidence and make investment products generally less attractive,</w:t>
      </w:r>
    </w:p>
    <w:p>
      <w:pPr>
        <w:spacing w:after="0" w:line="128" w:lineRule="exact"/>
        <w:rPr>
          <w:rFonts w:ascii="Arial" w:cs="Arial" w:eastAsia="Arial" w:hAnsi="Arial"/>
          <w:sz w:val="17"/>
          <w:szCs w:val="17"/>
          <w:b w:val="1"/>
          <w:bCs w:val="1"/>
          <w:color w:val="auto"/>
        </w:rPr>
      </w:pPr>
    </w:p>
    <w:p>
      <w:pPr>
        <w:ind w:left="120" w:hanging="112"/>
        <w:spacing w:after="0"/>
        <w:tabs>
          <w:tab w:leader="none" w:pos="1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incapacitating or inflicting losses of lives among our associates,</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interrupting our business operations,</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triggering technology delays or failures, and</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198" w:lineRule="exact"/>
        <w:rPr>
          <w:rFonts w:ascii="Arial" w:cs="Arial" w:eastAsia="Arial" w:hAnsi="Arial"/>
          <w:sz w:val="18"/>
          <w:szCs w:val="18"/>
          <w:b w:val="1"/>
          <w:bCs w:val="1"/>
          <w:color w:val="auto"/>
        </w:rPr>
      </w:pPr>
    </w:p>
    <w:p>
      <w:pPr>
        <w:ind w:left="5620" w:hanging="101"/>
        <w:spacing w:after="0"/>
        <w:tabs>
          <w:tab w:leader="none" w:pos="5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spacing w:after="0" w:line="297" w:lineRule="auto"/>
        <w:rPr>
          <w:sz w:val="20"/>
          <w:szCs w:val="20"/>
          <w:color w:val="auto"/>
        </w:rPr>
      </w:pPr>
      <w:r>
        <w:rPr>
          <w:rFonts w:ascii="Arial" w:cs="Arial" w:eastAsia="Arial" w:hAnsi="Arial"/>
          <w:sz w:val="16"/>
          <w:szCs w:val="16"/>
          <w:color w:val="auto"/>
        </w:rPr>
        <w:t>We have developed various backup systems and contingency plans but we cannot be assured that they will be adequate in all circumstances that could arise or that material interruptions and disruptions will not occur. In addition, we rely to varying degrees on outside vendors for disaster contingency support, and we cannot be assured that these vendors will be able to perform in an adequate and timely manner. If we lose any associates, or if we are unable to respond adequately to such an event in a timely manner, we may be unable to continue our business operations, which could lead to a tarnished reputation and loss of customers that results in a decrease in assets under management, lower revenues and materially reduced net income.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investment income and asset levels may be negatively impacted by fluctuations in our investment portfolio.</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currently have a substantial portion of our assets invested in our stock, blended asset and bond mutual funds. All of these investments are subject to investment market risk and our non-operating investment income could be adversely affected by the realization of losses upon the disposition of our investments or the recognition of significant other-than-temporary impairments. In addition, related investment income has fluctuated significantly over the years depending upon the performance of our corporate investments, including the impact of market conditions and interest rates, and the size of our corporate money market and longer-term mutual fund holdings. Fluctuations in other investment income are expected to occur in the future.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investment performance of our savings bank subsidiary could adversely affect our assets and results of operations.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savings bank subsidiary that accepts time deposits from customers, pays a fixed rate of interest to them, and invests in asset-backed debt securities. Although we generally hold these investments to maturity, which generally correlates to the maturities of our customer deposits, fluctuations in credit risk could result in impairments among the bank’s fixed income investments and, in turn, could result in a mismatch between a lower or negative return on our investment portfolio and the interest paid on our customer deposits. To the extent that this occurs, our assets and results of operations would be adversely affected.</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We may elect to pursue growth in the United States and abroad through acquisitions or joint ventures, which exposes us to risks inherent in assimilating new operations, expanding into new jurisdictions, and making non-controlling minority investments in other entities.</w:t>
      </w:r>
    </w:p>
    <w:p>
      <w:pPr>
        <w:spacing w:after="0" w:line="62"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In order to maintain and enhance our competitive position, we may review and pursue acquisition and venture opportunities. We cannot assure that we will identify and consummate any such transactions on acceptable terms or have sufficient resources to accomplish such a strategy. In addition, any strategic transaction can involve a number of risks, including additional demands on our staff; unanticipated problems regarding integration of investor account and investment security recordkeeping, operating facilities and technologies, and new employees; adverse effects in the event acquired intangible assets or goodwill become impaired; and the existence of liabilities or contingencies not disclosed to or otherwise known by us prior to closing a transaction.</w:t>
      </w:r>
    </w:p>
    <w:p>
      <w:pPr>
        <w:spacing w:after="0" w:line="5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January 2010, we completed the acquisition of a 26% investment in UTI Asset Management Company (India) and we may consider non-controlling minority investments in other entities in the future. We may not realize future returns from such investments or any collaborative activities that may develop in the future.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 RISKS.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Compliance within a complex regulatory environment imposes significant financial and strategic costs on our business, and non-compliance could result in fines and penalties.</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subject to extensive regulation by foreign and domestic governments, regulatory agencies such as the SEC in the United States and the FSA in the United Kingdom, and self-regulatory organizations such as FINRA. The conduct of our business is in large part dictated by adherence to such regulation, including federal laws such as the Dodd-Frank Act of 2010, the Sarbanes-Oxley Act of 2002, the USA Patriot Act of 2001, the Employee Retirement Income Security Act of 1974 (ERISA), regulations relating to the mutual fund industry specifically and securities laws generally, accounting standards, and banking and tax laws. Compliance with these complex regulations and our disclosure and financial reporting obligations requires significant investments of time and money and could limit our ability to enter into new lines of business. Further, the regulations imposed by one jurisdiction may conflict with the regulations imposed by another, and these differences may be difficult or impossible to reconcile.</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Future changes could require us to modify or curtail our investment offerings and business operations.</w:t>
      </w:r>
    </w:p>
    <w:p>
      <w:pPr>
        <w:spacing w:after="0" w:line="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ind w:right="300"/>
        <w:spacing w:after="0" w:line="277" w:lineRule="auto"/>
        <w:rPr>
          <w:sz w:val="20"/>
          <w:szCs w:val="20"/>
          <w:color w:val="auto"/>
        </w:rPr>
      </w:pPr>
      <w:r>
        <w:rPr>
          <w:rFonts w:ascii="Arial" w:cs="Arial" w:eastAsia="Arial" w:hAnsi="Arial"/>
          <w:sz w:val="18"/>
          <w:szCs w:val="18"/>
          <w:u w:val="single" w:color="auto"/>
          <w:color w:val="auto"/>
        </w:rPr>
        <w:t>Legal and regulatory developments in the mutual fund and investment advisory industry could increase our regulatory burden, cause a loss of mutual fund investors, and reduce our revenues.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a result of the economic downturn in 2008 and 2009 and the significant turmoil in the investment banking, banking and financial services industry, including the need for government intervention, regulators both in and outside the United States have shown increasing interest in the oversight of the broad financial and investment industry. Some of the newly adopted and proposed regulations are focused directly on the investment management industry, while others are more broadly focused but in many cases will impact our industry as well. These new laws and regulations can be expected to place greater compliance and administrative burdens on us, which likely would increase our expenses without increasing revenues and could adversely impact our business operations. In addition, new regulations could require the Price funds to reduce the level of certain mutual fund fees paid to us or require us to bear additional expenses, which would affect our operating results. Further, adverse results of regulatory investigations of mutual fund, investment advisory and financial services firms could tarnish the reputation of the financial services industry generally and mutual funds and investment advisers more specifically, causing investors to avoid further fund investments or redeem their account balances. Redemptions would decrease the assets under our management, which would reduce our advisory revenues and net income.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become involved in legal and regulatory proceedings that may not be covered by insurance.</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increased incidence of litigation and regulatory investigations in the financial services industry in recent years, including customer claims and class action suits alleging substantial monetary damages.</w:t>
      </w:r>
    </w:p>
    <w:p>
      <w:pPr>
        <w:spacing w:after="0" w:line="7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carry insurance in amounts and under terms that we believe are appropriate. We cannot assure that our insurance will cover most liabilities and losses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 may impede the business operations of our subsidiaries.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subsidiaries are subject to net capital requirements imposed by various federal, state, and foreign authorities. Our subsidiaries’ net capital meets or exceeds all minimum requirements; however, a significant operating or investment loss or an extraordinary charge against net capital could adversely affect the ability of our subsidiaries to expand or even maintain their operations if we were unable to make additional investments in them.</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TECHNOLOGY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require specialized technology to operate our business and would be adversely affected if our technology became inoperative or obsolete.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depend on highly specialized and, in many cases, proprietary technology to support our business functions, including among others:</w:t>
      </w:r>
    </w:p>
    <w:p>
      <w:pPr>
        <w:spacing w:after="0" w:line="117" w:lineRule="exact"/>
        <w:rPr>
          <w:sz w:val="20"/>
          <w:szCs w:val="20"/>
          <w:color w:val="auto"/>
        </w:rPr>
      </w:pPr>
    </w:p>
    <w:p>
      <w:pPr>
        <w:ind w:left="120" w:hanging="112"/>
        <w:spacing w:after="0"/>
        <w:tabs>
          <w:tab w:leader="none" w:pos="1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securities analysis,</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securities trading,</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customer service,</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accounting and internal financial processes and controls, and</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regulatory compliance and reporting.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20"/>
        <w:spacing w:after="0" w:line="255" w:lineRule="auto"/>
        <w:rPr>
          <w:sz w:val="20"/>
          <w:szCs w:val="20"/>
          <w:color w:val="auto"/>
        </w:rPr>
      </w:pPr>
      <w:r>
        <w:rPr>
          <w:rFonts w:ascii="Arial" w:cs="Arial" w:eastAsia="Arial" w:hAnsi="Arial"/>
          <w:sz w:val="18"/>
          <w:szCs w:val="18"/>
          <w:color w:val="auto"/>
        </w:rPr>
        <w:t>All of our technology systems are vulnerable to disability or failures due to hacking, viruses, natural disasters, power failures, acts of war or terrorism, and other causes. Some of our software is licensed from and supported by outside vendors upon whom we rely to prevent operating system failure. A suspension or termination of these licenses or the related support, upgrades and maintenance could cause system delays or interruption. If our technology systems were to fail and we were unable to recover in a timely way, we would be unable to fulfill critical business functions, which could lead to a loss of customers and could harm our reputation. A technological breakdown could also interfere with our ability to comply with financial reporting and other regulatory requirements, exposing us to disciplinary action and to liability to our customers.</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countries, and to adopt new or adapt existing technologies to meet client, industry and regulatory demands. We might be required to make significant capital expenditures to maintain competitive technology. If we are unable to upgrade our technology in a timely fashion, we might lose customers and fail to maintain regulatory compliance, which could affect our results of operations and severely damage our reputation.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could be subject to losses if we fail to properly safeguard sensitive and confidential information.</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part of our normal operations, we maintain and transmit confidential information about our clients as well as proprietary information relating to our business operations. We maintain a system of internal controls designed to provide reasonable assurance that fraudulent activity, including misappropriation of assets, fraudulent financial reporting, and unauthorized access to sensitive or confidential data is either prevented or timely detected. Our systems could be victimized by unauthorized users or corrupted by computer viruses or other malicious software code, or authorized persons could inadvertently or intentionally release confidential or proprietary information. Such disclosure could, among other things:</w:t>
      </w:r>
    </w:p>
    <w:p>
      <w:pPr>
        <w:spacing w:after="0" w:line="64" w:lineRule="exact"/>
        <w:rPr>
          <w:sz w:val="20"/>
          <w:szCs w:val="20"/>
          <w:color w:val="auto"/>
        </w:rPr>
      </w:pPr>
    </w:p>
    <w:p>
      <w:pPr>
        <w:ind w:left="120" w:hanging="112"/>
        <w:spacing w:after="0"/>
        <w:tabs>
          <w:tab w:leader="none" w:pos="1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allow competitors access to our proprietary business information,</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subject us to liability for a failure to safeguard client data,</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result in the termination of contracts by our existing customers,</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subject us to regulatory action, and</w:t>
      </w:r>
    </w:p>
    <w:p>
      <w:pPr>
        <w:spacing w:after="0" w:line="117" w:lineRule="exact"/>
        <w:rPr>
          <w:rFonts w:ascii="Arial" w:cs="Arial" w:eastAsia="Arial" w:hAnsi="Arial"/>
          <w:sz w:val="18"/>
          <w:szCs w:val="18"/>
          <w:b w:val="1"/>
          <w:bCs w:val="1"/>
          <w:color w:val="auto"/>
        </w:rPr>
      </w:pPr>
    </w:p>
    <w:p>
      <w:pPr>
        <w:ind w:left="120" w:hanging="112"/>
        <w:spacing w:after="0"/>
        <w:tabs>
          <w:tab w:leader="none" w:pos="1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require significant capital and operating expenditures to investigate and remediate the breach.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operating and servicing activities are largely conducted at owned facilities in campus settings comprising 294,000 square feet in Colorado Springs, Colorado, and 822,000 square feet on three parcels of land in close proximity in Owings Mills, Maryland. We recently completed construction of two buildings, with an additional 381,000 square feet of space at the largest Owings Mills site that will not be placed into service until 2012 at the earliest. In 2010, we also completed the construction of a 60,000 square foot technology support facility in Hagerstown, Maryland that will be placed into service in early 2011. We own a 72-acre parcel of land in Pasco County, Florida to accommodate future development as business demands require.</w:t>
      </w:r>
    </w:p>
    <w:p>
      <w:pPr>
        <w:spacing w:after="0" w:line="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presently maintain investor centers for walk-in traffic and investor meetings in leased facilities located in the Baltimore; Boca Raton, Florida; Boston (Wellesley, Massachusetts); Chicago (Oak Brook and Northbrook, Illinois); Los Angeles; New York City/New Jersey (Garden City, New York, and Paramus and Short Hills, New Jersey); San Francisco (Walnut Creek, California); Tampa, Florida; and Washington, D.C. (Washington, D.C. and McLean, Virginia) areas. We also have investor centers in our owned facilities in Colorado Springs and Owings Mills. These investor centers allow us to be available in person to meet with a large number of our individual investors.</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corporate offices include 425,000 square feet under lease until mid-2017 at 100 East Pratt Street in Baltimore. We lease our other offices, including those in London, our business recovery site in Maryland, and our customer service call center in Tampa. We operate offices in 13 countries around the world, including the opening of a new office in Dubai in 2010.</w:t>
      </w:r>
    </w:p>
    <w:p>
      <w:pPr>
        <w:spacing w:after="0" w:line="73"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Information concerning our anticipated capital expenditures in 2011 and our future minimum rental payments under noncancelable operating leases at December 31, 2010, is set forth in the capital resources and liquidity and contractual obligations discussions in Item 7 of this Form 10-K.</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during the fourth quarter of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Executive Officers of the Registrant.</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information includes the names, ages, and positions of our executive officers. There are no arrangements or understandings pursuant to which any person serves as an officer. The first seven individuals are members of our management committee.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James A.C. Kennedy (57), Chief Executive Officer and President since 2007. Mr. Kennedy was previously a Vice President from 1981-2006.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Brian C. Rogers (55), Chairman since 2007 and a Vice President since 1985.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Edward C. Bernard (54), Vice Chairman since 2007 and a Vice President since 1989.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William J. Stromberg (50), a Vice President since 1990.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Christopher D. Alderson (48), a Vice President since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Michael C. Gitlin (40), a Vice President since 2007. Mr. Gitlin was Head of U.S. Equity Sales for Citigroup Global Markets from 2005 to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John D. Linehan (46), a Vice President since 2001.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Kenneth V. Moreland (54), Chief Financial Officer and a Vice President since 2004. Mr. Moreland assumed the Treasurer position in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Wayne D. O’Melia (58), a Vice President since 1987.</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Jessica M. Hiebler (35), Principal Accounting Officer since 2010 and a Vice President since 2009. Ms. Hiebler has been a Vice President of T. Rowe Price Associates since she joined the firm in 2005.</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common stock ($.20 par value per share) trades on the NASDAQ Global Select Market under the symbol TROW. The high and low trade price information and dividends per share during the past two years were: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4"/>
                <w:szCs w:val="14"/>
                <w:color w:val="auto"/>
              </w:rPr>
              <w:t>1st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color w:val="auto"/>
                <w:w w:val="94"/>
              </w:rPr>
              <w:t>2nd</w:t>
            </w:r>
          </w:p>
        </w:tc>
        <w:tc>
          <w:tcPr>
            <w:tcW w:w="120" w:type="dxa"/>
            <w:vAlign w:val="bottom"/>
          </w:tcPr>
          <w:p>
            <w:pPr>
              <w:spacing w:after="0"/>
              <w:rPr>
                <w:sz w:val="14"/>
                <w:szCs w:val="1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color w:val="auto"/>
              </w:rPr>
              <w:t>3rd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4th</w:t>
            </w:r>
          </w:p>
        </w:tc>
      </w:tr>
      <w:tr>
        <w:trPr>
          <w:trHeight w:val="167"/>
        </w:trPr>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2"/>
              </w:rPr>
              <w:t>Quarter</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2"/>
              </w:rPr>
              <w:t>Quarter</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8"/>
              </w:rPr>
              <w:t>Quarter</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2"/>
              </w:rPr>
              <w:t>Quarter</w:t>
            </w:r>
          </w:p>
        </w:tc>
        <w:tc>
          <w:tcPr>
            <w:tcW w:w="100" w:type="dxa"/>
            <w:vAlign w:val="bottom"/>
          </w:tcPr>
          <w:p>
            <w:pPr>
              <w:spacing w:after="0"/>
              <w:rPr>
                <w:sz w:val="14"/>
                <w:szCs w:val="14"/>
                <w:color w:val="auto"/>
              </w:rPr>
            </w:pPr>
          </w:p>
        </w:tc>
      </w:tr>
      <w:tr>
        <w:trPr>
          <w:trHeight w:val="210"/>
        </w:trPr>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4"/>
              </w:rPr>
              <w:t>2009</w:t>
            </w:r>
          </w:p>
        </w:tc>
        <w:tc>
          <w:tcPr>
            <w:tcW w:w="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High price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37.91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49.15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55.48</w:t>
            </w:r>
          </w:p>
        </w:tc>
      </w:tr>
      <w:tr>
        <w:trPr>
          <w:trHeight w:val="216"/>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Low price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20.09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27.47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36.67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43.05</w:t>
            </w:r>
          </w:p>
        </w:tc>
      </w:tr>
      <w:tr>
        <w:trPr>
          <w:trHeight w:val="216"/>
        </w:trPr>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dividends declared</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432"/>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2010</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3640" w:type="dxa"/>
            <w:vAlign w:val="bottom"/>
          </w:tcPr>
          <w:p>
            <w:pPr>
              <w:ind w:left="120"/>
              <w:spacing w:after="0"/>
              <w:rPr>
                <w:sz w:val="20"/>
                <w:szCs w:val="20"/>
                <w:color w:val="auto"/>
              </w:rPr>
            </w:pPr>
            <w:r>
              <w:rPr>
                <w:rFonts w:ascii="Arial" w:cs="Arial" w:eastAsia="Arial" w:hAnsi="Arial"/>
                <w:sz w:val="18"/>
                <w:szCs w:val="18"/>
                <w:color w:val="auto"/>
              </w:rPr>
              <w:t>High price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56.25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59.44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51.21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65.38</w:t>
            </w:r>
          </w:p>
        </w:tc>
      </w:tr>
      <w:tr>
        <w:trPr>
          <w:trHeight w:val="216"/>
        </w:trPr>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Low price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47.42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42.81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49.35</w:t>
            </w:r>
          </w:p>
        </w:tc>
      </w:tr>
      <w:tr>
        <w:trPr>
          <w:trHeight w:val="230"/>
        </w:trPr>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Cash dividends declared</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bl>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presently plan to declare and pay quarterly cash dividends in 2011 that, taken together, will exceed the $1.08 per share declared and paid in 2010. Our annual dividends per share have increased every year since we became a public company in 1986; however, there can be no assurance that we will continue to pay dividends at increasing rates or at all.</w:t>
      </w:r>
    </w:p>
    <w:p>
      <w:pPr>
        <w:spacing w:after="0" w:line="7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Our common stockholders have approved all of our equity compensation plans. These plans provide for the issuance of up to 54,541,538 shares of our common stock at December 31, 2010, including 37,759,580 shares that may be issued upon the exercise of outstanding stock options at a weighted average price of $41.34, and 391,108 shares that may be issued in conjunction with outstanding stock units. Additionally, 16,390,850 shares remain available for future issuances. Under the terms of the 2004 Stock Incentive Plan, the number of shares provided and available for future issuance will increase as we repurchase common stock in the future from the proceeds of stock option exercises.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presents repurchase activity during the fourth quarter of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gridSpan w:val="2"/>
          </w:tcPr>
          <w:p>
            <w:pPr>
              <w:jc w:val="center"/>
              <w:ind w:right="660"/>
              <w:spacing w:after="0"/>
              <w:rPr>
                <w:sz w:val="20"/>
                <w:szCs w:val="20"/>
                <w:color w:val="auto"/>
              </w:rPr>
            </w:pPr>
            <w:r>
              <w:rPr>
                <w:rFonts w:ascii="Arial" w:cs="Arial" w:eastAsia="Arial" w:hAnsi="Arial"/>
                <w:sz w:val="14"/>
                <w:szCs w:val="14"/>
                <w:color w:val="auto"/>
                <w:w w:val="95"/>
              </w:rPr>
              <w:t>Total Number of</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6"/>
              </w:rPr>
              <w:t>Shares Purchased</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6"/>
              </w:rPr>
              <w:t>Total Number</w:t>
            </w:r>
          </w:p>
        </w:tc>
        <w:tc>
          <w:tcPr>
            <w:tcW w:w="160" w:type="dxa"/>
            <w:vAlign w:val="bottom"/>
          </w:tcPr>
          <w:p>
            <w:pPr>
              <w:spacing w:after="0"/>
              <w:rPr>
                <w:sz w:val="12"/>
                <w:szCs w:val="12"/>
                <w:color w:val="auto"/>
              </w:rPr>
            </w:pPr>
          </w:p>
        </w:tc>
        <w:tc>
          <w:tcPr>
            <w:tcW w:w="15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1"/>
              </w:rPr>
              <w:t>Average</w:t>
            </w:r>
          </w:p>
        </w:tc>
        <w:tc>
          <w:tcPr>
            <w:tcW w:w="18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3"/>
              </w:rPr>
              <w:t>as Part of</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0"/>
              </w:rPr>
              <w:t>of Shares</w:t>
            </w:r>
          </w:p>
        </w:tc>
        <w:tc>
          <w:tcPr>
            <w:tcW w:w="160" w:type="dxa"/>
            <w:vAlign w:val="bottom"/>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0"/>
              </w:rPr>
              <w:t>Price Paid</w:t>
            </w:r>
          </w:p>
        </w:tc>
        <w:tc>
          <w:tcPr>
            <w:tcW w:w="18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9"/>
              </w:rPr>
              <w:t>Publicly</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Yet Be Purchased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tcPr>
          <w:p>
            <w:pPr>
              <w:ind w:left="1960"/>
              <w:spacing w:after="0"/>
              <w:rPr>
                <w:sz w:val="20"/>
                <w:szCs w:val="20"/>
                <w:color w:val="auto"/>
              </w:rPr>
            </w:pPr>
            <w:r>
              <w:rPr>
                <w:rFonts w:ascii="Arial" w:cs="Arial" w:eastAsia="Arial" w:hAnsi="Arial"/>
                <w:sz w:val="14"/>
                <w:szCs w:val="14"/>
                <w:color w:val="auto"/>
              </w:rPr>
              <w:t>Month</w:t>
            </w:r>
          </w:p>
        </w:tc>
        <w:tc>
          <w:tcPr>
            <w:tcW w:w="5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6"/>
              </w:rPr>
              <w:t>Purchased</w:t>
            </w:r>
          </w:p>
        </w:tc>
        <w:tc>
          <w:tcPr>
            <w:tcW w:w="6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color w:val="auto"/>
                <w:w w:val="87"/>
              </w:rPr>
              <w:t>per Share</w:t>
            </w:r>
          </w:p>
        </w:tc>
        <w:tc>
          <w:tcPr>
            <w:tcW w:w="660" w:type="dxa"/>
            <w:vAlign w:val="bottom"/>
          </w:tcPr>
          <w:p>
            <w:pPr>
              <w:spacing w:after="0"/>
              <w:rPr>
                <w:sz w:val="14"/>
                <w:szCs w:val="14"/>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4"/>
                <w:szCs w:val="14"/>
                <w:color w:val="auto"/>
                <w:w w:val="91"/>
              </w:rPr>
              <w:t>Announced Program</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Under the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October</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204,441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53.87</w:t>
            </w:r>
          </w:p>
        </w:tc>
        <w:tc>
          <w:tcPr>
            <w:tcW w:w="1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22,410,910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November</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376,190</w:t>
            </w:r>
          </w:p>
        </w:tc>
        <w:tc>
          <w:tcPr>
            <w:tcW w:w="6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58.48</w:t>
            </w:r>
          </w:p>
        </w:tc>
        <w:tc>
          <w:tcPr>
            <w:tcW w:w="18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22,410,910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220,691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63.17</w:t>
            </w:r>
          </w:p>
        </w:tc>
        <w:tc>
          <w:tcPr>
            <w:tcW w:w="1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22,410,910</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801,322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6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Shares repurchased by us in a quarter may include repurchases conducted pursuant to publicly announced board authorizations, and pre-existing outstanding shares surrendered to the company to pay the exercise price in connection with swap exercises of employee stock options. All of the shares purchased during the fourth quarter 2010 related to swap exercises, and no shares were purchased in the fourth quarter under the publicly announced board authorizations.</w:t>
      </w:r>
    </w:p>
    <w:p>
      <w:pPr>
        <w:spacing w:after="0" w:line="3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During 2010, we repurchased 4,998,200 shares of our common stock pursuant to the Board of Directors’ June 5, 2008 authorization. On September 8, 2010, our Board of Directors approved a 15 million share increase in the company’s authorization to repurchase its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are approximately 136,000 beneficial stockholder accounts holding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680" w:type="dxa"/>
            <w:vAlign w:val="bottom"/>
            <w:vMerge w:val="restart"/>
          </w:tcPr>
          <w:p>
            <w:pPr>
              <w:spacing w:after="0"/>
              <w:rPr>
                <w:sz w:val="20"/>
                <w:szCs w:val="20"/>
                <w:color w:val="auto"/>
              </w:rPr>
            </w:pPr>
            <w:r>
              <w:rPr>
                <w:rFonts w:ascii="Arial" w:cs="Arial" w:eastAsia="Arial" w:hAnsi="Arial"/>
                <w:sz w:val="14"/>
                <w:szCs w:val="14"/>
                <w:color w:val="auto"/>
                <w:w w:val="94"/>
              </w:rPr>
              <w:t>(in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340" w:type="dxa"/>
            <w:vAlign w:val="bottom"/>
            <w:gridSpan w:val="3"/>
          </w:tcPr>
          <w:p>
            <w:pPr>
              <w:ind w:left="60"/>
              <w:spacing w:after="0" w:line="142" w:lineRule="exact"/>
              <w:rPr>
                <w:sz w:val="20"/>
                <w:szCs w:val="20"/>
                <w:color w:val="auto"/>
              </w:rPr>
            </w:pPr>
            <w:r>
              <w:rPr>
                <w:rFonts w:ascii="Arial" w:cs="Arial" w:eastAsia="Arial" w:hAnsi="Arial"/>
                <w:sz w:val="14"/>
                <w:szCs w:val="14"/>
                <w:color w:val="auto"/>
                <w:w w:val="89"/>
              </w:rPr>
              <w:t>except per-share data)</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operating income</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996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702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593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536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Per common share information</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Basic earnings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2.01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Cash dividends declared</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263.8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259.3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color w:val="auto"/>
                <w:w w:val="99"/>
              </w:rPr>
              <w:t>Weighted average common shares outstanding assuming</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dilution</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278.6</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279.1</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269.9</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262.3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auto"/>
                <w:w w:val="90"/>
              </w:rPr>
              <w:t>December 31,</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2006</w:t>
            </w:r>
          </w:p>
        </w:tc>
        <w:tc>
          <w:tcPr>
            <w:tcW w:w="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96"/>
              </w:rPr>
              <w:t>(in millions)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2,765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3,177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2,819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3,210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equity</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2,427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Assets under management (in billions)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334.7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276.3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391.3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outside the United States account for 12.5% of our assets under management at December 31, 2010.</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January 20, 2010, we purchased a 26% equity interest in UTI Asset Management Company and an affiliate from existing stockholders for 6.5 billion Indian rupees (INR), or $142.4 million, plus transaction costs of $3.2 million of which a portion was paid in 2009. We repurchased 5.0 million shares of our common stock for $240.0 million in 2010. We funded the investment in UTI and the share repurchases with existing cash balances and cash generated from operations.</w:t>
      </w:r>
    </w:p>
    <w:p>
      <w:pPr>
        <w:spacing w:after="0" w:line="7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low interest rate environment experienced in 2010 led us to continue voluntarily waiving money market advisory fees to maintain a zero or positive yield for fund investors. We waived $25.1 million in 2010 compared to $5.7 million in 2009 and anticipate these fee waivers will continue into 2011.</w:t>
      </w:r>
    </w:p>
    <w:p>
      <w:pPr>
        <w:spacing w:after="0" w:line="3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made a one-time contribution of $16.4 million in November 2010, to certain of our sponsored money market mutual funds to offset the effect of cumulative net losses realized by those funds in past years in order to allay any fund shareholder concerns that might arise because of new SEC disclosure rules. The charge associated with this one-time contribution is included in other operating expenses.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829"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BACKGROUND.</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Against a backdrop of healthy earnings, strong balance sheets, and low borrowing costs for corporations, major U.S. equity indexes rose strongly in 2010, capping a second consecutive year of solid gains. Stocks produced robust returns through late April, extending the rally that started in March 2009, but fell sharply through early July due in part to concern around the European sovereign debt crisis, a sluggish U.S. economic recovery, and the “flash crash” in U.S. stock prices on May 6. Equities rebounded strongly beginning in late August as the economy showed signs of improvement and the Federal Reserve gave reassurance that they would employ non-traditional monetary policy tools, as needed, to promote economic recovery. The market continued to rally through the fourth quarter, as the Federal Reserve proved their willingness to act by initiating a second round of quantitative easing since the 2008 financial crisis. They announced plans to purchase an additional $600 billion in Treasuries by mid-2011 in an attempt to keep longer-term interest rates low. Bipartisan legislation in mid-December that extended for two years the Bush-era tax cuts that were set to expire at the end of 2010 helped lift major indexes to their highest levels of the year.</w:t>
      </w:r>
    </w:p>
    <w:p>
      <w:pPr>
        <w:spacing w:after="0" w:line="7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this environment, the S&amp;P 500 Index of large-cap companies in leading industries of the U.S. economy returned 15.1% in 2010, while the NASDAQ Composite Index, which is heavily weighted with technology companies, returned 16.9% (excluding dividends).</w:t>
      </w:r>
    </w:p>
    <w:p>
      <w:pPr>
        <w:spacing w:after="0" w:line="6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returns in developed non-U.S. equity markets were mixed as strong Asian market performance was offset by weaker results in Europe, where markets struggled with concerns over the sovereign debt crisis. As developed markets dealt with economic pressures, emerging equity markets produced strong returns, with countries in the emerging Europe, Middle East, and Africa (EMEA) regions faring the best. The MSCI Emerging Markets Index returned 19.2% versus 8.2% for the MSCI EAFE Index, which measures the performance of mostly large-cap stocks in Europe, Australasia, and the Far East.</w:t>
      </w:r>
    </w:p>
    <w:p>
      <w:pPr>
        <w:spacing w:after="0" w:line="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Federal Reserve’s target funds rate remained in the range of 0.00% to 0.25% throughout 2010, where it has been since late 2008. This historically low rate along with the slowdown in the economy during the spring and the European debt crisis placed strong downward pressure on Treasury yields as investors sought the safety of Treasuries. Treasury yields began to rise in late fall in response to the Federal Reserve’s additional stimulus and a stronger economic climate, but most of the yield curve ended the year still below their levels at the end of 2009. The yield on the benchmark 10-year U.S. Treasury at December 31, 2010, was 3.3%, a decrease of 55 basis points from the end of 2009.</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U.S. fixed income securities realized modest gains in 2010. High yield bonds significantly outperformed investment-grade issues, as investors sought higher returns in the low interest rate environment. The Credit Suisse High Yield Index gained 14.4% in 2010, while the Barclays Capital U.S. Aggregate Index gained 6.5%. A similar trend was seen in the non-U.S. bond markets, as investors sought riskier bonds issued by emerging market countries over the high-quality bonds issued in developed markets. The J.P. Morgan Emerging Markets Index Plus gained 11.8% in 2010, while the Barclays Capital Global Aggregate Ex-U.S. Dollar Bond Index was up 5.0%.</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this environment, investors entrusted net inflows of $30.3 billion to our management in 2010. Total assets under our management increased $90.7 billion over the course of 2010 and ended the year at a record $482.0 billion, a substantial recovery from the $276.3 billion at the end of 2008 and an increase of 21% from the previous record year-end high of $400.0 billion at the end of 2007. Our assets under management (in billions) have changed during the past three years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beginning of year</w:t>
            </w: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391.3</w:t>
            </w: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Net cash inflows</w:t>
            </w:r>
          </w:p>
        </w:tc>
        <w:tc>
          <w:tcPr>
            <w:tcW w:w="2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Sponsored mutual funds in the U.S.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Other portfolios</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market gains (losses) and income</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(140.3)</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Mutual fund distributions not reinvested</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Increase (decrease) during year</w:t>
            </w:r>
          </w:p>
        </w:tc>
        <w:tc>
          <w:tcPr>
            <w:tcW w:w="2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(123.7)</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end of year</w:t>
            </w: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391.3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w:t>
            </w: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Over the last three years, our net cash inflows have been sourced most significantly from third-party financial intermediaries and from institutional investors around the world. Our relative investment performance over much of this period and brand awareness contributed significantly to attracting net inflows across each of our four distribution channels.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jc w:val="both"/>
        <w:ind w:right="80"/>
        <w:spacing w:after="0" w:line="259" w:lineRule="auto"/>
        <w:rPr>
          <w:sz w:val="20"/>
          <w:szCs w:val="20"/>
          <w:color w:val="auto"/>
        </w:rPr>
      </w:pPr>
      <w:r>
        <w:rPr>
          <w:rFonts w:ascii="Arial" w:cs="Arial" w:eastAsia="Arial" w:hAnsi="Arial"/>
          <w:sz w:val="18"/>
          <w:szCs w:val="18"/>
          <w:color w:val="auto"/>
        </w:rPr>
        <w:t>Assets under management at December 31, 2010, include $360.6 billion in equity and blended asset investment portfolios and $121.4 billion in fixed income investment portfolios. The investment portfolios that we manage consist of $282.6 billion in the T. Rowe Price mutual funds distributed in the United States and $199.4 billion in other investment portfolios, including separately managed accounts, subadvised funds, and other sponsored investment funds offered to investors outside the U.S. and through variable annuity life insurance plans.</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may often involve costs that precede any future revenues that we may recognize from increases to our assets under management.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u w:val="single" w:color="auto"/>
          <w:color w:val="auto"/>
        </w:rPr>
        <w:t>2010 versus 2009.</w:t>
      </w:r>
      <w:r>
        <w:rPr>
          <w:rFonts w:ascii="Arial" w:cs="Arial" w:eastAsia="Arial" w:hAnsi="Arial"/>
          <w:sz w:val="16"/>
          <w:szCs w:val="16"/>
          <w:color w:val="auto"/>
        </w:rPr>
        <w:t xml:space="preserve"> Investment advisory revenues were up 31.1%, or $480.7 million, to $2.0 billion in 2010, as average assets under our management increased $101.3 billion to $422.6 billion. The average annualized fee rate earned on our assets under management was 48.0 basis points during 2010, virtually unchanged from the 48.1 basis points earned in 2009, including the effect of the voluntary fee waivers made to our money market funds.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Net revenues increased $499.8 million, or 26.8%, to nearly $2.4 billion. Operating expenses were $1.3 billion in 2010, an increase of $164.9 million, or</w:t>
      </w:r>
    </w:p>
    <w:p>
      <w:pPr>
        <w:spacing w:after="0" w:line="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14.1%. This increase includes the $16.4 million charge related to the one-time contribution made to certain of our money market funds. Overall, net operating income for 2010 increased $334.9 million, or 47.7%, to more than $1.0 billion. The increase in our average assets under management and resulting advisory revenue increased our operating margin for 2010 to 43.8% from 37.6% for 2009. We recognized non-operating investment income of $33.5 million in 2010 compared to investment losses in 2009 of $12.7 million. The 2009 year included $36.1 million in other than temporary impairment charges recognized in the first quarter on our investments in sponsored mutual funds. Net income increased $238.6 million, or 55%, to $672.2 million from the 2009 period resulting in diluted earnings per share on our common stock to increase 53% to $2.53 from the $1.65 earned in 2009.</w:t>
      </w:r>
    </w:p>
    <w:p>
      <w:pPr>
        <w:spacing w:after="0" w:line="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30.5%, or $326.0 million, to nearly $1.4 billion. Average mutual fund assets in 2010 were $250.8 billion, an increase of 30.8% from the 2009 average.</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Net inflows to the mutual funds during 2010 were $13.6 billion, including $5.9 billion originating in our target-date Retirement Funds. Fund net inflow amounts are presented net of $1.0 billion that was transferred to our target-date retirement trusts from the Retirement Funds. Our bond funds had net inflows of $7.7 billion. The New Income Fund had net inflows of $2.2 billion and the Short-Term Bond Fund added $1.4 billion. The stock and blended asset funds added $6.3 billion of net inflows, including $1.4 billion into the Value Fund. The Mid-Cap Value, Equity Income, Institutional Large-Cap Growth and Dividend Growth Funds each added more than $500 million for a combined total of $2.2 billion in net inflows. The money market funds had net outflows of $400 million. Higher market valuations and income increased fund assets by $36.3 billion.</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Investment advisory revenues earned on the other investment portfolios that we manage increased $154.7 million, or 32.4%, to $632.5 million. Average assets in these portfolios were $171.8 billion during 2010, an increase of $42.3 billion, or 32.7% from the 2009 year. Net inflows primarily from institutional investors and third party financial intermediaries were $16.7 billion, while market appreciation and income added $24.1 billion. These net inflows were invested primarily in our equity mandates, though we also saw strong demand for our fixed income strategies. Net inflows include a transfer of $1.0 billion from the target-date Retirement Funds.</w:t>
      </w:r>
    </w:p>
    <w:p>
      <w:pPr>
        <w:spacing w:after="0" w:line="8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Administrative fees increased $18.7 million to $337.5 million in 2010. The change in these revenues includes a $12.2 million increase of 12b-1 distribution and service fees recognized on higher assets under management in the Advisor and R classes of our sponsored mutual funds. Increases in our mutual fund servicing and defined contribution plan revenues of $10.2 million were offset by a $3.7 million decrease in brokerage fees due to a reduction in per-trade commissions charged beginning July 1, 2010, to customers with substantial assets. Changes in administrative fees are generally offset by similar changes in related operating expenses that are incurred to provide services to the funds and their investors.</w:t>
      </w:r>
    </w:p>
    <w:p>
      <w:pPr>
        <w:spacing w:after="0" w:line="6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Compensation and related costs, increased $87.0 million, or 11.2%, compared to 2009. The largest part of the change is attributable to a $63.9 million increase in our annual variable compensation programs. Greater use of outside contractors increased our 2010 costs by $14.1 million with the remainder of the change primarily attributable to higher other employee benefits and employee related costs. At December 31, 2010, we employed 5,052 associates, an increase of 5.2% from the end of 2009, to support both business growth and added capabilities.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right="240"/>
        <w:spacing w:after="0" w:line="286" w:lineRule="auto"/>
        <w:rPr>
          <w:sz w:val="20"/>
          <w:szCs w:val="20"/>
          <w:color w:val="auto"/>
        </w:rPr>
      </w:pPr>
      <w:r>
        <w:rPr>
          <w:rFonts w:ascii="Arial" w:cs="Arial" w:eastAsia="Arial" w:hAnsi="Arial"/>
          <w:sz w:val="17"/>
          <w:szCs w:val="17"/>
          <w:color w:val="auto"/>
        </w:rPr>
        <w:t>Advertising and promotion expenditures were up $13.7 million, or 18.7%, compared to 2009 in response to investor interest in recovering markets over the last twelve months. We currently estimate that advertising and promotion expenditures for 2011 could increase about 15% from 2010 levels. We vary our level of spending based on market conditions and investor demand as well as our efforts to expand our investor base globally.</w:t>
      </w:r>
    </w:p>
    <w:p>
      <w:pPr>
        <w:spacing w:after="0" w:line="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Occupancy and facility costs together with depreciation expense increased $4.1 million, or 2.4%, versus 2009. The amount of office space occupied, and the operating costs of our facilities have all risen to meet increased business demands. These increasing business demands have also led us to upgrade our technology capabilities and related maintenance programs.</w:t>
      </w:r>
    </w:p>
    <w:p>
      <w:pPr>
        <w:spacing w:after="0" w:line="7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Other operating expenses increased $60.1 million, or 39.6%, from 2009. This increase includes a $16.4 million charge related to the one-time contribution made to certain money market funds to offset the effects of cumulative net losses realized in recent years. Higher average assets in 2010 increased the distribution and service expense of our Advisor and R classes of mutual fund shares that are sourced from financial intermediaries. These costs are offset by an equal increase in our administrative revenues recognized from the 12b-1 fees discussed above. The remaining increase is a result of other operating costs, including consulting fees, travel costs and other professional services, incurred to meet increasing business demands.</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non-operating investment income activity resulted in a net gain of $33.5 million in 2010, compared to a net loss of $12.7 million in the 2009 period. This change of $46.2 million includes $36.1 million in other than temporary impairments recognized on our investments in sponsored mutual funds in 2009. The change also includes $1.3 million in more gains recognized in the 2010 period for the settlement and valuation of a series of non-deliverable forward contracts used to economically hedge the foreign currency exposure associated with the UTI acquisition price and $5.3 million in net earnings from our investment in UTI.</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2010 provision for income taxes as a percentage of pretax income is 37.2%. The 2010 income tax provision includes nonrecurring discrete benefits of .4% related to the settlement of prior years state income tax positions and .2% from the firm’s reorganization of its international entities, which was completed to help realize additional operational efficiencies. The firm currently estimates its effective rate for 2011 will be about 37.8%.</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2009 versus 2008</w:t>
      </w:r>
      <w:r>
        <w:rPr>
          <w:rFonts w:ascii="Arial" w:cs="Arial" w:eastAsia="Arial" w:hAnsi="Arial"/>
          <w:sz w:val="18"/>
          <w:szCs w:val="18"/>
          <w:color w:val="auto"/>
        </w:rPr>
        <w:t>. Investment advisory revenues were down 12%, or $215 million, to more than $1.5 billion in 2009, as average assets under our management of $321.3 billion in 2009 were $36.9 billion lower than in 2008. The average annualized fee rate earned on our assets under management was 48.1 basis points during 2009, down from the 49.2 basis points earned during 2008. Lower equity market valuations resulted in an increase in the percentage of our assets under management being attributable to lower fee fixed income portfolios, including money market funds for which we reduced advisory fees in order to maintain yields at or above 0% to fund investors.</w:t>
      </w:r>
    </w:p>
    <w:p>
      <w:pPr>
        <w:spacing w:after="0" w:line="8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Net revenues decreased 12%, or $249 million, to nearly $1.9 billion. Operating expenses fell 8%, or $102 million, to almost $1.2 billion in 2009. Overall, net operating income in 2009 decreased $147 million, or 17%, to $702 million. Our operating margin declined to 37.6% in 2009 from 40.1% in 2008, as the impact of lower average market valuations over 2009, which decreased our assets under management and corresponding advisory revenues, was offset only partially by the savings from our cost reduction efforts. Our non-operating investment loss decreased nearly $40 million due to the higher other than temporary impairment charges recognized in 2008 on our investments in sponsored mutual funds. Net income fell 12%, or $57 million, to nearly</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$434 million. Diluted earnings per share on our common stock also decreased to $1.65, down 9% or $.16 from $1.81 in 2008. The retrospective application in 2009 of new financial reporting guidance that recognizes our outstanding restricted stock and stock units, on which we pay non-forfeitable dividends, as if they were a separate class of stock reduced previously reported 2008 diluted earnings per share on our common stock of $1.82 by $.01 per share. The non-operating charges to recognize other than temporary impairments of our fund investments reduced diluted earnings per share by $.21 in 2008 and $.09 in 2009.</w:t>
      </w:r>
    </w:p>
    <w:p>
      <w:pPr>
        <w:spacing w:after="0" w:line="83"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Investment advisory revenues earned from the T. Rowe Price mutual funds distributed in the United States decreased more than $170 million, or 14%, from 2008 to almost $1.1 billion. Average mutual fund assets were $191.8 billion in 2009, down 11% from the average of $216.1 billion during 2008. Net inflows to the mutual funds in 2009 were $12.5 billion, including $6.4 billion that originated from our target-date Retirement Funds. Our bond funds added</w:t>
      </w:r>
    </w:p>
    <w:p>
      <w:pPr>
        <w:ind w:right="160"/>
        <w:spacing w:after="0" w:line="253" w:lineRule="auto"/>
        <w:rPr>
          <w:sz w:val="20"/>
          <w:szCs w:val="20"/>
          <w:color w:val="auto"/>
        </w:rPr>
      </w:pPr>
      <w:r>
        <w:rPr>
          <w:rFonts w:ascii="Arial" w:cs="Arial" w:eastAsia="Arial" w:hAnsi="Arial"/>
          <w:sz w:val="18"/>
          <w:szCs w:val="18"/>
          <w:color w:val="auto"/>
        </w:rPr>
        <w:t>$10.0 billion of net inflows, including $6.3 billion from four funds — New Income, Short Term Bond, International Bond and Emerging Markets Bond — that each added more than $1 billion during the year. The stock and blended asset funds had net inflows of $4.8 billion after the transfer of $1.3 billion to other investment portfolios under our management. The Equity Index 500 and Mid-Cap Growth funds had total net inflows of $2.5 billion in 2009. Our money market funds had net outflows of $2.3 billion during the year. Higher market valuations and income increased mutual fund assets under management by $55.8 billion in 2009.</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right="180"/>
        <w:spacing w:after="0" w:line="279" w:lineRule="auto"/>
        <w:rPr>
          <w:sz w:val="20"/>
          <w:szCs w:val="20"/>
          <w:color w:val="auto"/>
        </w:rPr>
      </w:pPr>
      <w:r>
        <w:rPr>
          <w:rFonts w:ascii="Arial" w:cs="Arial" w:eastAsia="Arial" w:hAnsi="Arial"/>
          <w:sz w:val="17"/>
          <w:szCs w:val="17"/>
          <w:color w:val="auto"/>
        </w:rPr>
        <w:t>Investment advisory revenues earned on the other investment portfolios that we manage decreased $44 million, or 8.5%, to $477.8 million in 2009. Average assets in these portfolios were $129.5 billion during 2009, down $12.6 billion or 9% from 2008. Other investment portfolio assets under management increased $46.7 billion during 2009, including $36.5 billion in market gains and income and $10.2 billion of net inflows, primarily from institutional investors. Net inflows include $1.3 billion transferred from the stock and blended asset mutual funds during 2009.</w:t>
      </w:r>
    </w:p>
    <w:p>
      <w:pPr>
        <w:spacing w:after="0" w:line="6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Administrative fees decreased $35 million, or 10%, to $319 million in 2009. This change includes a $4 million decrease in 12b-1 distribution and service fees recognized on lower average assets under management in the Advisor and R classes of our sponsored mutual funds and a $31 million reduction in our mutual fund servicing revenue, which is primarily attributable to our cost reduction efforts in the mutual fund and retirement plan servicing functions. Changes in administrative fees are generally offset by similar changes in related operating expenses that are incurred to provide services to the funds and their investors.</w:t>
      </w:r>
    </w:p>
    <w:p>
      <w:pPr>
        <w:spacing w:after="0" w:line="46"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Our largest expense, compensation and related costs, decreased $42 million, or 5%, from 2008 to $773 million in 2009. The largest part of this decrease is attributable to a $19 million reduction in our annual bonus program. Reductions in the use of outside contractors lowered 2009 costs $14 million with the remainder of the cost savings primarily attributable to the workforce reduction and lower employee benefits and other employment expenses. Average headcount in 2009 was down 5.4% from 2008 due to attrition, retirements and our workforce reduction in April 2009.</w:t>
      </w:r>
    </w:p>
    <w:p>
      <w:pPr>
        <w:spacing w:after="0" w:line="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Advertising and promotion expenditures were down $31 million, or 30%, versus 2008 due to our decision to reduce spending in response to lower investor activity in the 2009 market environment.</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Depreciation expense and other occupancy and facility costs together increased $4 million, or 2.5% compared to 2008, as we moderated or delayed our capital spending and facility growth plans.</w:t>
      </w:r>
    </w:p>
    <w:p>
      <w:pPr>
        <w:spacing w:after="0" w:line="6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Other operating expenses decreased $33 million, or 18% from 2008, including a decline of $4 million in distribution and service expenses recognized on lower average assets under management in our Advisor and R classes of mutual fund shares that are sourced from financial intermediaries. Our cost control efforts resulted in the remaining expense reductions, including lower professional fees and travel and related costs.</w:t>
      </w:r>
    </w:p>
    <w:p>
      <w:pPr>
        <w:spacing w:after="0" w:line="5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non-operating investment activity resulted in net losses of $12.7 million in 2009 and $52.3 million in 2008. The improvement of nearly $40 million is primarily attributable to a reduction in the other than temporary impairments recognized on our investments in sponsored mutual funds in 2009 versus 2008. The following table details our related mutual fund investment gains and losses (in millions) during the two years ended December 31, 2009.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than temporary impairments recognized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Capital gain distributions received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gain (loss) realized on fund dispositions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Net loss recognized on fund holdings</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r>
              <w:rPr>
                <w:rFonts w:ascii="Arial" w:cs="Arial" w:eastAsia="Arial" w:hAnsi="Arial"/>
                <w:sz w:val="18"/>
                <w:szCs w:val="18"/>
                <w:u w:val="single" w:color="auto"/>
                <w:color w:val="auto"/>
              </w:rPr>
              <w:t>5</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Lower income of $16 million from our money market holdings due to the significantly lower interest rate environment offset the improvement experienced with our fund investments.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2009 provision for income taxes as a percentage of pretax income is 37.1%, down from 38.4% in 2008. Our 2009 provision includes reductions of prior years’ tax provisions and discrete nonrecurring benefits that lowered our 2009 effective tax rate by 1.0%.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During 2010, stockholders’ equity increased from $2.9 billion to $3.3 billion. We repurchased nearly 5.0 million common shares for $240.0 million in 2010. Tangible book value is $2.6 billion at December 31, 2010, and our cash and cash equivalents and our mutual fund investment holdings total more than $1.5 billion. Given the availability of these financial resources, we do not maintain an available external source of liquidity.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jc w:val="both"/>
        <w:ind w:right="20"/>
        <w:spacing w:after="0" w:line="264" w:lineRule="auto"/>
        <w:rPr>
          <w:sz w:val="20"/>
          <w:szCs w:val="20"/>
          <w:color w:val="auto"/>
        </w:rPr>
      </w:pPr>
      <w:r>
        <w:rPr>
          <w:rFonts w:ascii="Arial" w:cs="Arial" w:eastAsia="Arial" w:hAnsi="Arial"/>
          <w:sz w:val="18"/>
          <w:szCs w:val="18"/>
          <w:color w:val="auto"/>
        </w:rPr>
        <w:t>At December 31, 2010, we had outstanding commitments to make additional contributions totaling $48.2 million to various investment partnerships in which we have an existing investment. We presently anticipate funding 2011 property and equipment expenditures of about $120 million from our cash balances and operating cash inflows.</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u w:val="single" w:color="auto"/>
          <w:color w:val="auto"/>
        </w:rPr>
        <w:t>2010 versus 2009</w:t>
      </w:r>
      <w:r>
        <w:rPr>
          <w:rFonts w:ascii="Arial" w:cs="Arial" w:eastAsia="Arial" w:hAnsi="Arial"/>
          <w:sz w:val="18"/>
          <w:szCs w:val="18"/>
          <w:color w:val="auto"/>
        </w:rPr>
        <w:t>. Operating activities during 2010 provided cash flows of $732.8 million, up $197.2 million from 2009, including a $238.6 million increase in net income. Cash flows in 2009 also included the impact of $36.1 million in other than temporary impairments of our investments in sponsored mutual funds that did not recur in 2010.</w:t>
      </w:r>
    </w:p>
    <w:p>
      <w:pPr>
        <w:spacing w:after="0" w:line="7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Net cash used in investing activities totaled $276.9 million, up $110.2 million from the 2009 period, primarily from the purchase of a 26% equity interest in UTI for $142.4 million plus related transaction costs incurred in the 2010 period of $1.2 million. We spent $15.9 million less in property and equipment expenditures in 2010 compared to 2009 due to the construction of our two new facilities in Owings Mills, Maryland being completed in late 2009.</w:t>
      </w:r>
    </w:p>
    <w:p>
      <w:pPr>
        <w:spacing w:after="0" w:line="3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Net cash used in financing activities was $386.1 million in 2010, up $141.4 million from the 2009 period. We increased our stock repurchases by expending $169.0 million more in 2010 compared to the 2009 year. Dividends paid during 2010 increased $22.0 million from the 2009 period due primarily to a $.02 increase in our quarterly per-share dividend. These uses of cash are offset by $35.3 million more in cash proceeds from option exercises compared to 2009 as the higher market valuations of our common stock experienced in 2010 led employees to exercise.</w:t>
      </w:r>
    </w:p>
    <w:p>
      <w:pPr>
        <w:spacing w:after="0" w:line="6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u w:val="single" w:color="auto"/>
          <w:color w:val="auto"/>
        </w:rPr>
        <w:t>2009 versus 2008</w:t>
      </w:r>
      <w:r>
        <w:rPr>
          <w:rFonts w:ascii="Arial" w:cs="Arial" w:eastAsia="Arial" w:hAnsi="Arial"/>
          <w:sz w:val="18"/>
          <w:szCs w:val="18"/>
          <w:color w:val="auto"/>
        </w:rPr>
        <w:t>. Operating activities during 2009 provided cash flows of nearly $536 million, down $206 million from 2008, including a $57 million decrease in net income and a $129 million change in the timing differences in the cash settlement of our accounts receivable and accrued revenues and payables and accrued liabilities. In addition, our add back of the non-cash charges for other than temporary impairments of our investments in sponsored mutual funds was $55 million more in 2008 than in 2009.</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totaled $167 million in 2009, up $42 million from 2008. We made net investments of nearly $18 million into our mutual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fund portfolio in 2009, an increase of $15 million from 2008. During 2009 and 2008, we made several changes, totaling more than $56 million in 2009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$95 million in 2008, to the composition of our portfolio of mutual fund holdings in light of market conditions experienced during the period. Because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smaller 2009 increase in savings bank deposits, we increased our investment in debt securities held by the savings bank by only $9 million in 2009 versus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$41 million in 2008. In 2008, we liquidated our $70 million U.S. Treasury Notes portfolio thereby producing inflows of nearly $73 million that did not recur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2009.</w:t>
      </w:r>
    </w:p>
    <w:p>
      <w:pPr>
        <w:spacing w:after="0" w:line="10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Net cash used in financing activities was $245 million in 2009, down $538 million from 2008. Compared to 2008, we expended $543 million less to repurchase our common shares in 2009. The uncertain market environment in 2009 led us to reduce our share repurchases and preserve our liquid capital. Our $.01 per share quarterly dividend increase in 2009 accounts for an additional payout of $10 million in dividends; however, our 2008 change in policy regarding the timing of dividend payments such that our quarterly dividends are declared and paid in the same quarter resulted in five quarterly dividend payments in 2008 versus only four in 2009. This additional payment resulted in our 2009 outflows for dividends decreasing $64 million from 2008. Excess tax benefits from share-based compensation plans decreased $37 million as fewer stock option exercises due to uncertainties and lower market valuations of our common stock reduced our common stock issuances about 25% from 2008.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following table presents a summary of our future obligations (in millions) under the terms of existing operating leases and other contractual cash purchase commitments at December 31, 2010. 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generally of a normal recurring nature, we expect that we will fund them from future cash flows from operations. The information presented does not include operating expenses or capital expenditures that will be committed in the normal course of operations in 2011 and future years. The information also excludes the $4 million of unrecognized tax benefits discussed in Note 9 to our consolidated financial statements because it is not possible to estimate the time period in which a payment might be made to the tax authorities.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93"/>
              </w:rPr>
              <w:t>2012-13</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9"/>
              </w:rPr>
              <w:t>2014-15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Later</w:t>
            </w:r>
          </w:p>
        </w:tc>
        <w:tc>
          <w:tcPr>
            <w:tcW w:w="100" w:type="dxa"/>
            <w:vAlign w:val="bottom"/>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Other purchase commitments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7"/>
        </w:trPr>
        <w:tc>
          <w:tcPr>
            <w:tcW w:w="3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0"/>
        </w:trPr>
        <w:tc>
          <w:tcPr>
            <w:tcW w:w="3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also have outstanding commitments to fund additional contributions to investment partnerships in which we have an existing investment totaling $48.2 million at December 31, 2010.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balance sheet, the revenues and expenses in our statement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40"/>
        <w:spacing w:after="0" w:line="264"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2010 Annual Report. In the following discussion, we highlight and explain further certain of those policies that are most critical to the preparation and understanding of our financial statements.</w:t>
      </w:r>
    </w:p>
    <w:p>
      <w:pPr>
        <w:spacing w:after="0" w:line="7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u w:val="single" w:color="auto"/>
          <w:color w:val="auto"/>
        </w:rPr>
        <w:t>Other than temporary impairments of available-for-sale securities</w:t>
      </w:r>
      <w:r>
        <w:rPr>
          <w:rFonts w:ascii="Arial" w:cs="Arial" w:eastAsia="Arial" w:hAnsi="Arial"/>
          <w:sz w:val="16"/>
          <w:szCs w:val="16"/>
          <w:color w:val="auto"/>
        </w:rPr>
        <w:t>. We generally classify our investment holdings in sponsored mutual funds and the debt securities held for investment by our savings bank subsidiary as available-for-sale. At the end of each quarter, we mark the carrying amount of each investment holding to fair value and recognize an unrealized gain or loss as a component of comprehensive income within the statement of stockholders’ equity. We next review each individual security position that has an unrealized loss or impairment to determine if that impairment is other than temporary.</w:t>
      </w:r>
    </w:p>
    <w:p>
      <w:pPr>
        <w:spacing w:after="0" w:line="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mutual fund holding with an impairment that has persisted daily throughout the six months between quarter-ends is generally presumed to have an other than temporary impairment and a loss is recognized in our statement of income unless there is persuasive evidence, such as an increase in value subsequent to quarter end, to overcome that presumption. We may also recognize an other than temporary loss of less than six months in our statement of income if the particular circumstances of the underlying investment do not warrant our belief that a near-term recovery is possible.</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 impaired debt security held by our savings bank subsidiary is considered to have an other-than-temporary loss that we will recognize in our statement of income if the impairment is caused by a change in credit quality that affects our ability to recover our amortized cost or if we intend to sell the security or believe that it is more likely than not that we will be required to sell the security before recovering cost. Minor impairments of 5% or less are generally considered temporary.</w:t>
      </w:r>
    </w:p>
    <w:p>
      <w:pPr>
        <w:spacing w:after="0" w:line="7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We internally conduct, manage and report our operations as one investment advisory business. We do not have distinct operating segments or components that separately constitute a business. Accordingly, we attribute goodwill to a single reportable business segment and reporting unit — our investment advisory business.</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evaluate the carrying amount of goodwill in our balance sheet for possible impairment on an annual basis in the third quarter of each year using a fair value approach. Goodwill would be considered impaired whenever our historical carrying amount exceeds the fair value of our investment advisory business. Our annual testing has demonstrated that the fair value of our investment advisory business (our market capitalization) exceeds 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balance sheet, $665.7 million.</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We recognize stock option-based compensation expense in our consolidated statement of income using a fair value based method. Fair value methods use a valuation model for shorter-term, market-traded financial instruments to theoretically value stock option grants even though they are not available for trading and are of longer duration. The Black-Scholes option-pricing model that we use includes the input of certain variables that are dependent on future expectations, including the expected lives of our options from grant date to exercise date, the volatility of our underlying common shares in the market over that time period, and the rate of dividends that we will pay during that time. Our estimates of these variables are made for the purpose of using the valuation model to determine an expense for each reporting period and are not subsequently adjusted. Unlike most of our expenses, the resulting charge to earnings using a fair value based method is a non-cash charge that is never measured by, or adjusted based on, a cash outflow.</w:t>
      </w:r>
    </w:p>
    <w:p>
      <w:pPr>
        <w:spacing w:after="0" w:line="59" w:lineRule="exact"/>
        <w:rPr>
          <w:sz w:val="20"/>
          <w:szCs w:val="20"/>
          <w:color w:val="auto"/>
        </w:rPr>
      </w:pPr>
    </w:p>
    <w:p>
      <w:pPr>
        <w:spacing w:after="0" w:line="288" w:lineRule="auto"/>
        <w:rPr>
          <w:sz w:val="20"/>
          <w:szCs w:val="20"/>
          <w:color w:val="auto"/>
        </w:rPr>
      </w:pPr>
      <w:r>
        <w:rPr>
          <w:rFonts w:ascii="Arial" w:cs="Arial" w:eastAsia="Arial" w:hAnsi="Arial"/>
          <w:sz w:val="16"/>
          <w:szCs w:val="16"/>
          <w:u w:val="single" w:color="auto"/>
          <w:color w:val="auto"/>
        </w:rPr>
        <w:t>Provision for income taxes</w:t>
      </w:r>
      <w:r>
        <w:rPr>
          <w:rFonts w:ascii="Arial" w:cs="Arial" w:eastAsia="Arial" w:hAnsi="Arial"/>
          <w:sz w:val="16"/>
          <w:szCs w:val="16"/>
          <w:color w:val="auto"/>
        </w:rPr>
        <w:t>. 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 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NEWLY ISSUED BUT NOT YET ADOPTED ACCOUNTING GUIDANCE.</w:t>
      </w:r>
    </w:p>
    <w:p>
      <w:pPr>
        <w:spacing w:after="0" w:line="117"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Each reporting period we consider all newly issued but not yet adopted accounting and reporting guidance that is applicable to our operations and the preparation of our consolidated statements. We do not believe that any issued guidance that we have not yet adopted will have a material effect on our financial position or results of operations.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investments, capital expenditures,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5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(loss) will also fluctuate primarily due to the size of our investments, and changes in their market valuations or, in the case of our equity investments, our proportionate share of their net income.</w:t>
      </w:r>
    </w:p>
    <w:p>
      <w:pPr>
        <w:spacing w:after="0" w:line="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other incentive awards, changes in our employee count and mix, and competitive factors;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revenues and net income are based primarily on the value of assets under our management. Accordingly, declines in financial market values like those experienced during periods in 2008 and 2009 directly and negatively impact our investment advisory revenues, as well as our investment income and net income.</w:t>
      </w:r>
    </w:p>
    <w:p>
      <w:pPr>
        <w:spacing w:after="0" w:line="7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invest in our sponsored mutual funds, which are market risk sensitive financial instruments, primarily for purposes other than trading. Mutual fund investments have inherent market risk in the form of equity price risk; that is, the potential future loss of value that would result from a decline in the fair values of mutual fund shares. Each fund and its underlying net assets are also subject to market risk, which may arise from changes in equity prices, credit ratings, foreign currency exchange rates, and interest rates.</w:t>
      </w:r>
    </w:p>
    <w:p>
      <w:pPr>
        <w:spacing w:after="0" w:line="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Upon the closing of our equity purchase of UTI, we also settled the series of rolling non-deliverable forward contracts used to economically hedge the foreign currency exchange rate exposure relating to the acquisition price. We did not invest in any other derivative financial or commodity instruments in 2010.</w:t>
      </w:r>
    </w:p>
    <w:p>
      <w:pPr>
        <w:spacing w:after="0" w:line="1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table (in millions) presents the equity price risk from investments in sponsored mutual funds that are accounted for as available-for-sale securities by assuming a hypothetical decline in the fair values of mutual fund shares. This potential future loss of value, before any income tax benefits, reflects the valuation of mutual fund investments at year-end using each fund’s lowest net asset value per share during 2010. In considering this presentation, it is important to note that: not all funds experienced their lowest net asset value per share on the same day; it is likely that the composition of the mutual fund investment portfolio would be changed if adverse market conditions persisted; and we could experience future losses in excess of those presented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color w:val="auto"/>
              </w:rPr>
              <w:t>Fair value</w:t>
            </w:r>
          </w:p>
        </w:tc>
        <w:tc>
          <w:tcPr>
            <w:tcW w:w="1140" w:type="dxa"/>
            <w:vAlign w:val="bottom"/>
          </w:tcPr>
          <w:p>
            <w:pPr>
              <w:jc w:val="center"/>
              <w:ind w:left="79"/>
              <w:spacing w:after="0"/>
              <w:rPr>
                <w:sz w:val="20"/>
                <w:szCs w:val="20"/>
                <w:color w:val="auto"/>
              </w:rPr>
            </w:pPr>
            <w:r>
              <w:rPr>
                <w:rFonts w:ascii="Arial" w:cs="Arial" w:eastAsia="Arial" w:hAnsi="Arial"/>
                <w:sz w:val="14"/>
                <w:szCs w:val="14"/>
                <w:color w:val="auto"/>
                <w:w w:val="86"/>
              </w:rPr>
              <w:t>Percentage</w:t>
            </w:r>
          </w:p>
        </w:tc>
        <w:tc>
          <w:tcPr>
            <w:tcW w:w="540" w:type="dxa"/>
            <w:vAlign w:val="bottom"/>
          </w:tcPr>
          <w:p>
            <w:pPr>
              <w:spacing w:after="0"/>
              <w:rPr>
                <w:sz w:val="14"/>
                <w:szCs w:val="14"/>
                <w:color w:val="auto"/>
              </w:rPr>
            </w:pPr>
          </w:p>
        </w:tc>
        <w:tc>
          <w:tcPr>
            <w:tcW w:w="1000" w:type="dxa"/>
            <w:vAlign w:val="bottom"/>
            <w:gridSpan w:val="2"/>
          </w:tcPr>
          <w:p>
            <w:pPr>
              <w:jc w:val="center"/>
              <w:ind w:right="257"/>
              <w:spacing w:after="0"/>
              <w:rPr>
                <w:sz w:val="20"/>
                <w:szCs w:val="20"/>
                <w:color w:val="auto"/>
              </w:rPr>
            </w:pPr>
            <w:r>
              <w:rPr>
                <w:rFonts w:ascii="Arial" w:cs="Arial" w:eastAsia="Arial" w:hAnsi="Arial"/>
                <w:sz w:val="14"/>
                <w:szCs w:val="14"/>
                <w:color w:val="auto"/>
                <w:w w:val="91"/>
              </w:rPr>
              <w:t>Potential</w:t>
            </w:r>
          </w:p>
        </w:tc>
        <w:tc>
          <w:tcPr>
            <w:tcW w:w="1140" w:type="dxa"/>
            <w:vAlign w:val="bottom"/>
          </w:tcPr>
          <w:p>
            <w:pPr>
              <w:jc w:val="center"/>
              <w:ind w:left="59"/>
              <w:spacing w:after="0"/>
              <w:rPr>
                <w:sz w:val="20"/>
                <w:szCs w:val="20"/>
                <w:color w:val="auto"/>
              </w:rPr>
            </w:pPr>
            <w:r>
              <w:rPr>
                <w:rFonts w:ascii="Arial" w:cs="Arial" w:eastAsia="Arial" w:hAnsi="Arial"/>
                <w:sz w:val="14"/>
                <w:szCs w:val="14"/>
                <w:color w:val="auto"/>
                <w:w w:val="89"/>
              </w:rPr>
              <w:t>Percentage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757"/>
              <w:spacing w:after="0" w:line="149" w:lineRule="exact"/>
              <w:rPr>
                <w:sz w:val="20"/>
                <w:szCs w:val="20"/>
                <w:color w:val="auto"/>
              </w:rPr>
            </w:pPr>
            <w:r>
              <w:rPr>
                <w:rFonts w:ascii="Arial" w:cs="Arial" w:eastAsia="Arial" w:hAnsi="Arial"/>
                <w:sz w:val="14"/>
                <w:szCs w:val="14"/>
                <w:color w:val="auto"/>
              </w:rPr>
              <w:t>at</w:t>
            </w:r>
          </w:p>
        </w:tc>
        <w:tc>
          <w:tcPr>
            <w:tcW w:w="1140" w:type="dxa"/>
            <w:vAlign w:val="bottom"/>
          </w:tcPr>
          <w:p>
            <w:pPr>
              <w:jc w:val="center"/>
              <w:ind w:left="59"/>
              <w:spacing w:after="0" w:line="149" w:lineRule="exact"/>
              <w:rPr>
                <w:sz w:val="20"/>
                <w:szCs w:val="20"/>
                <w:color w:val="auto"/>
              </w:rPr>
            </w:pPr>
            <w:r>
              <w:rPr>
                <w:rFonts w:ascii="Arial" w:cs="Arial" w:eastAsia="Arial" w:hAnsi="Arial"/>
                <w:sz w:val="14"/>
                <w:szCs w:val="14"/>
                <w:color w:val="auto"/>
              </w:rPr>
              <w:t>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7"/>
              <w:spacing w:after="0" w:line="149" w:lineRule="exact"/>
              <w:rPr>
                <w:sz w:val="20"/>
                <w:szCs w:val="20"/>
                <w:color w:val="auto"/>
              </w:rPr>
            </w:pPr>
            <w:r>
              <w:rPr>
                <w:rFonts w:ascii="Arial" w:cs="Arial" w:eastAsia="Arial" w:hAnsi="Arial"/>
                <w:sz w:val="14"/>
                <w:szCs w:val="14"/>
                <w:color w:val="auto"/>
              </w:rPr>
              <w:t>lower</w:t>
            </w:r>
          </w:p>
        </w:tc>
        <w:tc>
          <w:tcPr>
            <w:tcW w:w="1140" w:type="dxa"/>
            <w:vAlign w:val="bottom"/>
          </w:tcPr>
          <w:p>
            <w:pPr>
              <w:jc w:val="center"/>
              <w:ind w:left="59"/>
              <w:spacing w:after="0" w:line="149" w:lineRule="exact"/>
              <w:rPr>
                <w:sz w:val="20"/>
                <w:szCs w:val="20"/>
                <w:color w:val="auto"/>
              </w:rPr>
            </w:pPr>
            <w:r>
              <w:rPr>
                <w:rFonts w:ascii="Arial" w:cs="Arial" w:eastAsia="Arial" w:hAnsi="Arial"/>
                <w:sz w:val="14"/>
                <w:szCs w:val="14"/>
                <w:color w:val="auto"/>
              </w:rPr>
              <w:t>of</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60" w:type="dxa"/>
            <w:vAlign w:val="bottom"/>
            <w:tcBorders>
              <w:bottom w:val="single" w:sz="8" w:color="auto"/>
            </w:tcBorders>
            <w:gridSpan w:val="2"/>
          </w:tcPr>
          <w:p>
            <w:pPr>
              <w:jc w:val="right"/>
              <w:ind w:right="237"/>
              <w:spacing w:after="0"/>
              <w:rPr>
                <w:sz w:val="20"/>
                <w:szCs w:val="20"/>
                <w:color w:val="auto"/>
              </w:rPr>
            </w:pPr>
            <w:r>
              <w:rPr>
                <w:rFonts w:ascii="Arial" w:cs="Arial" w:eastAsia="Arial" w:hAnsi="Arial"/>
                <w:sz w:val="14"/>
                <w:szCs w:val="14"/>
                <w:color w:val="auto"/>
                <w:w w:val="91"/>
              </w:rPr>
              <w:t>December 31, 2010</w:t>
            </w:r>
          </w:p>
        </w:tc>
        <w:tc>
          <w:tcPr>
            <w:tcW w:w="1140" w:type="dxa"/>
            <w:vAlign w:val="bottom"/>
            <w:tcBorders>
              <w:bottom w:val="single" w:sz="8" w:color="auto"/>
            </w:tcBorders>
          </w:tcPr>
          <w:p>
            <w:pPr>
              <w:jc w:val="center"/>
              <w:ind w:left="79"/>
              <w:spacing w:after="0"/>
              <w:rPr>
                <w:sz w:val="20"/>
                <w:szCs w:val="20"/>
                <w:color w:val="auto"/>
              </w:rPr>
            </w:pPr>
            <w:r>
              <w:rPr>
                <w:rFonts w:ascii="Arial" w:cs="Arial" w:eastAsia="Arial" w:hAnsi="Arial"/>
                <w:sz w:val="14"/>
                <w:szCs w:val="14"/>
                <w:color w:val="auto"/>
              </w:rPr>
              <w:t>portfolio</w:t>
            </w:r>
          </w:p>
        </w:tc>
        <w:tc>
          <w:tcPr>
            <w:tcW w:w="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77"/>
              <w:spacing w:after="0"/>
              <w:rPr>
                <w:sz w:val="20"/>
                <w:szCs w:val="20"/>
                <w:color w:val="auto"/>
              </w:rPr>
            </w:pPr>
            <w:r>
              <w:rPr>
                <w:rFonts w:ascii="Arial" w:cs="Arial" w:eastAsia="Arial" w:hAnsi="Arial"/>
                <w:sz w:val="14"/>
                <w:szCs w:val="14"/>
                <w:color w:val="auto"/>
                <w:w w:val="89"/>
              </w:rPr>
              <w:t>value</w:t>
            </w:r>
          </w:p>
        </w:tc>
        <w:tc>
          <w:tcPr>
            <w:tcW w:w="1140" w:type="dxa"/>
            <w:vAlign w:val="bottom"/>
            <w:tcBorders>
              <w:bottom w:val="single" w:sz="8" w:color="auto"/>
            </w:tcBorders>
          </w:tcPr>
          <w:p>
            <w:pPr>
              <w:jc w:val="center"/>
              <w:ind w:left="59"/>
              <w:spacing w:after="0"/>
              <w:rPr>
                <w:sz w:val="20"/>
                <w:szCs w:val="20"/>
                <w:color w:val="auto"/>
              </w:rPr>
            </w:pPr>
            <w:r>
              <w:rPr>
                <w:rFonts w:ascii="Arial" w:cs="Arial" w:eastAsia="Arial" w:hAnsi="Arial"/>
                <w:sz w:val="14"/>
                <w:szCs w:val="14"/>
                <w:color w:val="auto"/>
              </w:rPr>
              <w:t>portfolio</w:t>
            </w: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Potential loss</w:t>
            </w:r>
          </w:p>
        </w:tc>
        <w:tc>
          <w:tcPr>
            <w:tcW w:w="56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Stock and blended asset funds</w:t>
            </w:r>
          </w:p>
        </w:tc>
        <w:tc>
          <w:tcPr>
            <w:tcW w:w="8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460.3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360.2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rPr>
              <w:t>100.1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Bond funds</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287.6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278.6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814"/>
              <w:spacing w:after="0"/>
              <w:rPr>
                <w:sz w:val="20"/>
                <w:szCs w:val="20"/>
                <w:color w:val="auto"/>
              </w:rPr>
            </w:pPr>
            <w:r>
              <w:rPr>
                <w:rFonts w:ascii="Arial" w:cs="Arial" w:eastAsia="Arial" w:hAnsi="Arial"/>
                <w:sz w:val="18"/>
                <w:szCs w:val="18"/>
                <w:color w:val="auto"/>
              </w:rPr>
              <w:t>9.0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747.9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638.8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rPr>
              <w:t>109.1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comparable potential loss of value presented in our 2009 annual report was $207.2 million on sponsored mutual fund investments of $677.5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During 2010, we actually experienced net unrealized gains of $67.9 million.</w:t>
      </w:r>
    </w:p>
    <w:p>
      <w:pPr>
        <w:spacing w:after="0" w:line="10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Because our fund holdings are considered available-for-sale securities, we recognize unrealized losses that are considered temporary in other comprehensive income. We review the carrying amount of each investment on a quarterly basis and recognize an impairment charge in non-operating investment income (loss) whenever an unrealized loss is considered other than temporary. A mutual fund holding with an impairment that has persisted daily throughout the six months between quarter-ends is generally presumed to have an other than temporary impairment unless there is persuasive evidence, such as an increase in value subsequent to quarter end, to overcome that presumption. The amount and timing of any future charge will be dependent on our holdings and future market performance.</w:t>
      </w:r>
    </w:p>
    <w:p>
      <w:pPr>
        <w:spacing w:after="0" w:line="8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Investments in mutual funds generally moderate market risk because funds, by their nature, are diversified investment portfolios that invest in a number of different financial instruments. T. Rowe Price further manages its exposure to market risk by diversifying its investments among many domestic and international funds. In addition, investment holdings may be altered from time to time in response to changes in market risks and other factors, as management deems appropriate.</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investment portfolio and customer deposit liabilities of our savings bank subsidiary are subject to interest rate risk. If interest rates change 1%, the change in the net value of these assets and liabilities would not be material.</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We also hold other investments of $209.7 million, including our $154.1 million investment in UTI Asset Management Company Ltd, at December 31, 2010.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Given the nature of UTI’s business, should conditions deteriorate in markets in which they operate, we are at risk for loss up to our carrying amount.</w:t>
      </w:r>
    </w:p>
    <w:p>
      <w:pPr>
        <w:spacing w:after="0" w:line="11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operate in several foreign countries, most prominent among which is the United Kingdom. We incur operating expenses and have foreign currency-denominated assets and liabilities associated with these operations, though our revenues are predominately realized in U.S. dollars. We do not believe that foreign currency fluctuations materially affect our results of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40" w:type="dxa"/>
            <w:vAlign w:val="bottom"/>
            <w:vMerge w:val="restart"/>
          </w:tcPr>
          <w:p>
            <w:pPr>
              <w:spacing w:after="0"/>
              <w:rPr>
                <w:sz w:val="20"/>
                <w:szCs w:val="20"/>
                <w:color w:val="auto"/>
              </w:rPr>
            </w:pPr>
            <w:r>
              <w:rPr>
                <w:rFonts w:ascii="Arial" w:cs="Arial" w:eastAsia="Arial" w:hAnsi="Arial"/>
                <w:sz w:val="18"/>
                <w:szCs w:val="18"/>
                <w:color w:val="auto"/>
              </w:rPr>
              <w:t>Index to Financial Statements:</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Consolidated Balance Sheets at December 31, 2009 and 2010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Consolidated Statements of Income for each of the three years in the period ended December 31, 2010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Consolidated Statements of Stockholders’ Equity for each of the three years in the period ended December 31, 2010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Summary of Significant Accounting Policies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Notes to Consolidated Financial Statements, including Supplementary Quarterly Financial Data</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10640" w:type="dxa"/>
            <w:vAlign w:val="bottom"/>
          </w:tcPr>
          <w:p>
            <w:pPr>
              <w:ind w:left="220"/>
              <w:spacing w:after="0"/>
              <w:rPr>
                <w:sz w:val="20"/>
                <w:szCs w:val="20"/>
                <w:color w:val="auto"/>
              </w:rPr>
            </w:pPr>
            <w:r>
              <w:rPr>
                <w:rFonts w:ascii="Arial" w:cs="Arial" w:eastAsia="Arial" w:hAnsi="Arial"/>
                <w:sz w:val="18"/>
                <w:szCs w:val="18"/>
                <w:color w:val="auto"/>
              </w:rPr>
              <w:t>Report of Independent Registered Public Accounting Firm</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05"/>
        </w:trPr>
        <w:tc>
          <w:tcPr>
            <w:tcW w:w="10640" w:type="dxa"/>
            <w:vAlign w:val="bottom"/>
          </w:tcPr>
          <w:p>
            <w:pPr>
              <w:ind w:left="5520"/>
              <w:spacing w:after="0"/>
              <w:rPr>
                <w:sz w:val="20"/>
                <w:szCs w:val="20"/>
                <w:color w:val="auto"/>
              </w:rPr>
            </w:pPr>
            <w:r>
              <w:rPr>
                <w:rFonts w:ascii="Arial" w:cs="Arial" w:eastAsia="Arial" w:hAnsi="Arial"/>
                <w:sz w:val="18"/>
                <w:szCs w:val="18"/>
                <w:color w:val="auto"/>
              </w:rPr>
              <w:t>- 24 -</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94"/>
              </w:rPr>
              <w:t>12/31/2009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w w:val="94"/>
              </w:rPr>
              <w:t>12/31/2010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 (Notes 1 and 6)</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743.3</w:t>
            </w:r>
          </w:p>
        </w:tc>
        <w:tc>
          <w:tcPr>
            <w:tcW w:w="32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 (Note 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Investments in sponsored mutual funds (Notes 3 and 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677.5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 (Notes 4 and 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investments (Notes 5 and 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45.7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(Note 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665.7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 (Notes 8 and 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3,210.3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53.3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 (Note 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Customer deposits at savings bank subsidiary (Note 4)</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 (Notes 5, 7 and 14)</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(Notes 10, 11, 13 and 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$.20 par value — authorized 750,000,000; issued 258,534,000 shares in 2009 and 258,760,000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in 2010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51.7</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488.5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2,240.1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2,882.2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3,296.5</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3,210.3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w w:val="94"/>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Investment advisory fees (Note 2)</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1,761.0</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1,546.1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(Note 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2,121.3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1,871.9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2,116.3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1,867.4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2,367.2</w:t>
            </w:r>
          </w:p>
        </w:tc>
        <w:tc>
          <w:tcPr>
            <w:tcW w:w="0" w:type="dxa"/>
            <w:vAlign w:val="bottom"/>
          </w:tcPr>
          <w:p>
            <w:pPr>
              <w:spacing w:after="0"/>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 (Notes 7, 11 and 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104.1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73.2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Occupancy and facility costs (Note 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1,267.8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1,165.8</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1,036.5</w:t>
            </w:r>
          </w:p>
        </w:tc>
        <w:tc>
          <w:tcPr>
            <w:tcW w:w="0" w:type="dxa"/>
            <w:vAlign w:val="bottom"/>
          </w:tcPr>
          <w:p>
            <w:pPr>
              <w:spacing w:after="0"/>
              <w:rPr>
                <w:sz w:val="1"/>
                <w:szCs w:val="1"/>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Non-operating investment income (loss)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(52.3)</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Provision for income taxes (Note 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255.3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672.2</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 (Note 12)</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auto"/>
                <w:w w:val="90"/>
              </w:rPr>
              <w:t>Year ended December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490.8</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433.6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61.7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than temporary impairments of investments in sponsored mutual funds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Changes in accounts receivable and accrued revenue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89.4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payables and accrued liabilities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439"/>
        </w:trPr>
        <w:tc>
          <w:tcPr>
            <w:tcW w:w="69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UTI Asset Management Company Limited</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Dispositions of sponsored mutual funds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Investments in debt securities by savings bank subsidiary</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debt securities held by savings bank subsidiary</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Other investments made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other investments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Additions to property and equipment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(144.1)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investing activity</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20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(166.7)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(614.2)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 issuances under stock-based compensation plans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Excess tax benefits from stock-based compensation plans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68.7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439"/>
        </w:trPr>
        <w:tc>
          <w:tcPr>
            <w:tcW w:w="6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during year</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At beginning of year</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785.1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619.1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end of year</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743.3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CONSOLIDATED STATEMENTS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in thousands;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ind w:left="220"/>
              <w:spacing w:after="0"/>
              <w:rPr>
                <w:sz w:val="20"/>
                <w:szCs w:val="20"/>
                <w:color w:val="auto"/>
              </w:rPr>
            </w:pPr>
            <w:r>
              <w:rPr>
                <w:rFonts w:ascii="Arial" w:cs="Arial" w:eastAsia="Arial" w:hAnsi="Arial"/>
                <w:sz w:val="14"/>
                <w:szCs w:val="14"/>
                <w:color w:val="auto"/>
              </w:rPr>
              <w:t>Additional capital</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87"/>
              </w:rPr>
              <w:t>Common shares</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95"/>
              </w:rPr>
              <w:t>in excess of par</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2"/>
              </w:rPr>
              <w:t>comprehensive</w:t>
            </w:r>
          </w:p>
        </w:tc>
        <w:tc>
          <w:tcPr>
            <w:tcW w:w="14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Total 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outstanding</w:t>
            </w:r>
          </w:p>
        </w:tc>
        <w:tc>
          <w:tcPr>
            <w:tcW w:w="280" w:type="dxa"/>
            <w:vAlign w:val="bottom"/>
            <w:gridSpan w:val="2"/>
          </w:tcPr>
          <w:p>
            <w:pPr>
              <w:spacing w:after="0"/>
              <w:rPr>
                <w:sz w:val="14"/>
                <w:szCs w:val="14"/>
                <w:color w:val="auto"/>
              </w:rPr>
            </w:pPr>
          </w:p>
        </w:tc>
        <w:tc>
          <w:tcPr>
            <w:tcW w:w="1340" w:type="dxa"/>
            <w:vAlign w:val="bottom"/>
            <w:gridSpan w:val="4"/>
          </w:tcPr>
          <w:p>
            <w:pPr>
              <w:ind w:left="220"/>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color w:val="auto"/>
              </w:rPr>
              <w:t>value</w:t>
            </w:r>
          </w:p>
        </w:tc>
        <w:tc>
          <w:tcPr>
            <w:tcW w:w="1740" w:type="dxa"/>
            <w:vAlign w:val="bottom"/>
            <w:gridSpan w:val="4"/>
          </w:tcPr>
          <w:p>
            <w:pPr>
              <w:ind w:left="220"/>
              <w:spacing w:after="0"/>
              <w:rPr>
                <w:sz w:val="20"/>
                <w:szCs w:val="20"/>
                <w:color w:val="auto"/>
              </w:rPr>
            </w:pPr>
            <w:r>
              <w:rPr>
                <w:rFonts w:ascii="Arial" w:cs="Arial" w:eastAsia="Arial" w:hAnsi="Arial"/>
                <w:sz w:val="14"/>
                <w:szCs w:val="14"/>
                <w:color w:val="auto"/>
              </w:rPr>
              <w:t>Retained earnings</w:t>
            </w:r>
          </w:p>
        </w:tc>
        <w:tc>
          <w:tcPr>
            <w:tcW w:w="8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color w:val="auto"/>
                <w:w w:val="98"/>
              </w:rPr>
              <w:t>income (loss)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at December 31, 2007</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264,605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52.9</w:t>
            </w:r>
          </w:p>
        </w:tc>
        <w:tc>
          <w:tcPr>
            <w:tcW w:w="44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295.8</w:t>
            </w:r>
          </w:p>
        </w:tc>
        <w:tc>
          <w:tcPr>
            <w:tcW w:w="56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00"/>
              <w:spacing w:after="0" w:line="142" w:lineRule="exact"/>
              <w:rPr>
                <w:sz w:val="20"/>
                <w:szCs w:val="20"/>
                <w:color w:val="auto"/>
              </w:rPr>
            </w:pPr>
            <w:r>
              <w:rPr>
                <w:rFonts w:ascii="Arial" w:cs="Arial" w:eastAsia="Arial" w:hAnsi="Arial"/>
                <w:sz w:val="14"/>
                <w:szCs w:val="14"/>
                <w:color w:val="auto"/>
              </w:rPr>
              <w:t>2,333.4</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95.0</w:t>
            </w:r>
          </w:p>
        </w:tc>
        <w:tc>
          <w:tcPr>
            <w:tcW w:w="440" w:type="dxa"/>
            <w:vAlign w:val="bottom"/>
            <w:gridSpan w:val="2"/>
            <w:shd w:val="clear" w:color="auto" w:fill="CCEEFF"/>
          </w:tcPr>
          <w:p>
            <w:pPr>
              <w:jc w:val="right"/>
              <w:ind w:right="109"/>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2,777.1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490.8</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tcPr>
          <w:p>
            <w:pPr>
              <w:ind w:left="200"/>
              <w:spacing w:after="0" w:line="130" w:lineRule="exact"/>
              <w:rPr>
                <w:sz w:val="20"/>
                <w:szCs w:val="20"/>
                <w:color w:val="auto"/>
              </w:rPr>
            </w:pPr>
            <w:r>
              <w:rPr>
                <w:rFonts w:ascii="Arial" w:cs="Arial" w:eastAsia="Arial" w:hAnsi="Arial"/>
                <w:sz w:val="14"/>
                <w:szCs w:val="14"/>
                <w:color w:val="auto"/>
              </w:rPr>
              <w:t>Net unrealized holding losses, net of</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tcPr>
          <w:p>
            <w:pPr>
              <w:ind w:left="400"/>
              <w:spacing w:after="0"/>
              <w:rPr>
                <w:sz w:val="20"/>
                <w:szCs w:val="20"/>
                <w:color w:val="auto"/>
              </w:rPr>
            </w:pPr>
            <w:r>
              <w:rPr>
                <w:rFonts w:ascii="Arial" w:cs="Arial" w:eastAsia="Arial" w:hAnsi="Arial"/>
                <w:sz w:val="14"/>
                <w:szCs w:val="14"/>
                <w:color w:val="auto"/>
              </w:rPr>
              <w:t>tax</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(108.1)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(248.9)</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stock-based compensation plans</w:t>
            </w: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activity</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00"/>
              <w:spacing w:after="0" w:line="149" w:lineRule="exact"/>
              <w:rPr>
                <w:sz w:val="20"/>
                <w:szCs w:val="20"/>
                <w:color w:val="auto"/>
              </w:rPr>
            </w:pPr>
            <w:r>
              <w:rPr>
                <w:rFonts w:ascii="Arial" w:cs="Arial" w:eastAsia="Arial" w:hAnsi="Arial"/>
                <w:sz w:val="14"/>
                <w:szCs w:val="14"/>
                <w:color w:val="auto"/>
              </w:rPr>
              <w:t>Shares issued upon option exercises</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4,895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31.1</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Restricted shares issued, net of shares</w:t>
            </w: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withheld for taxes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270</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tcPr>
          <w:p>
            <w:pPr>
              <w:ind w:left="200"/>
              <w:spacing w:after="0" w:line="130" w:lineRule="exact"/>
              <w:rPr>
                <w:sz w:val="20"/>
                <w:szCs w:val="20"/>
                <w:color w:val="auto"/>
              </w:rPr>
            </w:pPr>
            <w:r>
              <w:rPr>
                <w:rFonts w:ascii="Arial" w:cs="Arial" w:eastAsia="Arial" w:hAnsi="Arial"/>
                <w:sz w:val="14"/>
                <w:szCs w:val="14"/>
                <w:color w:val="auto"/>
              </w:rPr>
              <w:t>Shares issued upon vesting of restricted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tcPr>
          <w:p>
            <w:pPr>
              <w:ind w:left="400"/>
              <w:spacing w:after="0"/>
              <w:rPr>
                <w:sz w:val="20"/>
                <w:szCs w:val="20"/>
                <w:color w:val="auto"/>
              </w:rPr>
            </w:pPr>
            <w:r>
              <w:rPr>
                <w:rFonts w:ascii="Arial" w:cs="Arial" w:eastAsia="Arial" w:hAnsi="Arial"/>
                <w:sz w:val="14"/>
                <w:szCs w:val="14"/>
                <w:color w:val="auto"/>
              </w:rPr>
              <w:t>stock units</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Forfeiture of restricted awards</w:t>
            </w:r>
          </w:p>
        </w:tc>
        <w:tc>
          <w:tcPr>
            <w:tcW w:w="11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00"/>
              <w:spacing w:after="0" w:line="149" w:lineRule="exact"/>
              <w:rPr>
                <w:sz w:val="20"/>
                <w:szCs w:val="20"/>
                <w:color w:val="auto"/>
              </w:rPr>
            </w:pPr>
            <w:r>
              <w:rPr>
                <w:rFonts w:ascii="Arial" w:cs="Arial" w:eastAsia="Arial" w:hAnsi="Arial"/>
                <w:sz w:val="14"/>
                <w:szCs w:val="14"/>
                <w:color w:val="auto"/>
              </w:rPr>
              <w:t>Net tax benefits</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70.3</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85.5</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Common shares repurchased</w:t>
            </w:r>
          </w:p>
        </w:tc>
        <w:tc>
          <w:tcPr>
            <w:tcW w:w="11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(12,948)</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(488.5)</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2008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256,856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363.7</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2,086.8</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433.6</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00"/>
              <w:spacing w:after="0" w:line="149" w:lineRule="exact"/>
              <w:rPr>
                <w:sz w:val="20"/>
                <w:szCs w:val="20"/>
                <w:color w:val="auto"/>
              </w:rPr>
            </w:pPr>
            <w:r>
              <w:rPr>
                <w:rFonts w:ascii="Arial" w:cs="Arial" w:eastAsia="Arial" w:hAnsi="Arial"/>
                <w:sz w:val="14"/>
                <w:szCs w:val="14"/>
                <w:color w:val="auto"/>
              </w:rPr>
              <w:t>Net unrealized holding gains, net of tax</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(256.9)</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stock-based compensation plans</w:t>
            </w: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activity</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00"/>
              <w:spacing w:after="0" w:line="149" w:lineRule="exact"/>
              <w:rPr>
                <w:sz w:val="20"/>
                <w:szCs w:val="20"/>
                <w:color w:val="auto"/>
              </w:rPr>
            </w:pPr>
            <w:r>
              <w:rPr>
                <w:rFonts w:ascii="Arial" w:cs="Arial" w:eastAsia="Arial" w:hAnsi="Arial"/>
                <w:sz w:val="14"/>
                <w:szCs w:val="14"/>
                <w:color w:val="auto"/>
              </w:rPr>
              <w:t>Shares issued upon option exercises</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3,660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Restricted shares issued, net of shares</w:t>
            </w: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withheld for taxes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257</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tcPr>
          <w:p>
            <w:pPr>
              <w:ind w:left="200"/>
              <w:spacing w:after="0" w:line="130" w:lineRule="exact"/>
              <w:rPr>
                <w:sz w:val="20"/>
                <w:szCs w:val="20"/>
                <w:color w:val="auto"/>
              </w:rPr>
            </w:pPr>
            <w:r>
              <w:rPr>
                <w:rFonts w:ascii="Arial" w:cs="Arial" w:eastAsia="Arial" w:hAnsi="Arial"/>
                <w:sz w:val="14"/>
                <w:szCs w:val="14"/>
                <w:color w:val="auto"/>
              </w:rPr>
              <w:t>Shares issued upon vesting of restricted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tcPr>
          <w:p>
            <w:pPr>
              <w:ind w:left="400"/>
              <w:spacing w:after="0"/>
              <w:rPr>
                <w:sz w:val="20"/>
                <w:szCs w:val="20"/>
                <w:color w:val="auto"/>
              </w:rPr>
            </w:pPr>
            <w:r>
              <w:rPr>
                <w:rFonts w:ascii="Arial" w:cs="Arial" w:eastAsia="Arial" w:hAnsi="Arial"/>
                <w:sz w:val="14"/>
                <w:szCs w:val="14"/>
                <w:color w:val="auto"/>
              </w:rPr>
              <w:t>stock units</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Forfeiture of restricted awards</w:t>
            </w:r>
          </w:p>
        </w:tc>
        <w:tc>
          <w:tcPr>
            <w:tcW w:w="11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00"/>
              <w:spacing w:after="0" w:line="149" w:lineRule="exact"/>
              <w:rPr>
                <w:sz w:val="20"/>
                <w:szCs w:val="20"/>
                <w:color w:val="auto"/>
              </w:rPr>
            </w:pPr>
            <w:r>
              <w:rPr>
                <w:rFonts w:ascii="Arial" w:cs="Arial" w:eastAsia="Arial" w:hAnsi="Arial"/>
                <w:sz w:val="14"/>
                <w:szCs w:val="14"/>
                <w:color w:val="auto"/>
              </w:rPr>
              <w:t>Net tax benefits</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31.9</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89.1</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Common shares repurchased</w:t>
            </w:r>
          </w:p>
        </w:tc>
        <w:tc>
          <w:tcPr>
            <w:tcW w:w="11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(2,270)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(43.1)</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(23.4)</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2009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258,534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488.5</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2,240.1</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101.9</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2,882.2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672.2</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00"/>
              <w:spacing w:after="0" w:line="149" w:lineRule="exact"/>
              <w:rPr>
                <w:sz w:val="20"/>
                <w:szCs w:val="20"/>
                <w:color w:val="auto"/>
              </w:rPr>
            </w:pPr>
            <w:r>
              <w:rPr>
                <w:rFonts w:ascii="Arial" w:cs="Arial" w:eastAsia="Arial" w:hAnsi="Arial"/>
                <w:sz w:val="14"/>
                <w:szCs w:val="14"/>
                <w:color w:val="auto"/>
              </w:rPr>
              <w:t>Net unrealized holding gains, net of tax</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Currency translation adjustment, net of</w:t>
            </w: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tax</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ind w:left="200"/>
              <w:spacing w:after="0" w:line="155" w:lineRule="exact"/>
              <w:rPr>
                <w:sz w:val="20"/>
                <w:szCs w:val="20"/>
                <w:color w:val="auto"/>
              </w:rPr>
            </w:pPr>
            <w:r>
              <w:rPr>
                <w:rFonts w:ascii="Arial" w:cs="Arial" w:eastAsia="Arial" w:hAnsi="Arial"/>
                <w:sz w:val="14"/>
                <w:szCs w:val="14"/>
                <w:color w:val="auto"/>
              </w:rPr>
              <w:t>Total comprehensive income</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709.4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(278.9)</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tcPr>
          <w:p>
            <w:pPr>
              <w:spacing w:after="0" w:line="130" w:lineRule="exact"/>
              <w:rPr>
                <w:sz w:val="20"/>
                <w:szCs w:val="20"/>
                <w:color w:val="auto"/>
              </w:rPr>
            </w:pPr>
            <w:r>
              <w:rPr>
                <w:rFonts w:ascii="Arial" w:cs="Arial" w:eastAsia="Arial" w:hAnsi="Arial"/>
                <w:sz w:val="14"/>
                <w:szCs w:val="14"/>
                <w:color w:val="auto"/>
              </w:rPr>
              <w:t>Common stock-based compensation plans</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tcPr>
          <w:p>
            <w:pPr>
              <w:ind w:left="200"/>
              <w:spacing w:after="0"/>
              <w:rPr>
                <w:sz w:val="20"/>
                <w:szCs w:val="20"/>
                <w:color w:val="auto"/>
              </w:rPr>
            </w:pPr>
            <w:r>
              <w:rPr>
                <w:rFonts w:ascii="Arial" w:cs="Arial" w:eastAsia="Arial" w:hAnsi="Arial"/>
                <w:sz w:val="14"/>
                <w:szCs w:val="14"/>
                <w:color w:val="auto"/>
              </w:rPr>
              <w:t>activity</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issued upon option exercises</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4,933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85.5</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tcPr>
          <w:p>
            <w:pPr>
              <w:ind w:left="200"/>
              <w:spacing w:after="0" w:line="130" w:lineRule="exact"/>
              <w:rPr>
                <w:sz w:val="20"/>
                <w:szCs w:val="20"/>
                <w:color w:val="auto"/>
              </w:rPr>
            </w:pPr>
            <w:r>
              <w:rPr>
                <w:rFonts w:ascii="Arial" w:cs="Arial" w:eastAsia="Arial" w:hAnsi="Arial"/>
                <w:sz w:val="14"/>
                <w:szCs w:val="14"/>
                <w:color w:val="auto"/>
              </w:rPr>
              <w:t>Restricted shares issued, net of shares</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tcPr>
          <w:p>
            <w:pPr>
              <w:ind w:left="400"/>
              <w:spacing w:after="0"/>
              <w:rPr>
                <w:sz w:val="20"/>
                <w:szCs w:val="20"/>
                <w:color w:val="auto"/>
              </w:rPr>
            </w:pPr>
            <w:r>
              <w:rPr>
                <w:rFonts w:ascii="Arial" w:cs="Arial" w:eastAsia="Arial" w:hAnsi="Arial"/>
                <w:sz w:val="14"/>
                <w:szCs w:val="14"/>
                <w:color w:val="auto"/>
              </w:rPr>
              <w:t>withheld for taxes</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234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Shares issued upon vesting of restricted</w:t>
            </w: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stock units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71</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00"/>
              <w:spacing w:after="0" w:line="149" w:lineRule="exact"/>
              <w:rPr>
                <w:sz w:val="20"/>
                <w:szCs w:val="20"/>
                <w:color w:val="auto"/>
              </w:rPr>
            </w:pPr>
            <w:r>
              <w:rPr>
                <w:rFonts w:ascii="Arial" w:cs="Arial" w:eastAsia="Arial" w:hAnsi="Arial"/>
                <w:sz w:val="14"/>
                <w:szCs w:val="14"/>
                <w:color w:val="auto"/>
              </w:rPr>
              <w:t>Forfeiture of restricted awards</w:t>
            </w:r>
          </w:p>
        </w:tc>
        <w:tc>
          <w:tcPr>
            <w:tcW w:w="11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tax benefits</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50.9</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89.5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shares repurchased</w:t>
            </w:r>
          </w:p>
        </w:tc>
        <w:tc>
          <w:tcPr>
            <w:tcW w:w="11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(4,998)</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(205.0)</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(34.0)</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156"/>
        </w:trPr>
        <w:tc>
          <w:tcPr>
            <w:tcW w:w="2880" w:type="dxa"/>
            <w:vAlign w:val="bottom"/>
            <w:gridSpan w:val="2"/>
          </w:tcPr>
          <w:p>
            <w:pPr>
              <w:spacing w:after="0" w:line="155" w:lineRule="exact"/>
              <w:rPr>
                <w:sz w:val="20"/>
                <w:szCs w:val="20"/>
                <w:color w:val="auto"/>
              </w:rPr>
            </w:pPr>
            <w:r>
              <w:rPr>
                <w:rFonts w:ascii="Arial" w:cs="Arial" w:eastAsia="Arial" w:hAnsi="Arial"/>
                <w:sz w:val="14"/>
                <w:szCs w:val="14"/>
                <w:color w:val="auto"/>
              </w:rPr>
              <w:t>Balances at December 31, 2010</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258,760</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51.7</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2,599.4</w:t>
            </w:r>
          </w:p>
        </w:tc>
        <w:tc>
          <w:tcPr>
            <w:tcW w:w="5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SUMMARY OF SIGNIFICANT ACCOUNTING POLICIES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brokerage; and trust services.</w:t>
      </w:r>
    </w:p>
    <w:p>
      <w:pPr>
        <w:spacing w:after="0" w:line="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BASIS OF PREPARATION.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These consolidated financial statements have been prepared by our management in accordance with accounting principles generally accepted in the United States, which require the use of estimates. Actual results may vary from our estimates.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financial statements include the accounts of all subsidiaries in which we have a majority or controlling interest. All material intercompany accounts and transactions are eliminated in consolidation.</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not the primary beneficiary, and do not consolidate the accounts, of a high-yield collateralized bond obligation (CBO) that held assets of $8.8 million at December 31, 2010. This variable interest entity is a non-recourse, limited liability company for which we are the collateral manager and receive related investment advisory fees. We recognized the full impairment of our investment in this CBO in 2002 and do not expect to recognize any future gains or losses from this investment.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Cash equivalents consist primarily of short-term, highly liquid investments in our sponsored money market mutual funds. The cost of these funds is equivalent to fair value.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value our investments in sponsored mutual funds at the quoted closing net asset values, or NAVs, per share of each mutual fund last reported as of the balance sheet date, and generally classify these holdings as available-for-sale.</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investments in marketable debt securities, including mortgage- and other asset-backed securities held by our savings bank subsidiary, are also classified as available-for-sale and reported at fair value. These debt securities are generally traded in the over-the-counter market. Securities with original maturities of one year or more are valued by us based on prices furnished by dealers who make markets in such securities or by an independent pricing service, which considers the yield or price of bonds of comparable quality, coupon, maturity, and type, as well as prices quoted by dealers who make markets in such securities. Securities with original maturities of less than one year generally are valued at amortized cost, which approximates fair value; however, if amortized cost is deemed not to reflect fair value, such securities are valued by us based generally on prices furnished by dealers who make markets in such securities or by an independent pricing service. Our investment valuation policies, methods and sources are the same as those employed by the sponsored mutual funds to price similar investment holdings. Changes in net unrealized security holding gains (losses) on available-for-sale securities are recognized in accumulated other comprehensive income (loss).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We review the carrying amount of each investment on a quarterly basis and recognize an impairment charge in non-operating investment income</w:t>
      </w:r>
    </w:p>
    <w:p>
      <w:pPr>
        <w:spacing w:after="0" w:line="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(loss) whenever an unrealized loss is considered other than temporary. A mutual fund holding with an impairment that has persisted daily throughout the six months between quarter-ends is generally presumed to have an other than temporary impairment unless there is persuasive evidence, such as an increase in value subsequent to quarter end, to overcome that presumption. We may also recognize an other than temporary charge if particular circumstances do not warrant our belief that a near-term recovery is possible.</w:t>
      </w:r>
    </w:p>
    <w:p>
      <w:pPr>
        <w:spacing w:after="0" w:line="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classify some investments in sponsored mutual funds made at fund formation as trading because they are expected to be held for only a short period of time.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9" w:name="page30"/>
    <w:bookmarkEnd w:id="29"/>
    <w:p>
      <w:pPr>
        <w:ind w:right="60"/>
        <w:spacing w:after="0" w:line="255" w:lineRule="auto"/>
        <w:rPr>
          <w:sz w:val="20"/>
          <w:szCs w:val="20"/>
          <w:color w:val="auto"/>
        </w:rPr>
      </w:pPr>
      <w:r>
        <w:rPr>
          <w:rFonts w:ascii="Arial" w:cs="Arial" w:eastAsia="Arial" w:hAnsi="Arial"/>
          <w:sz w:val="18"/>
          <w:szCs w:val="18"/>
          <w:color w:val="auto"/>
        </w:rPr>
        <w:t>Other investments that give us the ability to exercise significant influence over the operating and financial policies of the investee are recognized using the equity method of accounting. The carrying value of these investments are adjusted to reflect our proportionate share of income or loss, any unrealized gain or loss resulting from the translation of foreign denominated financial statements into U.S. dollars and dividends received. Our proportionate share of income or loss is included in non-operating investment income in the consolidated statements of income. We evaluate our equity method investments for impairment when events or changes in circumstances indicate that the carrying value of the investment exceeds its fair value, and the decline in fair value is other than temporary.</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Those other investments to which we do not exercise significant influence over the operating and financial policies of the investee are recognized using the cost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CONCENTRATIONS OF RISK.</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that we manage for them.</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investments in sponsored mutual funds expose us to market risk in the form of equity price risk; that is, the potential future loss of value that would result from a decline in the fair values of the mutual funds. Each fund and its underlying net assets are also subject to market risk, which may arise from changes in equity prices, credit ratings, foreign currency exchange rates, and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Investments by our savings bank subsidiary in debt securities expose us to market risk, which may arise from changes in credit ratings and interest rates.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11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Property and equipment is stated at cost net of accumulated depreciation and amortization computed using the straight-line method. Provisions for depreciation and amortization are based on the following weighted average estimated useful lives: computer and communications software and equipment, 3.5 years; buildings and improvements, 32.4 years; leasehold improvements, 9.1 years; furniture and other equipment, 6.6 years; and leased land, 99 years.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evaluate the carrying amount of goodwill in our balance sheet for possible impairment on an annual basis in the third quarter of each year using a fair value approach. Our evaluations have indicated that no impairment exists.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 — our investment advisory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Fees for investment advisory services, which are based on a percentage of assets under management, and related administrative services that we provide to investment advisory clients, including our sponsored mutual funds, are recognized in the period that our services are provided. Our assets under management are valued in accordance with a valuation and pricing policy that defines the valuation and pricing processes for each major type of investment held in our sponsored mutual funds and other client investment portfolios. Fair values used in our processes are primarily determined from quoted market prices, prices furnished by dealers who make markets in such securities, or from data provided by an independent pricing service that considers yield or price of investments of comparable quality, coupon, maturity, and type, as well as prices quoted by dealers who make markets in such securities. Investments for which market prices are not readily available are not a material portion of our total assets under management.</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Administrative revenues from distribution of our sponsored mutual funds’ Advisor and R class shares, and the corresponding operating expense for payments to third-party financial intermediaries that distribute those share classes, are recognized in the period that they are earned, which is the same period that the related mutual funds recognize their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provide all services to the sponsored U.S. mutual funds under contracts that are subject to periodic review and approval by each of the funds’ boards.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Regulations require that the funds’ shareholders also approve material changes to investment advisory contracts.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STOCK AWARDS AND OPTIONS.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stockholders have approved the 2001 and 2004 Stock Incentive Plans under which we have issued restricted shares and restricted stock units that convert to shares after vesting. These employee awards are fair valued on the grant date using the closing market price of our common stock and generally vest over graded schedules of four to five years. All restricted shareholders and restricted stock unit holders receive non-forfeitable cash dividends and cash dividend-equivalents, respectively, on our dividend payable date.</w:t>
      </w:r>
    </w:p>
    <w:p>
      <w:pPr>
        <w:spacing w:after="0" w:line="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 the seven stockholder approved plans (the 1993, 1996, 2001 and 2004 Stock Incentive Plans and the 1995, 1998 and 2007 plans for non-employee directors), we have granted qualified incentive and nonqualified fixed stock options with a maximum term of 10 years to employees and non-employee directors. Vesting of our employee option grants is based solely on the individual continuing to render service and generally occurs over a five- to six-year graded schedule. The exercise price of each option granted is equivalent to the market price of the common stock at the date of grant. We semiannually grant options, restricted shares and restricted stock units to non-employee directors that vest over six months to one year. Vested stock units are issued as dividend equivalents on stock units held by non-employee directors.</w:t>
      </w:r>
    </w:p>
    <w:p>
      <w:pPr>
        <w:spacing w:after="0" w:line="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recognizing stock option-based compensation expense, we used the Black-Scholes option-pricing model to estimate the fair value of each option grant, including reloads,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Weighted-average</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7780" w:type="dxa"/>
            <w:vAlign w:val="bottom"/>
          </w:tcPr>
          <w:p>
            <w:pPr>
              <w:spacing w:after="0"/>
              <w:rPr>
                <w:sz w:val="12"/>
                <w:szCs w:val="12"/>
                <w:color w:val="auto"/>
              </w:rPr>
            </w:pPr>
          </w:p>
        </w:tc>
        <w:tc>
          <w:tcPr>
            <w:tcW w:w="6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2008</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160" w:type="dxa"/>
            <w:vAlign w:val="bottom"/>
          </w:tcPr>
          <w:p>
            <w:pPr>
              <w:spacing w:after="0"/>
              <w:rPr>
                <w:sz w:val="12"/>
                <w:szCs w:val="12"/>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Grant-date fair value per option awarded, including reload grants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13.51</w:t>
            </w:r>
          </w:p>
        </w:tc>
        <w:tc>
          <w:tcPr>
            <w:tcW w:w="3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10.07</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14.26</w:t>
            </w: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Assumptions used:</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life in 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6.7</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Expected volatility</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32%</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yield</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2.5%</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r>
    </w:tbl>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expected life assumptions are based on the vesting period for each option grant and our historical experience with respect to the average holding period from vesting to option exercise. The assumptions for expected volatility are based on historical experience for the same periods as our expected lives. Dividend yields are based on recent historical experience and future expectations. Risk-free interest rates are set using grant-date U.S. Treasury yield curves for the same periods as our expected lives.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January 1, 2009, we modified our earnings per share calculations to reflect new financial reporting guidance that recognizes our outstanding restricted stock and stock units, on which we pay non-forfeitable dividends, as if they were a separate class of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Total comprehensive income is reported in our consolidated statements of stockholders’ equity and includes net income, the change in net unrealized security holding gains (losses), after income taxes (tax benefits), and the change in the currency translation adjustment, after income taxes.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 — CASH EQUIVALENTS.</w:t>
      </w:r>
    </w:p>
    <w:p>
      <w:pPr>
        <w:spacing w:after="0" w:line="117"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color w:val="auto"/>
        </w:rPr>
        <w:t>Cash equivalent investments in our sponsored money market mutual funds aggregate $676.5 million at December 31, 2009, and $726.9 million at December 31, 2010. Dividends earned on these investments totaled $17.5 million in 2008, $1.6 million in 2009, and $.1 million in 2010.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$130.1 million at December 31, 2009, and $154.0 million at December 31, 2010.</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Revenues (in millions) from investment advisory services provided under agreements with our sponsored mutual funds and other investment clients include: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14"/>
                <w:szCs w:val="14"/>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$ 1,031.4</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843.7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$ 1,116.3</w:t>
            </w: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207.4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278.0</w:t>
            </w:r>
          </w:p>
        </w:tc>
      </w:tr>
      <w:tr>
        <w:trPr>
          <w:trHeight w:val="223"/>
        </w:trPr>
        <w:tc>
          <w:tcPr>
            <w:tcW w:w="7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1,068.3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1,394.3</w:t>
            </w:r>
          </w:p>
        </w:tc>
        <w:tc>
          <w:tcPr>
            <w:tcW w:w="100" w:type="dxa"/>
            <w:vAlign w:val="bottom"/>
          </w:tcPr>
          <w:p>
            <w:pPr>
              <w:spacing w:after="0"/>
              <w:rPr>
                <w:sz w:val="19"/>
                <w:szCs w:val="19"/>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522.2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477.8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632.5</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$ 1,761.0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1,546.1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$ 2,026.8</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color w:val="auto"/>
              </w:rPr>
              <w:t>Average during</w:t>
            </w: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color w:val="auto"/>
              </w:rPr>
              <w:t>2008</w:t>
            </w: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color w:val="auto"/>
              </w:rPr>
              <w:t>2009</w:t>
            </w:r>
          </w:p>
        </w:tc>
        <w:tc>
          <w:tcPr>
            <w:tcW w:w="4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1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color w:val="auto"/>
              </w:rPr>
              <w:t>2009</w:t>
            </w: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100" w:type="dxa"/>
            <w:vAlign w:val="bottom"/>
            <w:tcBorders>
              <w:bottom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168.6</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3"/>
              <w:spacing w:after="0"/>
              <w:rPr>
                <w:sz w:val="20"/>
                <w:szCs w:val="20"/>
                <w:color w:val="auto"/>
              </w:rPr>
            </w:pPr>
            <w:r>
              <w:rPr>
                <w:rFonts w:ascii="Arial" w:cs="Arial" w:eastAsia="Arial" w:hAnsi="Arial"/>
                <w:sz w:val="18"/>
                <w:szCs w:val="18"/>
                <w:color w:val="auto"/>
              </w:rPr>
              <w:t>139.5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184.7</w:t>
            </w: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55"/>
              <w:spacing w:after="0"/>
              <w:rPr>
                <w:sz w:val="20"/>
                <w:szCs w:val="20"/>
                <w:color w:val="auto"/>
              </w:rPr>
            </w:pPr>
            <w:r>
              <w:rPr>
                <w:rFonts w:ascii="Arial" w:cs="Arial" w:eastAsia="Arial" w:hAnsi="Arial"/>
                <w:sz w:val="18"/>
                <w:szCs w:val="18"/>
                <w:color w:val="auto"/>
              </w:rPr>
              <w:t>172.7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212.4</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47.5</w:t>
            </w: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52.3</w:t>
            </w:r>
          </w:p>
        </w:tc>
        <w:tc>
          <w:tcPr>
            <w:tcW w:w="4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60.0</w:t>
            </w:r>
          </w:p>
        </w:tc>
        <w:tc>
          <w:tcPr>
            <w:tcW w:w="4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216.1</w:t>
            </w:r>
          </w:p>
        </w:tc>
        <w:tc>
          <w:tcPr>
            <w:tcW w:w="560" w:type="dxa"/>
            <w:vAlign w:val="bottom"/>
          </w:tcPr>
          <w:p>
            <w:pPr>
              <w:spacing w:after="0"/>
              <w:rPr>
                <w:sz w:val="19"/>
                <w:szCs w:val="19"/>
                <w:color w:val="auto"/>
              </w:rPr>
            </w:pPr>
          </w:p>
        </w:tc>
        <w:tc>
          <w:tcPr>
            <w:tcW w:w="920" w:type="dxa"/>
            <w:vAlign w:val="bottom"/>
          </w:tcPr>
          <w:p>
            <w:pPr>
              <w:jc w:val="right"/>
              <w:ind w:right="293"/>
              <w:spacing w:after="0"/>
              <w:rPr>
                <w:sz w:val="20"/>
                <w:szCs w:val="20"/>
                <w:color w:val="auto"/>
              </w:rPr>
            </w:pPr>
            <w:r>
              <w:rPr>
                <w:rFonts w:ascii="Arial" w:cs="Arial" w:eastAsia="Arial" w:hAnsi="Arial"/>
                <w:sz w:val="18"/>
                <w:szCs w:val="18"/>
                <w:color w:val="auto"/>
              </w:rPr>
              <w:t>191.8</w:t>
            </w:r>
          </w:p>
        </w:tc>
        <w:tc>
          <w:tcPr>
            <w:tcW w:w="4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250.8</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55"/>
              <w:spacing w:after="0"/>
              <w:rPr>
                <w:sz w:val="20"/>
                <w:szCs w:val="20"/>
                <w:color w:val="auto"/>
              </w:rPr>
            </w:pPr>
            <w:r>
              <w:rPr>
                <w:rFonts w:ascii="Arial" w:cs="Arial" w:eastAsia="Arial" w:hAnsi="Arial"/>
                <w:sz w:val="18"/>
                <w:szCs w:val="18"/>
                <w:color w:val="auto"/>
              </w:rPr>
              <w:t>232.7</w:t>
            </w:r>
          </w:p>
        </w:tc>
        <w:tc>
          <w:tcPr>
            <w:tcW w:w="4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282.6</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142.1</w:t>
            </w: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129.5</w:t>
            </w:r>
          </w:p>
        </w:tc>
        <w:tc>
          <w:tcPr>
            <w:tcW w:w="4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158.6</w:t>
            </w:r>
          </w:p>
        </w:tc>
        <w:tc>
          <w:tcPr>
            <w:tcW w:w="4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w:t>
            </w: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358.2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321.3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422.6</w:t>
            </w:r>
          </w:p>
        </w:tc>
        <w:tc>
          <w:tcPr>
            <w:tcW w:w="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391.3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482.0</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Investors that we serve are primarily domiciled in the United States of America; investment advisory clients outside the United States account for 12.5% of our assets under management at December 31, 2010.</w:t>
      </w:r>
    </w:p>
    <w:p>
      <w:pPr>
        <w:spacing w:after="0" w:line="6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Fees for advisory-related administrative services provided to our sponsored mutual funds were $282.6 million in 2008, $249.9 million in 2009, and $266.8 million in 2010.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 IN SPONSORED MUTUAL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at December 31 include: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tcPr>
          <w:p>
            <w:pPr>
              <w:jc w:val="center"/>
              <w:ind w:right="720"/>
              <w:spacing w:after="0" w:line="149" w:lineRule="exact"/>
              <w:rPr>
                <w:sz w:val="20"/>
                <w:szCs w:val="20"/>
                <w:color w:val="auto"/>
              </w:rPr>
            </w:pPr>
            <w:r>
              <w:rPr>
                <w:rFonts w:ascii="Arial" w:cs="Arial" w:eastAsia="Arial" w:hAnsi="Arial"/>
                <w:sz w:val="14"/>
                <w:szCs w:val="14"/>
                <w:color w:val="auto"/>
                <w:w w:val="92"/>
              </w:rPr>
              <w:t>Aggregate</w:t>
            </w:r>
          </w:p>
        </w:tc>
        <w:tc>
          <w:tcPr>
            <w:tcW w:w="120" w:type="dxa"/>
            <w:vAlign w:val="bottom"/>
          </w:tcPr>
          <w:p>
            <w:pPr>
              <w:spacing w:after="0"/>
              <w:rPr>
                <w:sz w:val="12"/>
                <w:szCs w:val="12"/>
                <w:color w:val="auto"/>
              </w:rPr>
            </w:pP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2"/>
              </w:rPr>
              <w:t>holding</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840"/>
              <w:spacing w:after="0"/>
              <w:rPr>
                <w:sz w:val="20"/>
                <w:szCs w:val="20"/>
                <w:color w:val="auto"/>
              </w:rPr>
            </w:pPr>
            <w:r>
              <w:rPr>
                <w:rFonts w:ascii="Arial" w:cs="Arial" w:eastAsia="Arial" w:hAnsi="Arial"/>
                <w:sz w:val="14"/>
                <w:szCs w:val="14"/>
                <w:color w:val="auto"/>
                <w:w w:val="85"/>
              </w:rPr>
              <w:t>cost</w:t>
            </w:r>
          </w:p>
        </w:tc>
        <w:tc>
          <w:tcPr>
            <w:tcW w:w="12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color w:val="auto"/>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278.6</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125.7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281.7</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178.6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Dividends, excluding capital gain distributions, earned on sponsored mutual fund investments totaled $10.4 million in 2008, $9.8 million in 2009, and $10.3 million in 2010.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4 — DEBT SECURITIES HELD BY AND CUSTOMER DEPOSITS AT SAVINGS BANK SUBSIDIARY.</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 at year end.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7"/>
        </w:trPr>
        <w:tc>
          <w:tcPr>
            <w:tcW w:w="5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r>
      <w:tr>
        <w:trPr>
          <w:trHeight w:val="149"/>
        </w:trPr>
        <w:tc>
          <w:tcPr>
            <w:tcW w:w="5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7"/>
              </w:rPr>
              <w:t>holding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holding</w:t>
            </w:r>
          </w:p>
        </w:tc>
      </w:tr>
      <w:tr>
        <w:trPr>
          <w:trHeight w:val="149"/>
        </w:trPr>
        <w:tc>
          <w:tcPr>
            <w:tcW w:w="5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Fair</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9"/>
              </w:rPr>
              <w:t>gains</w:t>
            </w:r>
          </w:p>
        </w:tc>
        <w:tc>
          <w:tcPr>
            <w:tcW w:w="14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Fair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gains</w:t>
            </w:r>
          </w:p>
        </w:tc>
      </w:tr>
      <w:tr>
        <w:trPr>
          <w:trHeight w:val="167"/>
        </w:trPr>
        <w:tc>
          <w:tcPr>
            <w:tcW w:w="5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value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4"/>
                <w:szCs w:val="14"/>
                <w:color w:val="auto"/>
                <w:w w:val="89"/>
              </w:rPr>
              <w:t>(losses)</w:t>
            </w:r>
          </w:p>
        </w:tc>
        <w:tc>
          <w:tcPr>
            <w:tcW w:w="1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value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(losses)</w:t>
            </w: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temporary impairment (41 securities in 2010) of</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Less than 12 months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 months or more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holding gains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Balance at December 31</w:t>
            </w: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unrealized losses in these investments were generally caused by changes in interest rates and market liquidity, and not by changes in credit quality. We intend to hold these securities to their maturities, which generally correlate to the maturities of our customer deposits, and believe it is more likely than not that we will not be required to sell any of these securities before recovery of their amortized cost. Accordingly, impairment of these investments is considered temporary. The adoption in 2009 of new financial reporting guidance for other-than-temporary impairments of debt securities did not have a material impact on our consolidated financial statements.</w:t>
      </w:r>
    </w:p>
    <w:p>
      <w:pPr>
        <w:spacing w:after="0" w:line="8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estimated fair value of our customer deposit liability, based on discounting expected cash outflows at maturity dates that range up to five years, using current interest rates offered for deposits with the same dates of maturity, was $164.9 million at December 31, 2009, and $164.1 million at December 31, 2010.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NOTE 5 — OTHER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at December 31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10% interest in Daiwa SB Investments Ltd.(Japan)</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26% interest in UTI Asset Management Company Limited (India)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 investments held as trading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U.S. Treasury Note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INR non-deliverable forward contract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r>
              <w:rPr>
                <w:rFonts w:ascii="Arial" w:cs="Arial" w:eastAsia="Arial" w:hAnsi="Arial"/>
                <w:sz w:val="18"/>
                <w:szCs w:val="18"/>
                <w:u w:val="single" w:color="auto"/>
                <w:color w:val="auto"/>
              </w:rPr>
              <w:t>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20, 2010, we completed the purchase of a 26% equity interest in UTI Asset Management Company and an affiliate from existing stockholders for 6.5 billion Indian rupees (INR) or $142.4 million, plus transaction costs of $3.2 million of which a portion was paid in 2009. The basis difference between our carrying value and UTI’s book value is primarily related to consideration paid in excess of the stepped-up basis of assets and liabilities on the date of purchase. Our share of UTI’s earnings in 2010 totaled $5.3 million.</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conjunction with our signing of the definitive UTI purchase agreements in November 2009, we entered into a series of rolling non-deliverable forward contracts to economically hedge the foreign currency exchange rate exposure relating to the UTI acquisition price. We recognized non-operating investment income of $2.2 million in January 2010 in the valuation and settlement of these contracts.</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U.S. Treasury note is accounted for as held-to-maturity and is recognized at the amortized cost of the notes plus accrued interest. The face value and fair value of this note is $1.0 million at December 31, 2010.</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2010, we had outstanding commitments to make additional contributions totaling $48.2 million to various investment partnerships in which we have an existing investment.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three broad levels of inputs as defined by related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33" w:name="page34"/>
    <w:bookmarkEnd w:id="33"/>
    <w:p>
      <w:pPr>
        <w:ind w:right="140"/>
        <w:spacing w:after="0" w:line="277"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of our investments using Level 3 inputs.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were no transfers in or out of the levels in 2009 or 2010. The following table summarizes our investments (in millions) that are recognized in our balance sheet at year end using fair value measurements determined based on the differing levels of inputs.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w w:val="97"/>
              </w:rPr>
              <w:t>Level 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Level 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2009</w:t>
            </w:r>
          </w:p>
        </w:tc>
        <w:tc>
          <w:tcPr>
            <w:tcW w:w="664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Cash equivalents</w:t>
            </w:r>
          </w:p>
        </w:tc>
        <w:tc>
          <w:tcPr>
            <w:tcW w:w="23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676.5</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Held as available-for-sale</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677.5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Held as trading</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Debt securities held by savings bank subsidiary</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INR non-deliverable forward contract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1,356.7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2010</w:t>
            </w:r>
          </w:p>
        </w:tc>
        <w:tc>
          <w:tcPr>
            <w:tcW w:w="664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Cash equivalents</w:t>
            </w:r>
          </w:p>
        </w:tc>
        <w:tc>
          <w:tcPr>
            <w:tcW w:w="23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726.9</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Held as available-for-sale</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747.9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Held as trading</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Debt securities held by savings bank subsidiary</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1,479.6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8"/>
                <w:szCs w:val="18"/>
                <w:color w:val="auto"/>
              </w:rPr>
              <w:t>NOTE 7 — PROPERTY AND EQUIPMENT.</w:t>
            </w: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0" w:type="dxa"/>
            <w:vAlign w:val="bottom"/>
            <w:gridSpan w:val="3"/>
            <w:vMerge w:val="continue"/>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gridSpan w:val="3"/>
          </w:tcPr>
          <w:p>
            <w:pPr>
              <w:spacing w:after="0"/>
              <w:rPr>
                <w:sz w:val="20"/>
                <w:szCs w:val="20"/>
                <w:color w:val="auto"/>
              </w:rPr>
            </w:pPr>
            <w:r>
              <w:rPr>
                <w:rFonts w:ascii="Arial" w:cs="Arial" w:eastAsia="Arial" w:hAnsi="Arial"/>
                <w:sz w:val="18"/>
                <w:szCs w:val="18"/>
                <w:color w:val="auto"/>
              </w:rPr>
              <w:t>Property and equipment (in millions) at December 31 consists of:</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and communications software and equipment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267.7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361.1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Furniture and other equipment</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109.2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Leased land</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855.5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342.7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$10.9 million in 2008, $7.5 million in 2009, and $8.1 million in 2010 have been capitalized.</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occupy certain office facilities, and rent computer and other equipment under noncancelable operating leases. Related rental expense was $28.2 million in 2008, $29.1 million in 2009, and $29.6 million in 2010. Future minimum payments under these leases aggregate $28.8 million in 2011, $27.4 million in 2012, $28.5 million in 2013, $27.8 million in 2014, $25.6 million in 2015, and $56.2 million in later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NOTE 8 — INTANGIBLE ASSETS.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assets include mutual fund customer-relationship intangible assets acquired in 2006. Our unamortized cost was $2.0 million at December 31, 2009, and $1.6 million at December 31, 2010.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9 —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(in millions) consists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U.S. federal</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265.9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232.5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State and local</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benefits</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080" w:type="dxa"/>
            <w:vAlign w:val="bottom"/>
            <w:vMerge w:val="restart"/>
          </w:tcPr>
          <w:p>
            <w:pPr>
              <w:jc w:val="right"/>
              <w:ind w:right="1910"/>
              <w:spacing w:after="0"/>
              <w:rPr>
                <w:sz w:val="20"/>
                <w:szCs w:val="20"/>
                <w:color w:val="auto"/>
              </w:rPr>
            </w:pPr>
            <w:r>
              <w:rPr>
                <w:rFonts w:ascii="Arial" w:cs="Arial" w:eastAsia="Arial" w:hAnsi="Arial"/>
                <w:sz w:val="18"/>
                <w:szCs w:val="18"/>
                <w:color w:val="auto"/>
              </w:rPr>
              <w:t>- 34 -</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2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spacing w:after="0" w:line="279" w:lineRule="auto"/>
        <w:rPr>
          <w:sz w:val="20"/>
          <w:szCs w:val="20"/>
          <w:color w:val="auto"/>
        </w:rPr>
      </w:pPr>
      <w:r>
        <w:rPr>
          <w:rFonts w:ascii="Arial" w:cs="Arial" w:eastAsia="Arial" w:hAnsi="Arial"/>
          <w:sz w:val="17"/>
          <w:szCs w:val="17"/>
          <w:color w:val="auto"/>
        </w:rPr>
        <w:t>Deferred income taxes arise from temporary differences between taxable income for financial statement and income tax return purposes. Deferred tax benefits include $23.9 million in 2008, $22.4 million in 2009, and $27.6 million in 2010 relating to the recognition of stock-based compensation expense. Deferred tax benefits of $31.9 million in 2008 and $12.4 million in 2009 are attributable to other than temporary impairments recognized on our sponsored mutual fund investments. Deferred taxes relating to property and equipment of $17.4 million in 2008 partially offset deferred tax benefits.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recognized in our balance sheet in other assets includes the following (in millions)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Related to property and equipment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Recognized in other comprehensive income on net unrealized holding gains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27"/>
        </w:trPr>
        <w:tc>
          <w:tcPr>
            <w:tcW w:w="9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(112.3)</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Related to stock-based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Related to other than temporary impairments of investments in mutual funds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Related to accrued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r>
              <w:rPr>
                <w:rFonts w:ascii="Arial" w:cs="Arial" w:eastAsia="Arial" w:hAnsi="Arial"/>
                <w:sz w:val="18"/>
                <w:szCs w:val="18"/>
                <w:u w:val="single" w:color="auto"/>
                <w:color w:val="auto"/>
              </w:rPr>
              <w:t>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r>
              <w:rPr>
                <w:rFonts w:ascii="Arial" w:cs="Arial" w:eastAsia="Arial" w:hAnsi="Arial"/>
                <w:sz w:val="18"/>
                <w:szCs w:val="18"/>
                <w:u w:val="single" w:color="auto"/>
                <w:color w:val="auto"/>
              </w:rPr>
              <w:t>7</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Other assets also include tax refund receivables of $18.1 million at December 31, 2009, and $31.9 million at December 31,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outflows from operating activities include income taxes paid of $289.9 million in 2008, $221.6 million in 2009, and $383.0 million in 2010.</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Additional income tax benefits of $69.7 million in 2008, $33.1 million in 2009, and $51.9 million in 2010 arising from stock-based compensation plans activity reduced the amount of income taxes that would have otherwise been payable.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the effective income tax 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6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color w:val="auto"/>
              </w:rPr>
              <w:t>2008</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color w:val="auto"/>
              </w:rPr>
              <w:t>2009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center"/>
              <w:ind w:left="176"/>
              <w:spacing w:after="0"/>
              <w:rPr>
                <w:sz w:val="20"/>
                <w:szCs w:val="20"/>
                <w:color w:val="auto"/>
              </w:rPr>
            </w:pPr>
            <w:r>
              <w:rPr>
                <w:rFonts w:ascii="Arial" w:cs="Arial" w:eastAsia="Arial" w:hAnsi="Arial"/>
                <w:sz w:val="14"/>
                <w:szCs w:val="14"/>
                <w:color w:val="auto"/>
                <w:w w:val="89"/>
              </w:rPr>
              <w:t>2010</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35.0%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State income taxes for current year, net of federal income tax benefits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38.4%</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reconciles our unrecognized tax benefits (in millions) during the year: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7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2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89"/>
              </w:rPr>
              <w:t>2010</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left="17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Changes in tax positions related to</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Balance at year end</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left="17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recognized, these tax benefits would affect our effective tax rate; however, we do not expect that unrecognized tax benefits for tax positions taken with respect to 2010 and prior years will significantly change in 2011. Our United States federal tax obligations have been settled through the year 2000. Net interest recoverable recognized in our balance sheets was $4.5 million at December 31, 2009, and $5.6 million at December 31, 2010. Our accounting policy with respect to interest and penalties arising from income tax settlements is to recognize them as part of our provision for income taxes. Interest recognized as part of our provision for income taxes was not material.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AUTHORIZED SHARES.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December 31, 2010, 54,541,538 shares of unissued common stock were authorized for issuance under our stock-based compensation plans. Additionally, 3,360,000 shares are authorized for issuance under a plan whereby substantially all employees may acquire common stock through payroll deductions at prevailing market prices. We believe that our stock-based compensation programs align the interests of our employees and directors with those of our common stockholders.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SHARE REPURCHASES.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authorized the future repurchase of up to 22,410,910 common shares as of December 31,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declared per share were $.96 in 2008, $1.00 in 2009, and $1.08 in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11 —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3"/>
              </w:rPr>
              <w:t>Weighted-</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6"/>
              </w:rPr>
              <w:t>average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contractual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1"/>
              </w:rPr>
              <w:t>exercise</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term 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Options</w:t>
            </w:r>
          </w:p>
        </w:tc>
        <w:tc>
          <w:tcPr>
            <w:tcW w:w="6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2"/>
              </w:rPr>
              <w:t>price</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39,269,159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38.10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Semiannual grants</w:t>
            </w:r>
          </w:p>
        </w:tc>
        <w:tc>
          <w:tcPr>
            <w:tcW w:w="920" w:type="dxa"/>
            <w:vAlign w:val="bottom"/>
          </w:tcPr>
          <w:p>
            <w:pPr>
              <w:jc w:val="right"/>
              <w:spacing w:after="0"/>
              <w:rPr>
                <w:sz w:val="20"/>
                <w:szCs w:val="20"/>
                <w:color w:val="auto"/>
              </w:rPr>
            </w:pPr>
            <w:r>
              <w:rPr>
                <w:rFonts w:ascii="Arial" w:cs="Arial" w:eastAsia="Arial" w:hAnsi="Arial"/>
                <w:sz w:val="18"/>
                <w:szCs w:val="18"/>
                <w:color w:val="auto"/>
              </w:rPr>
              <w:t>5,662,250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48.63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379,661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56.74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New hire grants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17,600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51.76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Non-employee director grants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55.46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(6,785,583)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28.33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(469,650)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45.92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Expired</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(321,857)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61.44</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37,759,580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41.34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Exercisable at end of year</w:t>
            </w:r>
          </w:p>
        </w:tc>
        <w:tc>
          <w:tcPr>
            <w:tcW w:w="9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37.52</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line="20" w:lineRule="exact"/>
              <w:rPr>
                <w:sz w:val="1"/>
                <w:szCs w:val="1"/>
                <w:color w:val="auto"/>
              </w:rPr>
            </w:pPr>
          </w:p>
        </w:tc>
      </w:tr>
      <w:tr>
        <w:trPr>
          <w:trHeight w:val="210"/>
        </w:trPr>
        <w:tc>
          <w:tcPr>
            <w:tcW w:w="7700" w:type="dxa"/>
            <w:vAlign w:val="bottom"/>
            <w:gridSpan w:val="2"/>
            <w:vMerge w:val="continue"/>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21,797,908</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income includes a charge for stock option-based compensation expense of $71.7 million in 2008, $72.1 million in 2009, and $71.5 million in 2010, including $5.6 million, $4.1 million, and $3.2 million, respectively, for reload option grants.</w:t>
      </w:r>
    </w:p>
    <w:p>
      <w:pPr>
        <w:spacing w:after="0" w:line="6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total intrinsic value of options exercised was $230.4 million in 2008, $115.7 million in 2009, and $189.4 million in 2010. At December 31, 2010, the aggregate intrinsic value of in-the-money options outstanding was $876.2 million including $589.0 million related to options exercisable.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Restricted</w:t>
            </w: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Restricted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680" w:type="dxa"/>
            <w:vAlign w:val="bottom"/>
          </w:tcPr>
          <w:p>
            <w:pPr>
              <w:spacing w:after="0"/>
              <w:rPr>
                <w:sz w:val="14"/>
                <w:szCs w:val="14"/>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6"/>
              </w:rPr>
              <w:t>stock units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587,919</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310,951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Granted to employees and directors</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263,100</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171,405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Vested (value at vest date was $18.5 million)</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(198,212)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(99,217)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(14,275)</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(14,938)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Nonvested at end of year</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638,532</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368,201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recognized compensation expense for restricted shares and restricted stock units of $13.8 million in 2008, $17.0 million in 2009, and $18.0 million in 2010.</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2010, non-employee directors hold 22,907 vested stock units that will convert to common shares upon their separation from the board.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11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December 31, 2010.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2011</w:t>
            </w:r>
          </w:p>
        </w:tc>
        <w:tc>
          <w:tcPr>
            <w:tcW w:w="7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Second quarter 2011</w:t>
            </w:r>
          </w:p>
        </w:tc>
        <w:tc>
          <w:tcPr>
            <w:tcW w:w="7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2011</w:t>
            </w:r>
          </w:p>
        </w:tc>
        <w:tc>
          <w:tcPr>
            <w:tcW w:w="7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Fourth quarter 2011</w:t>
            </w:r>
          </w:p>
        </w:tc>
        <w:tc>
          <w:tcPr>
            <w:tcW w:w="7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2011</w:t>
            </w:r>
          </w:p>
        </w:tc>
        <w:tc>
          <w:tcPr>
            <w:tcW w:w="7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2012 through 2015</w:t>
            </w:r>
          </w:p>
        </w:tc>
        <w:tc>
          <w:tcPr>
            <w:tcW w:w="7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140" w:type="dxa"/>
            <w:vAlign w:val="bottom"/>
            <w:vMerge w:val="restart"/>
          </w:tcPr>
          <w:p>
            <w:pPr>
              <w:jc w:val="right"/>
              <w:ind w:right="4650"/>
              <w:spacing w:after="0"/>
              <w:rPr>
                <w:sz w:val="20"/>
                <w:szCs w:val="20"/>
                <w:color w:val="auto"/>
              </w:rPr>
            </w:pPr>
            <w:r>
              <w:rPr>
                <w:rFonts w:ascii="Arial" w:cs="Arial" w:eastAsia="Arial" w:hAnsi="Arial"/>
                <w:sz w:val="18"/>
                <w:szCs w:val="18"/>
                <w:color w:val="auto"/>
              </w:rPr>
              <w:t>- 36 -</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NOTE 12 — EARNINGS PER SHARE CALCULATIONS.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reconciliation (in millions) of our net income to net income allocated to our common stockholders and the weighted average shares (in millions) that are used in calculating the basic and the diluted earnings per share on our common stock follow.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433.6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our common stockholders</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432.1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0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Weighted average common shares outstanding assuming dilution reflects the potential additional dilution, determined using the treasury stock method that could occur if outstanding stock options were exercised. There are 12.4 million outstanding stock options with an average exercise price of $52.07 that, when taken together with related unrecognized compensation expense, are out-of-the-money and, therefore, not included in the 2010 weighted average common shares outstanding assuming dilution.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NOTE 13 — COMPREHENSIVE INCOME AND ACCUMULATED OTHER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(in millions) of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433.6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672.2</w:t>
            </w: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sponsored mutual funds: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Net unrealized holding gains (losses)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(254.7)</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gain distributions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Other than temporary impairments recognized in income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91.3</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losses (gains) realized on dispositions, determined using average cost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r>
      <w:tr>
        <w:trPr>
          <w:trHeight w:val="223"/>
        </w:trPr>
        <w:tc>
          <w:tcPr>
            <w:tcW w:w="20" w:type="dxa"/>
            <w:vAlign w:val="bottom"/>
          </w:tcPr>
          <w:p>
            <w:pPr>
              <w:spacing w:after="0"/>
              <w:rPr>
                <w:sz w:val="19"/>
                <w:szCs w:val="19"/>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Deferred tax benefits (income taxes)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58.4</w:t>
            </w:r>
          </w:p>
        </w:tc>
        <w:tc>
          <w:tcPr>
            <w:tcW w:w="1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(66.6)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02"/>
        </w:trPr>
        <w:tc>
          <w:tcPr>
            <w:tcW w:w="20" w:type="dxa"/>
            <w:vAlign w:val="bottom"/>
          </w:tcPr>
          <w:p>
            <w:pPr>
              <w:spacing w:after="0"/>
              <w:rPr>
                <w:sz w:val="17"/>
                <w:szCs w:val="17"/>
                <w:color w:val="auto"/>
              </w:rPr>
            </w:pPr>
          </w:p>
        </w:tc>
        <w:tc>
          <w:tcPr>
            <w:tcW w:w="75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5"/>
              </w:rPr>
              <w:t>Net unrealized holding gains (losses) of investments in sponsored mutual funds recognized in</w:t>
            </w:r>
          </w:p>
        </w:tc>
        <w:tc>
          <w:tcPr>
            <w:tcW w:w="3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(106.1)</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110.9</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r>
      <w:tr>
        <w:trPr>
          <w:trHeight w:val="223"/>
        </w:trPr>
        <w:tc>
          <w:tcPr>
            <w:tcW w:w="20" w:type="dxa"/>
            <w:vAlign w:val="bottom"/>
          </w:tcPr>
          <w:p>
            <w:pPr>
              <w:spacing w:after="0"/>
              <w:rPr>
                <w:sz w:val="19"/>
                <w:szCs w:val="19"/>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Debt securities held by savings bank subsidiary:</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unrealized holding gains (losses)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Net losses (gains) realized on dispositions, determined using average cost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tax benefits (income taxes)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09"/>
        </w:trPr>
        <w:tc>
          <w:tcPr>
            <w:tcW w:w="20" w:type="dxa"/>
            <w:vAlign w:val="bottom"/>
          </w:tcPr>
          <w:p>
            <w:pPr>
              <w:spacing w:after="0"/>
              <w:rPr>
                <w:sz w:val="18"/>
                <w:szCs w:val="18"/>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Net unrealized holding gains (losses) of debt securities held by savings bank subsidiary</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600"/>
              <w:spacing w:after="0"/>
              <w:rPr>
                <w:sz w:val="20"/>
                <w:szCs w:val="20"/>
                <w:color w:val="auto"/>
              </w:rPr>
            </w:pPr>
            <w:r>
              <w:rPr>
                <w:rFonts w:ascii="Arial" w:cs="Arial" w:eastAsia="Arial" w:hAnsi="Arial"/>
                <w:sz w:val="18"/>
                <w:szCs w:val="18"/>
                <w:color w:val="auto"/>
              </w:rPr>
              <w:t>recognized in other comprehensive income</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net unrealized holding gains (losses) recognized in other comprehensive income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23"/>
        </w:trPr>
        <w:tc>
          <w:tcPr>
            <w:tcW w:w="20" w:type="dxa"/>
            <w:vAlign w:val="bottom"/>
          </w:tcPr>
          <w:p>
            <w:pPr>
              <w:spacing w:after="0"/>
              <w:rPr>
                <w:sz w:val="19"/>
                <w:szCs w:val="19"/>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Investment in UTI Asset Management Company Ltd.</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 in currency translation adjustment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currency translation adjustment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(108.1)</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548.6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709.4</w:t>
            </w: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currency translation gain results from translating our proportionate share of the financial statements of UTI, our equity method investment, into U.S. dollars. Assets and liabilities are translated into U.S. dollars using year-end exchange rates, and revenues and expenses are translated using weighted-average exchange rates for the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Accumulated other comprehensive income (loss) (in millions) at December 31 includes: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Investments in sponsored mutual funds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160.0</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217.7</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23"/>
        </w:trPr>
        <w:tc>
          <w:tcPr>
            <w:tcW w:w="9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Net unrealized holding gains</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 net of deferred income taxes of $2.0 million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14 — OTHER DISCLOSURES.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consolidated stockholders’ equity at December 31, 2010, includes about $81 million that is restricted as to use by various regulations and agreements arising in the ordinary course of our business.</w:t>
      </w:r>
    </w:p>
    <w:p>
      <w:pPr>
        <w:spacing w:after="0" w:line="6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recognized for our defined contribution retirement plans was $43.6 million in 2008, $41.2 million in 2009, and $48.2 million in 2010.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NOTE 15 — SUPPLEMENTARY QUARTERLY FINANCIAL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Basic</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color w:val="auto"/>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9"/>
              </w:rPr>
              <w:t>earnings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8"/>
              </w:rPr>
              <w:t>per</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8"/>
              </w:rPr>
              <w:t>share 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share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728"/>
              <w:spacing w:after="0" w:line="149"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rPr>
              <w:t>Net</w:t>
            </w: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3"/>
              </w:rPr>
              <w:t>common</w:t>
            </w:r>
          </w:p>
        </w:tc>
        <w:tc>
          <w:tcPr>
            <w:tcW w:w="3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common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728"/>
              <w:spacing w:after="0"/>
              <w:rPr>
                <w:sz w:val="20"/>
                <w:szCs w:val="20"/>
                <w:color w:val="auto"/>
              </w:rPr>
            </w:pPr>
            <w:r>
              <w:rPr>
                <w:rFonts w:ascii="Arial" w:cs="Arial" w:eastAsia="Arial" w:hAnsi="Arial"/>
                <w:sz w:val="14"/>
                <w:szCs w:val="14"/>
                <w:color w:val="auto"/>
                <w:w w:val="90"/>
              </w:rPr>
              <w:t>revenues</w:t>
            </w: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color w:val="auto"/>
                <w:w w:val="92"/>
              </w:rPr>
              <w:t>income</w:t>
            </w:r>
          </w:p>
        </w:tc>
        <w:tc>
          <w:tcPr>
            <w:tcW w:w="10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stock</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stock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00" w:type="dxa"/>
            <w:vAlign w:val="bottom"/>
          </w:tcPr>
          <w:p>
            <w:pPr>
              <w:spacing w:after="0" w:line="142" w:lineRule="exact"/>
              <w:rPr>
                <w:sz w:val="20"/>
                <w:szCs w:val="20"/>
                <w:color w:val="auto"/>
              </w:rPr>
            </w:pPr>
            <w:r>
              <w:rPr>
                <w:rFonts w:ascii="Arial" w:cs="Arial" w:eastAsia="Arial" w:hAnsi="Arial"/>
                <w:sz w:val="14"/>
                <w:szCs w:val="14"/>
                <w:color w:val="auto"/>
                <w:w w:val="96"/>
              </w:rPr>
              <w:t>(in millions)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2009</w:t>
            </w:r>
          </w:p>
        </w:tc>
        <w:tc>
          <w:tcPr>
            <w:tcW w:w="3320" w:type="dxa"/>
            <w:vAlign w:val="bottom"/>
            <w:tcBorders>
              <w:bottom w:val="single" w:sz="8" w:color="CCEEFF"/>
            </w:tcBorders>
            <w:shd w:val="clear" w:color="auto" w:fill="CCEEFF"/>
          </w:tcPr>
          <w:p>
            <w:pPr>
              <w:spacing w:after="0"/>
              <w:rPr>
                <w:sz w:val="17"/>
                <w:szCs w:val="17"/>
                <w:color w:val="auto"/>
              </w:rPr>
            </w:pPr>
          </w:p>
        </w:tc>
        <w:tc>
          <w:tcPr>
            <w:tcW w:w="2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1st quarter</w:t>
            </w:r>
          </w:p>
        </w:tc>
        <w:tc>
          <w:tcPr>
            <w:tcW w:w="29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gridSpan w:val="2"/>
          </w:tcPr>
          <w:p>
            <w:pPr>
              <w:jc w:val="right"/>
              <w:ind w:right="628"/>
              <w:spacing w:after="0"/>
              <w:rPr>
                <w:sz w:val="20"/>
                <w:szCs w:val="20"/>
                <w:color w:val="auto"/>
              </w:rPr>
            </w:pPr>
            <w:r>
              <w:rPr>
                <w:rFonts w:ascii="Arial" w:cs="Arial" w:eastAsia="Arial" w:hAnsi="Arial"/>
                <w:sz w:val="18"/>
                <w:szCs w:val="18"/>
                <w:color w:val="auto"/>
              </w:rPr>
              <w:t>384.5</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CCEEFF"/>
            </w:tcBorders>
            <w:gridSpan w:val="2"/>
          </w:tcPr>
          <w:p>
            <w:pPr>
              <w:jc w:val="right"/>
              <w:ind w:right="660"/>
              <w:spacing w:after="0"/>
              <w:rPr>
                <w:sz w:val="20"/>
                <w:szCs w:val="20"/>
                <w:color w:val="auto"/>
              </w:rPr>
            </w:pPr>
            <w:r>
              <w:rPr>
                <w:rFonts w:ascii="Arial" w:cs="Arial" w:eastAsia="Arial" w:hAnsi="Arial"/>
                <w:sz w:val="18"/>
                <w:szCs w:val="18"/>
                <w:color w:val="auto"/>
              </w:rPr>
              <w:t>48.2</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.19</w:t>
            </w:r>
          </w:p>
        </w:tc>
        <w:tc>
          <w:tcPr>
            <w:tcW w:w="4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quarter</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442.2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3rd quarter</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8"/>
              <w:spacing w:after="0"/>
              <w:rPr>
                <w:sz w:val="20"/>
                <w:szCs w:val="20"/>
                <w:color w:val="auto"/>
              </w:rPr>
            </w:pPr>
            <w:r>
              <w:rPr>
                <w:rFonts w:ascii="Arial" w:cs="Arial" w:eastAsia="Arial" w:hAnsi="Arial"/>
                <w:sz w:val="18"/>
                <w:szCs w:val="18"/>
                <w:color w:val="auto"/>
              </w:rPr>
              <w:t>498.1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132.9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quarter</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542.6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92"/>
        </w:trPr>
        <w:tc>
          <w:tcPr>
            <w:tcW w:w="360" w:type="dxa"/>
            <w:vAlign w:val="bottom"/>
            <w:gridSpan w:val="2"/>
          </w:tcPr>
          <w:p>
            <w:pPr>
              <w:spacing w:after="0"/>
              <w:rPr>
                <w:sz w:val="20"/>
                <w:szCs w:val="20"/>
                <w:color w:val="auto"/>
              </w:rPr>
            </w:pPr>
            <w:r>
              <w:rPr>
                <w:rFonts w:ascii="Arial" w:cs="Arial" w:eastAsia="Arial" w:hAnsi="Arial"/>
                <w:sz w:val="18"/>
                <w:szCs w:val="18"/>
                <w:color w:val="auto"/>
                <w:w w:val="84"/>
              </w:rPr>
              <w:t>2010</w:t>
            </w:r>
          </w:p>
        </w:tc>
        <w:tc>
          <w:tcPr>
            <w:tcW w:w="3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556.2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2nd quarter</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8"/>
              <w:spacing w:after="0"/>
              <w:rPr>
                <w:sz w:val="20"/>
                <w:szCs w:val="20"/>
                <w:color w:val="auto"/>
              </w:rPr>
            </w:pPr>
            <w:r>
              <w:rPr>
                <w:rFonts w:ascii="Arial" w:cs="Arial" w:eastAsia="Arial" w:hAnsi="Arial"/>
                <w:sz w:val="18"/>
                <w:szCs w:val="18"/>
                <w:color w:val="auto"/>
              </w:rPr>
              <w:t>577.4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158.5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586.1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4th quarter</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8"/>
              <w:spacing w:after="0"/>
              <w:rPr>
                <w:sz w:val="20"/>
                <w:szCs w:val="20"/>
                <w:color w:val="auto"/>
              </w:rPr>
            </w:pPr>
            <w:r>
              <w:rPr>
                <w:rFonts w:ascii="Arial" w:cs="Arial" w:eastAsia="Arial" w:hAnsi="Arial"/>
                <w:sz w:val="18"/>
                <w:szCs w:val="18"/>
                <w:color w:val="auto"/>
              </w:rPr>
              <w:t>647.5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191.6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5520" w:right="2000" w:hanging="5510"/>
        <w:spacing w:after="0" w:line="496" w:lineRule="auto"/>
        <w:rPr>
          <w:sz w:val="20"/>
          <w:szCs w:val="20"/>
          <w:color w:val="auto"/>
        </w:rPr>
      </w:pPr>
      <w:r>
        <w:rPr>
          <w:rFonts w:ascii="Arial" w:cs="Arial" w:eastAsia="Arial" w:hAnsi="Arial"/>
          <w:sz w:val="18"/>
          <w:szCs w:val="18"/>
          <w:color w:val="auto"/>
        </w:rPr>
        <w:t>The sums of quarterly earnings per share do not equal annual earnings per share because the computations are done independently. - 38 -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have audited the accompanying consolidated balance sheets of T. Rowe Price Group, Inc. and subsidiaries (“the Company”) as of December 31, 2010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2009, and the related consolidated statements of income, stockholders’ equity, and cash flows for each of the years in the three-year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These consolidated financial statements are the responsibility of the Company’s management. Our responsibility is to express an opinion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these consolidated financial statements based on our audits.</w:t>
      </w:r>
    </w:p>
    <w:p>
      <w:pPr>
        <w:spacing w:after="0" w:line="1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 Rowe Price Group, Inc. and subsidiaries as of December 31, 2010 and 2009, and the results of their operations and their cash flows for each of the years in the three-year period ended December 31, 2010, in conformity with U.S. generally accepted accounting principles.</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December 31, 2010,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February 8, 2011,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2011</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December 31, 2010. Based on that evaluation, our principal executive and principal financial officers have concluded that our disclosure controls and procedures as of December 31, 2010,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2010, and has concluded that there was no change during the fourth quarter of 2010 that has materially affected, or is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64"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Report of Management on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together with other members of management of T. Rowe Price Group,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7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Management has evaluated the effectiveness of internal control over financial reporting as of December 31, 2010, in relation to criteria described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Committee of Sponsoring Organizations of the Treadway Commission (COSO). Based on management’s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we believe that the company’s internal control over financial reporting was effective as of December 31, 2010.</w:t>
      </w:r>
    </w:p>
    <w:p>
      <w:pPr>
        <w:spacing w:after="0" w:line="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February 8,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We have audited T. Rowe Price Group, Inc. and subsidiaries’ (“the Company”) internal control over financial reporting as of December 31, 2010,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6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In our opinion, T. Rowe Price Group, Inc. and subsidiaries maintained, in all material respects, effective internal control over financial reporting as of December 31, 2010,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 Rowe Price Group, Inc. and subsidiaries as of December 31, 2010 and 2009, and the related consolidated statements of income, stockholders’ equity, and cash flows for each of the years in the three-year period ended December 31, 2010, and our report dated February 8, 2011, expressed an unqualified opinion on those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2011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for the 2011 Annual Meeting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Information required by these items is incorporated by reference from the definitive proxy statement required to be filed pursuant to Regulation 14A for the 2011 Annual Meeting of our stockholders.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1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30" w:lineRule="exact"/>
        <w:rPr>
          <w:rFonts w:ascii="Arial" w:cs="Arial" w:eastAsia="Arial" w:hAnsi="Arial"/>
          <w:sz w:val="18"/>
          <w:szCs w:val="18"/>
          <w:color w:val="auto"/>
        </w:rPr>
      </w:pPr>
    </w:p>
    <w:p>
      <w:pPr>
        <w:ind w:left="340" w:right="68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filed as Exhibits 10.06 through 10.17.</w:t>
      </w:r>
    </w:p>
    <w:p>
      <w:pPr>
        <w:spacing w:after="0" w:line="62" w:lineRule="exact"/>
        <w:rPr>
          <w:rFonts w:ascii="Arial" w:cs="Arial" w:eastAsia="Arial" w:hAnsi="Arial"/>
          <w:sz w:val="18"/>
          <w:szCs w:val="18"/>
          <w:color w:val="auto"/>
        </w:rPr>
      </w:pPr>
    </w:p>
    <w:p>
      <w:pPr>
        <w:ind w:left="1000"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3(i)Charter of T. Rowe Price Group, Inc., as Amended by Articles of Amendment dated April 10, 2008. (Incorporated by reference from Form 10-Q Report for the quarterly period ended March 31, 2008 filed on April 24, 2008; File No. 033-07012-99.)</w:t>
      </w:r>
    </w:p>
    <w:p>
      <w:pPr>
        <w:sectPr>
          <w:pgSz w:w="11900" w:h="16838" w:orient="portrait"/>
          <w:cols w:equalWidth="0" w:num="1">
            <w:col w:w="11420"/>
          </w:cols>
          <w:pgMar w:left="240" w:top="932" w:right="239" w:bottom="1440" w:gutter="0" w:footer="0" w:header="0"/>
        </w:sectPr>
      </w:pPr>
    </w:p>
    <w:p>
      <w:pPr>
        <w:spacing w:after="0" w:line="7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3(ii)</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Amended and Restated By-Laws of T. Rowe Price Group, Inc. as of February 12, 2009. (Incorporated by reference from Form 8-K Current Report filed on February 17, 2009; File No. 033-07012-99.)</w:t>
      </w:r>
    </w:p>
    <w:p>
      <w:pPr>
        <w:spacing w:after="0" w:line="76" w:lineRule="exact"/>
        <w:rPr>
          <w:sz w:val="20"/>
          <w:szCs w:val="20"/>
          <w:color w:val="auto"/>
        </w:rPr>
      </w:pPr>
    </w:p>
    <w:p>
      <w:pPr>
        <w:sectPr>
          <w:pgSz w:w="11900" w:h="16838" w:orient="portrait"/>
          <w:cols w:equalWidth="0" w:num="2">
            <w:col w:w="660" w:space="340"/>
            <w:col w:w="10420"/>
          </w:cols>
          <w:pgMar w:left="240" w:top="932" w:right="239" w:bottom="1440" w:gutter="0" w:footer="0" w:header="0"/>
          <w:type w:val="continuous"/>
        </w:sectPr>
      </w:pPr>
    </w:p>
    <w:p>
      <w:pPr>
        <w:ind w:left="1000" w:right="20" w:hanging="647"/>
        <w:spacing w:after="0" w:line="264" w:lineRule="auto"/>
        <w:rPr>
          <w:sz w:val="20"/>
          <w:szCs w:val="20"/>
          <w:color w:val="auto"/>
        </w:rPr>
      </w:pPr>
      <w:r>
        <w:rPr>
          <w:rFonts w:ascii="Arial" w:cs="Arial" w:eastAsia="Arial" w:hAnsi="Arial"/>
          <w:sz w:val="18"/>
          <w:szCs w:val="18"/>
          <w:color w:val="auto"/>
        </w:rPr>
        <w:t>10.01.1 Representative Investment Management Agreement for the T. Rowe Price mutual funds that pay a management fee consisting of two components — a group management fee and individual management fee. (Incorporated by reference from Form N-1A filed on August 22, 2008; File No. 333-153130.)</w:t>
      </w:r>
    </w:p>
    <w:p>
      <w:pPr>
        <w:spacing w:after="0" w:line="87" w:lineRule="exact"/>
        <w:rPr>
          <w:sz w:val="20"/>
          <w:szCs w:val="20"/>
          <w:color w:val="auto"/>
        </w:rPr>
      </w:pPr>
    </w:p>
    <w:p>
      <w:pPr>
        <w:ind w:left="1000" w:right="200" w:hanging="647"/>
        <w:spacing w:after="0" w:line="277" w:lineRule="auto"/>
        <w:rPr>
          <w:sz w:val="20"/>
          <w:szCs w:val="20"/>
          <w:color w:val="auto"/>
        </w:rPr>
      </w:pPr>
      <w:r>
        <w:rPr>
          <w:rFonts w:ascii="Arial" w:cs="Arial" w:eastAsia="Arial" w:hAnsi="Arial"/>
          <w:sz w:val="18"/>
          <w:szCs w:val="18"/>
          <w:color w:val="auto"/>
        </w:rPr>
        <w:t>10.01.2 Representative Investment Management Agreement for the T. Rowe Price mutual funds that pay an individual management fee. (Incorporated by reference from Form 485APOS filed on August 11, 2010; File No. 033-29697)</w:t>
      </w:r>
    </w:p>
    <w:p>
      <w:pPr>
        <w:spacing w:after="0" w:line="76" w:lineRule="exact"/>
        <w:rPr>
          <w:sz w:val="20"/>
          <w:szCs w:val="20"/>
          <w:color w:val="auto"/>
        </w:rPr>
      </w:pPr>
    </w:p>
    <w:p>
      <w:pPr>
        <w:jc w:val="both"/>
        <w:ind w:left="1000" w:hanging="647"/>
        <w:spacing w:after="0" w:line="264" w:lineRule="auto"/>
        <w:rPr>
          <w:sz w:val="20"/>
          <w:szCs w:val="20"/>
          <w:color w:val="auto"/>
        </w:rPr>
      </w:pPr>
      <w:r>
        <w:rPr>
          <w:rFonts w:ascii="Arial" w:cs="Arial" w:eastAsia="Arial" w:hAnsi="Arial"/>
          <w:sz w:val="18"/>
          <w:szCs w:val="18"/>
          <w:color w:val="auto"/>
        </w:rPr>
        <w:t>10.01.3 Representative Investment Management Agreement for the T. Rowe Price mutual funds that pay an all-inclusive fee (i.e., a single fee that covers investment management and ordinary recurring operating expenses). (Incorporated by reference from Form 485APOS filed on March 15, 2007; File No. 033-29697)</w:t>
      </w:r>
    </w:p>
    <w:p>
      <w:pPr>
        <w:spacing w:after="0" w:line="87" w:lineRule="exact"/>
        <w:rPr>
          <w:sz w:val="20"/>
          <w:szCs w:val="20"/>
          <w:color w:val="auto"/>
        </w:rPr>
      </w:pPr>
    </w:p>
    <w:p>
      <w:pPr>
        <w:ind w:left="1000" w:right="260" w:hanging="647"/>
        <w:spacing w:after="0" w:line="277" w:lineRule="auto"/>
        <w:tabs>
          <w:tab w:leader="none" w:pos="980" w:val="left"/>
        </w:tabs>
        <w:rPr>
          <w:sz w:val="20"/>
          <w:szCs w:val="20"/>
          <w:color w:val="auto"/>
        </w:rPr>
      </w:pPr>
      <w:r>
        <w:rPr>
          <w:rFonts w:ascii="Arial" w:cs="Arial" w:eastAsia="Arial" w:hAnsi="Arial"/>
          <w:sz w:val="18"/>
          <w:szCs w:val="18"/>
          <w:color w:val="auto"/>
        </w:rPr>
        <w:t>10.02</w:t>
        <w:tab/>
        <w:t>Representative Underwriting Agreement between a T. Rowe Price mutual fund and T. Rowe Price Investment Services, Inc. (Incorporated by reference from Form N-1A/A filed on August 29, 2006; File No. 333-136805.)</w:t>
      </w:r>
    </w:p>
    <w:p>
      <w:pPr>
        <w:spacing w:after="0" w:line="76" w:lineRule="exact"/>
        <w:rPr>
          <w:sz w:val="20"/>
          <w:szCs w:val="20"/>
          <w:color w:val="auto"/>
        </w:rPr>
      </w:pPr>
    </w:p>
    <w:p>
      <w:pPr>
        <w:ind w:left="1000" w:right="960" w:hanging="647"/>
        <w:spacing w:after="0" w:line="277" w:lineRule="auto"/>
        <w:tabs>
          <w:tab w:leader="none" w:pos="980" w:val="left"/>
        </w:tabs>
        <w:rPr>
          <w:sz w:val="20"/>
          <w:szCs w:val="20"/>
          <w:color w:val="auto"/>
        </w:rPr>
      </w:pPr>
      <w:r>
        <w:rPr>
          <w:rFonts w:ascii="Arial" w:cs="Arial" w:eastAsia="Arial" w:hAnsi="Arial"/>
          <w:sz w:val="18"/>
          <w:szCs w:val="18"/>
          <w:color w:val="auto"/>
        </w:rPr>
        <w:t>10.03</w:t>
        <w:tab/>
        <w:t>Transfer Agency and Service Agreement as of January 1, 2010, between T. Rowe Price Services, Inc. and the T. Rowe Price Funds. (Incorporated by reference from Form 485BPOS filed on April 29, 2010; File No. 033-47806.)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type w:val="continuous"/>
        </w:sectPr>
      </w:pPr>
    </w:p>
    <w:bookmarkStart w:id="43" w:name="page44"/>
    <w:bookmarkEnd w:id="43"/>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10.04</w:t>
        <w:tab/>
        <w:t>Agreement as of January 1, 2010, between T. Rowe Price Retirement Plan Services, Inc. and certain of the T. Rowe Price Funds. (Incorporated by reference from Form 485BPOS filed on April 29, 2010; File No. 033-47806.)</w:t>
      </w:r>
    </w:p>
    <w:p>
      <w:pPr>
        <w:spacing w:after="0" w:line="76" w:lineRule="exact"/>
        <w:rPr>
          <w:sz w:val="20"/>
          <w:szCs w:val="20"/>
          <w:color w:val="auto"/>
        </w:rPr>
      </w:pPr>
    </w:p>
    <w:p>
      <w:pPr>
        <w:ind w:left="660" w:right="420" w:hanging="647"/>
        <w:spacing w:after="0" w:line="264" w:lineRule="auto"/>
        <w:tabs>
          <w:tab w:leader="none" w:pos="640" w:val="left"/>
        </w:tabs>
        <w:rPr>
          <w:sz w:val="20"/>
          <w:szCs w:val="20"/>
          <w:color w:val="auto"/>
        </w:rPr>
      </w:pPr>
      <w:r>
        <w:rPr>
          <w:rFonts w:ascii="Arial" w:cs="Arial" w:eastAsia="Arial" w:hAnsi="Arial"/>
          <w:sz w:val="18"/>
          <w:szCs w:val="18"/>
          <w:color w:val="auto"/>
        </w:rPr>
        <w:t>10.05</w:t>
        <w:tab/>
        <w:t>Second Amended, Restated and Consolidated Lease Agreement dated November 9, 2004, between East Pratt Street Associates Limited Partnership and T. Rowe Price Associates, Inc. (Incorporated by reference from Form 10-K for 2004 filed on March 1, 2005; File No. 033-07012-99.)</w:t>
      </w:r>
    </w:p>
    <w:p>
      <w:pPr>
        <w:spacing w:after="0" w:line="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10.06</w:t>
      </w:r>
      <w:r>
        <w:rPr>
          <w:sz w:val="20"/>
          <w:szCs w:val="20"/>
          <w:color w:val="auto"/>
        </w:rPr>
        <w:tab/>
      </w:r>
      <w:r>
        <w:rPr>
          <w:rFonts w:ascii="Arial" w:cs="Arial" w:eastAsia="Arial" w:hAnsi="Arial"/>
          <w:sz w:val="16"/>
          <w:szCs w:val="16"/>
          <w:color w:val="auto"/>
        </w:rPr>
        <w:t>1995 Director Stock Option Plan. (Incorporated by reference from Form DEF 14A filed on February 28, 1995; File No. 000-14282.)</w:t>
      </w:r>
    </w:p>
    <w:p>
      <w:pPr>
        <w:spacing w:after="0" w:line="131"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auto"/>
        </w:rPr>
        <w:t>10.07</w:t>
        <w:tab/>
        <w:t>1998 Director Stock Option Plan, as Amended and Restated effective December 16, 2004, including forms of option agreements. (Incorporated by reference from Form 10-K for 2004 filed on March 1, 2005; File No. 033-07012-99.)</w:t>
      </w:r>
    </w:p>
    <w:p>
      <w:pPr>
        <w:spacing w:after="0" w:line="76" w:lineRule="exact"/>
        <w:rPr>
          <w:sz w:val="20"/>
          <w:szCs w:val="20"/>
          <w:color w:val="auto"/>
        </w:rPr>
      </w:pPr>
    </w:p>
    <w:p>
      <w:pPr>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10.08</w:t>
        <w:tab/>
        <w:t>Amended and Restated 2007 Non-Employee Director Equity Plan as of February 12, 2009, including statements of additional terms and conditions for awards granted after that date. (Incorporated by reference from Form 10-Q for the quarterly period ended March 31, 2009 filed on April 22, 2009; File No. 033-07012-99.)</w:t>
      </w:r>
    </w:p>
    <w:p>
      <w:pPr>
        <w:spacing w:after="0" w:line="87" w:lineRule="exact"/>
        <w:rPr>
          <w:sz w:val="20"/>
          <w:szCs w:val="20"/>
          <w:color w:val="auto"/>
        </w:rPr>
      </w:pPr>
    </w:p>
    <w:p>
      <w:pPr>
        <w:ind w:left="660" w:right="200" w:hanging="647"/>
        <w:spacing w:after="0" w:line="277" w:lineRule="auto"/>
        <w:tabs>
          <w:tab w:leader="none" w:pos="640" w:val="left"/>
        </w:tabs>
        <w:rPr>
          <w:sz w:val="20"/>
          <w:szCs w:val="20"/>
          <w:color w:val="auto"/>
        </w:rPr>
      </w:pPr>
      <w:r>
        <w:rPr>
          <w:rFonts w:ascii="Arial" w:cs="Arial" w:eastAsia="Arial" w:hAnsi="Arial"/>
          <w:sz w:val="18"/>
          <w:szCs w:val="18"/>
          <w:color w:val="auto"/>
        </w:rPr>
        <w:t>10.09</w:t>
        <w:tab/>
        <w:t>Schedule of Non-Employee Director Compensation, as amended April 12, 2007. (Incorporated by reference from Form 10-Q for the quarterly period ended March 31, 2007 filed on April 25, 2007; File No. 033-07012-99.)</w:t>
      </w:r>
    </w:p>
    <w:p>
      <w:pPr>
        <w:spacing w:after="0" w:line="76" w:lineRule="exact"/>
        <w:rPr>
          <w:sz w:val="20"/>
          <w:szCs w:val="20"/>
          <w:color w:val="auto"/>
        </w:rPr>
      </w:pPr>
    </w:p>
    <w:p>
      <w:pPr>
        <w:ind w:left="660" w:right="560" w:hanging="647"/>
        <w:spacing w:after="0" w:line="277" w:lineRule="auto"/>
        <w:tabs>
          <w:tab w:leader="none" w:pos="640" w:val="left"/>
        </w:tabs>
        <w:rPr>
          <w:sz w:val="20"/>
          <w:szCs w:val="20"/>
          <w:color w:val="auto"/>
        </w:rPr>
      </w:pPr>
      <w:r>
        <w:rPr>
          <w:rFonts w:ascii="Arial" w:cs="Arial" w:eastAsia="Arial" w:hAnsi="Arial"/>
          <w:sz w:val="18"/>
          <w:szCs w:val="18"/>
          <w:color w:val="auto"/>
        </w:rPr>
        <w:t>10.10</w:t>
        <w:tab/>
        <w:t>T. Rowe Price Group, Inc. Outside Directors Deferred Compensation Plan. (Incorporated by reference from Form 10-K for 2004 filed on March 1, 2005; File No. 033-07012-99.)</w:t>
      </w:r>
    </w:p>
    <w:p>
      <w:pPr>
        <w:spacing w:after="0" w:line="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1993 Stock Incentive Plan. (Incorporated by reference from Form S-8 Registration Statement filed on December 3, 1993; File No. 33-72568.)</w:t>
      </w:r>
    </w:p>
    <w:p>
      <w:pPr>
        <w:spacing w:after="0" w:line="1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1996 Stock Incentive Plan. (Incorporated by reference from Form DEF 14A filed on March 1, 1996; File No. 000-14282.)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10.13.1 2001 Stock Incentive Plan. (Incorporated by reference from Form DEFR 14A filed on February 26, 2001; File No. 033-07012-99.)</w:t>
      </w:r>
    </w:p>
    <w:p>
      <w:pPr>
        <w:spacing w:after="0" w:line="131" w:lineRule="exact"/>
        <w:rPr>
          <w:sz w:val="20"/>
          <w:szCs w:val="20"/>
          <w:color w:val="auto"/>
        </w:rPr>
      </w:pPr>
    </w:p>
    <w:p>
      <w:pPr>
        <w:ind w:left="660" w:right="440" w:hanging="647"/>
        <w:spacing w:after="0" w:line="277" w:lineRule="auto"/>
        <w:rPr>
          <w:sz w:val="20"/>
          <w:szCs w:val="20"/>
          <w:color w:val="auto"/>
        </w:rPr>
      </w:pPr>
      <w:r>
        <w:rPr>
          <w:rFonts w:ascii="Arial" w:cs="Arial" w:eastAsia="Arial" w:hAnsi="Arial"/>
          <w:sz w:val="18"/>
          <w:szCs w:val="18"/>
          <w:color w:val="auto"/>
        </w:rPr>
        <w:t>10.13.2 First Amendment to 2001 Stock Incentive Plan dated April 8, 2004. (Incorporated by reference from Form DEF 14A filed on February 27, 2004; File No. 033-07012-99.)</w:t>
      </w:r>
    </w:p>
    <w:p>
      <w:pPr>
        <w:spacing w:after="0" w:line="76" w:lineRule="exact"/>
        <w:rPr>
          <w:sz w:val="20"/>
          <w:szCs w:val="20"/>
          <w:color w:val="auto"/>
        </w:rPr>
      </w:pPr>
    </w:p>
    <w:p>
      <w:pPr>
        <w:ind w:left="660" w:right="480" w:hanging="647"/>
        <w:spacing w:after="0" w:line="277" w:lineRule="auto"/>
        <w:rPr>
          <w:sz w:val="20"/>
          <w:szCs w:val="20"/>
          <w:color w:val="auto"/>
        </w:rPr>
      </w:pPr>
      <w:r>
        <w:rPr>
          <w:rFonts w:ascii="Arial" w:cs="Arial" w:eastAsia="Arial" w:hAnsi="Arial"/>
          <w:sz w:val="18"/>
          <w:szCs w:val="18"/>
          <w:color w:val="auto"/>
        </w:rPr>
        <w:t>10.13.3 Second Amendment to 2001 Stock Incentive Plan dated December 12, 2008. (Incorporated by reference from Form 10-Q for the quarterly period ended March 31, 2009 filed on April 22, 2009; File No. 033-07012-99.)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10.14.1 2004 Stock Incentive Plan. (Incorporated by reference from Form 10-K for 2007 filed on February 7, 2008; File No. 033-07012-99.)</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10.14.2 HM Revenue and Customs Approved Sub-Plan for UK Employees under the 2004 Stock Incentive Plan. (Incorporated by reference from Form</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10-Q for the quarterly period ended June 30, 2010 filed on July 23, 2010; File No. 033-07012-99.)</w:t>
      </w:r>
    </w:p>
    <w:p>
      <w:pPr>
        <w:spacing w:after="0" w:line="116" w:lineRule="exact"/>
        <w:rPr>
          <w:sz w:val="20"/>
          <w:szCs w:val="20"/>
          <w:color w:val="auto"/>
        </w:rPr>
      </w:pPr>
    </w:p>
    <w:p>
      <w:pPr>
        <w:ind w:left="660" w:right="160" w:hanging="647"/>
        <w:spacing w:after="0" w:line="277" w:lineRule="auto"/>
        <w:rPr>
          <w:sz w:val="20"/>
          <w:szCs w:val="20"/>
          <w:color w:val="auto"/>
        </w:rPr>
      </w:pPr>
      <w:r>
        <w:rPr>
          <w:rFonts w:ascii="Arial" w:cs="Arial" w:eastAsia="Arial" w:hAnsi="Arial"/>
          <w:sz w:val="18"/>
          <w:szCs w:val="18"/>
          <w:color w:val="auto"/>
        </w:rPr>
        <w:t>10.14.3 First Amendment to 2004 Stock Incentive Plan dated December 12, 2008. (Incorporated by reference from Form 10-Q for the quarterly period ended March 31, 2009 filed on April 22, 2009; File No. 033-07012-99.)</w:t>
      </w:r>
    </w:p>
    <w:p>
      <w:pPr>
        <w:spacing w:after="0" w:line="76" w:lineRule="exact"/>
        <w:rPr>
          <w:sz w:val="20"/>
          <w:szCs w:val="20"/>
          <w:color w:val="auto"/>
        </w:rPr>
      </w:pPr>
    </w:p>
    <w:p>
      <w:pPr>
        <w:ind w:left="660" w:right="160" w:hanging="647"/>
        <w:spacing w:after="0" w:line="277" w:lineRule="auto"/>
        <w:tabs>
          <w:tab w:leader="none" w:pos="640" w:val="left"/>
        </w:tabs>
        <w:rPr>
          <w:sz w:val="20"/>
          <w:szCs w:val="20"/>
          <w:color w:val="auto"/>
        </w:rPr>
      </w:pPr>
      <w:r>
        <w:rPr>
          <w:rFonts w:ascii="Arial" w:cs="Arial" w:eastAsia="Arial" w:hAnsi="Arial"/>
          <w:sz w:val="18"/>
          <w:szCs w:val="18"/>
          <w:color w:val="auto"/>
        </w:rPr>
        <w:t>10.15</w:t>
        <w:tab/>
        <w:t>Forms of agreements available for stock-based awards issued under the 2001 and 2004 Stock Incentive Plans. (Incorporated by reference from Form 10-Q for the quarterly period ended June 30, 2010 filed on July 23, 2010; File No. 033-07012-99.)</w:t>
      </w:r>
    </w:p>
    <w:p>
      <w:pPr>
        <w:spacing w:after="0" w:line="76" w:lineRule="exact"/>
        <w:rPr>
          <w:sz w:val="20"/>
          <w:szCs w:val="20"/>
          <w:color w:val="auto"/>
        </w:rPr>
      </w:pPr>
    </w:p>
    <w:p>
      <w:pPr>
        <w:ind w:left="660" w:right="60" w:hanging="647"/>
        <w:spacing w:after="0" w:line="264" w:lineRule="auto"/>
        <w:rPr>
          <w:sz w:val="20"/>
          <w:szCs w:val="20"/>
          <w:color w:val="auto"/>
        </w:rPr>
      </w:pPr>
      <w:r>
        <w:rPr>
          <w:rFonts w:ascii="Arial" w:cs="Arial" w:eastAsia="Arial" w:hAnsi="Arial"/>
          <w:sz w:val="18"/>
          <w:szCs w:val="18"/>
          <w:color w:val="auto"/>
        </w:rPr>
        <w:t>10.15.1 Forms of agreement for stock options issued under the HM Revenue and Customs Approved Sub-Plan for UK Employees under the 2004 Stock Incentive Plan. (Incorporated by reference from Form 10-Q for the quarterly period ended June 30, 2010 filed on July 23, 2010; File No. 033-07012-99.)</w:t>
      </w:r>
    </w:p>
    <w:p>
      <w:pPr>
        <w:spacing w:after="0" w:line="15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044" w:right="239" w:bottom="1440" w:gutter="0" w:footer="0" w:header="0"/>
        </w:sectPr>
      </w:pPr>
    </w:p>
    <w:bookmarkStart w:id="44" w:name="page45"/>
    <w:bookmarkEnd w:id="44"/>
    <w:p>
      <w:pPr>
        <w:spacing w:after="0"/>
        <w:tabs>
          <w:tab w:leader="none" w:pos="6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Annual Incentive Compensation Pool. (Incorporated by reference from Form DEF 14A filed on March 3, 2003; File No. 033-07012-99.)</w:t>
      </w:r>
    </w:p>
    <w:p>
      <w:pPr>
        <w:spacing w:after="0" w:line="1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Policy for Recoupment of Incentive Compensation. (Incorporated by reference from Form 8-K Current Report filed on April 16, 2010; File No.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033-07012-99.)</w:t>
      </w:r>
    </w:p>
    <w:p>
      <w:pPr>
        <w:spacing w:after="0" w:line="116" w:lineRule="exact"/>
        <w:rPr>
          <w:sz w:val="20"/>
          <w:szCs w:val="20"/>
          <w:color w:val="auto"/>
        </w:rPr>
      </w:pPr>
    </w:p>
    <w:p>
      <w:pPr>
        <w:ind w:left="660" w:right="80" w:hanging="654"/>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Code of Ethics for Principal Executive Officer and Senior Financial Officers of T. Rowe Price Group, Inc. under the Sarbanes-Oxley Act of 2002. (Incorporated by reference from Form 10-Q for the quarterly period ended March 31, 2010 filed on April 23, 2010; File No. 033-07012-99.)</w:t>
      </w:r>
    </w:p>
    <w:p>
      <w:pPr>
        <w:spacing w:after="0" w:line="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T. Rowe Price Group, Inc.</w:t>
      </w:r>
    </w:p>
    <w:p>
      <w:pPr>
        <w:spacing w:after="0" w:line="131" w:lineRule="exact"/>
        <w:rPr>
          <w:sz w:val="20"/>
          <w:szCs w:val="20"/>
          <w:color w:val="auto"/>
        </w:rPr>
      </w:pPr>
    </w:p>
    <w:p>
      <w:pPr>
        <w:ind w:right="5020" w:firstLine="6"/>
        <w:spacing w:after="0" w:line="414" w:lineRule="auto"/>
        <w:tabs>
          <w:tab w:leader="none" w:pos="648"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Consent of Independent Registered Public Accounting Firm, KPMG LLP. 31(i).1 Rule 13a-14(a) Certification of Principal Executive Officer.</w:t>
      </w:r>
    </w:p>
    <w:p>
      <w:pPr>
        <w:spacing w:after="0"/>
        <w:rPr>
          <w:rFonts w:ascii="Arial" w:cs="Arial" w:eastAsia="Arial" w:hAnsi="Arial"/>
          <w:sz w:val="17"/>
          <w:szCs w:val="17"/>
          <w:color w:val="auto"/>
        </w:rPr>
      </w:pPr>
      <w:r>
        <w:rPr>
          <w:rFonts w:ascii="Arial" w:cs="Arial" w:eastAsia="Arial" w:hAnsi="Arial"/>
          <w:sz w:val="18"/>
          <w:szCs w:val="18"/>
          <w:color w:val="auto"/>
        </w:rPr>
        <w:t>31(i).2  Rule 13a-14(a) Certification of Principal Financial Officer.</w:t>
      </w:r>
    </w:p>
    <w:p>
      <w:pPr>
        <w:spacing w:after="0" w:line="130" w:lineRule="exact"/>
        <w:rPr>
          <w:rFonts w:ascii="Arial" w:cs="Arial" w:eastAsia="Arial" w:hAnsi="Arial"/>
          <w:sz w:val="17"/>
          <w:szCs w:val="17"/>
          <w:color w:val="auto"/>
        </w:rPr>
      </w:pPr>
    </w:p>
    <w:p>
      <w:pPr>
        <w:ind w:left="660" w:hanging="65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31" w:lineRule="exact"/>
        <w:rPr>
          <w:sz w:val="20"/>
          <w:szCs w:val="20"/>
          <w:color w:val="auto"/>
        </w:rPr>
      </w:pPr>
    </w:p>
    <w:p>
      <w:pPr>
        <w:ind w:left="660" w:right="120" w:hanging="654"/>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series of unaudited XBRL-formatted documents are collectively included herewith as Exhibit 101. The financial information is extracted from T. Rowe Price Group’s consolidated financial statements and notes that are included in this Form 10-K Report.</w:t>
      </w:r>
    </w:p>
    <w:p>
      <w:pPr>
        <w:spacing w:after="0" w:line="16"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384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230"/>
        </w:trPr>
        <w:tc>
          <w:tcPr>
            <w:tcW w:w="78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(File name: trow-20101231.xml)</w:t>
            </w: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3840" w:type="dxa"/>
            <w:vAlign w:val="bottom"/>
          </w:tcPr>
          <w:p>
            <w:pPr>
              <w:ind w:left="100"/>
              <w:spacing w:after="0"/>
              <w:rPr>
                <w:sz w:val="20"/>
                <w:szCs w:val="20"/>
                <w:color w:val="auto"/>
              </w:rPr>
            </w:pPr>
            <w:r>
              <w:rPr>
                <w:rFonts w:ascii="Arial" w:cs="Arial" w:eastAsia="Arial" w:hAnsi="Arial"/>
                <w:sz w:val="18"/>
                <w:szCs w:val="18"/>
                <w:color w:val="auto"/>
                <w:w w:val="98"/>
              </w:rPr>
              <w:t>XBRL Taxonomy Extension Schema Document</w:t>
            </w:r>
          </w:p>
        </w:tc>
      </w:tr>
      <w:tr>
        <w:trPr>
          <w:trHeight w:val="230"/>
        </w:trPr>
        <w:tc>
          <w:tcPr>
            <w:tcW w:w="78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(File name: trow-20101231.xsd)</w:t>
            </w: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3840" w:type="dxa"/>
            <w:vAlign w:val="bottom"/>
          </w:tcPr>
          <w:p>
            <w:pPr>
              <w:ind w:left="100"/>
              <w:spacing w:after="0"/>
              <w:rPr>
                <w:sz w:val="20"/>
                <w:szCs w:val="20"/>
                <w:color w:val="auto"/>
              </w:rPr>
            </w:pPr>
            <w:r>
              <w:rPr>
                <w:rFonts w:ascii="Arial" w:cs="Arial" w:eastAsia="Arial" w:hAnsi="Arial"/>
                <w:sz w:val="18"/>
                <w:szCs w:val="18"/>
                <w:color w:val="auto"/>
                <w:w w:val="94"/>
              </w:rPr>
              <w:t>XBRL Taxonomy Calculation Linkbase Document</w:t>
            </w:r>
          </w:p>
        </w:tc>
      </w:tr>
      <w:tr>
        <w:trPr>
          <w:trHeight w:val="230"/>
        </w:trPr>
        <w:tc>
          <w:tcPr>
            <w:tcW w:w="78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(File name: trow-20101231_cal.xml)</w:t>
            </w: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3840" w:type="dxa"/>
            <w:vAlign w:val="bottom"/>
          </w:tcPr>
          <w:p>
            <w:pPr>
              <w:ind w:left="100"/>
              <w:spacing w:after="0"/>
              <w:rPr>
                <w:sz w:val="20"/>
                <w:szCs w:val="20"/>
                <w:color w:val="auto"/>
              </w:rPr>
            </w:pPr>
            <w:r>
              <w:rPr>
                <w:rFonts w:ascii="Arial" w:cs="Arial" w:eastAsia="Arial" w:hAnsi="Arial"/>
                <w:sz w:val="18"/>
                <w:szCs w:val="18"/>
                <w:color w:val="auto"/>
              </w:rPr>
              <w:t>XBRL Taxonomy Label Linkbase Document</w:t>
            </w:r>
          </w:p>
        </w:tc>
      </w:tr>
      <w:tr>
        <w:trPr>
          <w:trHeight w:val="230"/>
        </w:trPr>
        <w:tc>
          <w:tcPr>
            <w:tcW w:w="78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(File name: trow-20101231_lab.xml)</w:t>
            </w: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3840" w:type="dxa"/>
            <w:vAlign w:val="bottom"/>
          </w:tcPr>
          <w:p>
            <w:pPr>
              <w:ind w:left="100"/>
              <w:spacing w:after="0"/>
              <w:rPr>
                <w:sz w:val="20"/>
                <w:szCs w:val="20"/>
                <w:color w:val="auto"/>
              </w:rPr>
            </w:pPr>
            <w:r>
              <w:rPr>
                <w:rFonts w:ascii="Arial" w:cs="Arial" w:eastAsia="Arial" w:hAnsi="Arial"/>
                <w:sz w:val="18"/>
                <w:szCs w:val="18"/>
                <w:color w:val="auto"/>
                <w:w w:val="91"/>
              </w:rPr>
              <w:t>XBRL Taxonomy Presentation Linkbase Document</w:t>
            </w:r>
          </w:p>
        </w:tc>
      </w:tr>
      <w:tr>
        <w:trPr>
          <w:trHeight w:val="230"/>
        </w:trPr>
        <w:tc>
          <w:tcPr>
            <w:tcW w:w="78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(File name: trow-20101231_pre.xml)</w:t>
            </w: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3840" w:type="dxa"/>
            <w:vAlign w:val="bottom"/>
          </w:tcPr>
          <w:p>
            <w:pPr>
              <w:ind w:left="100"/>
              <w:spacing w:after="0"/>
              <w:rPr>
                <w:sz w:val="20"/>
                <w:szCs w:val="20"/>
                <w:color w:val="auto"/>
              </w:rPr>
            </w:pPr>
            <w:r>
              <w:rPr>
                <w:rFonts w:ascii="Arial" w:cs="Arial" w:eastAsia="Arial" w:hAnsi="Arial"/>
                <w:sz w:val="18"/>
                <w:szCs w:val="18"/>
                <w:color w:val="auto"/>
                <w:w w:val="97"/>
              </w:rPr>
              <w:t>XBRL Taxonomy Definition Linkbase Document</w:t>
            </w:r>
          </w:p>
        </w:tc>
      </w:tr>
      <w:tr>
        <w:trPr>
          <w:trHeight w:val="230"/>
        </w:trPr>
        <w:tc>
          <w:tcPr>
            <w:tcW w:w="78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(File name: trow-20101231_def.xml)</w:t>
            </w:r>
          </w:p>
        </w:tc>
      </w:tr>
    </w:tbl>
    <w:p>
      <w:pPr>
        <w:spacing w:after="0" w:line="17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580" w:top="1043" w:right="319" w:bottom="1440" w:gutter="0" w:footer="0" w:header="0"/>
        </w:sectPr>
      </w:pPr>
    </w:p>
    <w:bookmarkStart w:id="45" w:name="page46"/>
    <w:bookmarkEnd w:id="45"/>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8, 2011.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/s/ James A.C. Kennedy, Chief Executive Officer and President</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8, 2011.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Brian C. Rogers, Chairman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Edward C. Bernard, Vice Chairman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 Chief Executive Officer and President,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T. Brady,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 Alfred Broaddus, Jr.,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Donald B. Hebb, Jr.,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Robert F. MacLellan,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Alfred Sommer,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Dwight S. Taylor,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Anne Marie Whittemore,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 Vice President and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Jessica M. Hiebler, Vice President and Principal Accounting Officer</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300"/>
          </w:cols>
          <w:pgMar w:left="240" w:top="1256"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EXHIBIT 21</w:t>
            </w:r>
          </w:p>
        </w:tc>
        <w:tc>
          <w:tcPr>
            <w:tcW w:w="0" w:type="dxa"/>
            <w:vAlign w:val="bottom"/>
          </w:tcPr>
          <w:p>
            <w:pPr>
              <w:spacing w:after="0"/>
              <w:rPr>
                <w:sz w:val="1"/>
                <w:szCs w:val="1"/>
                <w:color w:val="auto"/>
              </w:rPr>
            </w:pPr>
          </w:p>
        </w:tc>
      </w:tr>
      <w:tr>
        <w:trPr>
          <w:trHeight w:val="310"/>
        </w:trPr>
        <w:tc>
          <w:tcPr>
            <w:tcW w:w="7400" w:type="dxa"/>
            <w:vAlign w:val="bottom"/>
            <w:gridSpan w:val="2"/>
          </w:tcPr>
          <w:p>
            <w:pPr>
              <w:spacing w:after="0"/>
              <w:rPr>
                <w:sz w:val="20"/>
                <w:szCs w:val="20"/>
                <w:color w:val="auto"/>
              </w:rPr>
            </w:pPr>
            <w:r>
              <w:rPr>
                <w:rFonts w:ascii="Arial" w:cs="Arial" w:eastAsia="Arial" w:hAnsi="Arial"/>
                <w:sz w:val="18"/>
                <w:szCs w:val="18"/>
                <w:color w:val="auto"/>
              </w:rPr>
              <w:t>SUBSIDIARIES OF T. ROWE PRICE GROUP, INC.</w:t>
            </w:r>
          </w:p>
        </w:tc>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DECEMBER 31, 2010</w:t>
            </w:r>
          </w:p>
        </w:tc>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400" w:type="dxa"/>
            <w:vAlign w:val="bottom"/>
            <w:gridSpan w:val="2"/>
          </w:tcPr>
          <w:p>
            <w:pPr>
              <w:spacing w:after="0"/>
              <w:rPr>
                <w:sz w:val="20"/>
                <w:szCs w:val="20"/>
                <w:color w:val="auto"/>
              </w:rPr>
            </w:pPr>
            <w:r>
              <w:rPr>
                <w:rFonts w:ascii="Arial" w:cs="Arial" w:eastAsia="Arial" w:hAnsi="Arial"/>
                <w:sz w:val="14"/>
                <w:szCs w:val="14"/>
                <w:color w:val="auto"/>
              </w:rPr>
              <w:t>Subsidiary companies and place of incorporation</w:t>
            </w:r>
          </w:p>
        </w:tc>
        <w:tc>
          <w:tcPr>
            <w:tcW w:w="4020" w:type="dxa"/>
            <w:vAlign w:val="bottom"/>
            <w:gridSpan w:val="2"/>
          </w:tcPr>
          <w:p>
            <w:pPr>
              <w:jc w:val="right"/>
              <w:ind w:right="180"/>
              <w:spacing w:after="0"/>
              <w:rPr>
                <w:sz w:val="20"/>
                <w:szCs w:val="20"/>
                <w:color w:val="auto"/>
              </w:rPr>
            </w:pPr>
            <w:r>
              <w:rPr>
                <w:rFonts w:ascii="Arial" w:cs="Arial" w:eastAsia="Arial" w:hAnsi="Arial"/>
                <w:sz w:val="14"/>
                <w:szCs w:val="14"/>
                <w:color w:val="auto"/>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8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 Rowe Price Advisory Services, Inc. (Maryland)</w:t>
            </w:r>
          </w:p>
        </w:tc>
        <w:tc>
          <w:tcPr>
            <w:tcW w:w="4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 Rowe Price Associates, Inc. (Maryland)</w:t>
            </w:r>
          </w:p>
        </w:tc>
        <w:tc>
          <w:tcPr>
            <w:tcW w:w="4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 Rowe Price (Canada), Inc. (Maryland)</w:t>
            </w:r>
          </w:p>
        </w:tc>
        <w:tc>
          <w:tcPr>
            <w:tcW w:w="4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T. Rowe Price Investment Services, Inc. (Maryland)</w:t>
            </w:r>
          </w:p>
        </w:tc>
        <w:tc>
          <w:tcPr>
            <w:tcW w:w="4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 Rowe Price Retirement Plan Services, Inc. (Maryland)</w:t>
            </w:r>
          </w:p>
        </w:tc>
        <w:tc>
          <w:tcPr>
            <w:tcW w:w="4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T. Rowe Price Savings Bank (Maryland)</w:t>
            </w:r>
          </w:p>
        </w:tc>
        <w:tc>
          <w:tcPr>
            <w:tcW w:w="4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 Rowe Price Services, Inc. (Maryland)</w:t>
            </w:r>
          </w:p>
        </w:tc>
        <w:tc>
          <w:tcPr>
            <w:tcW w:w="4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TRP Suburban Second, Inc. (Maryland)</w:t>
            </w:r>
          </w:p>
        </w:tc>
        <w:tc>
          <w:tcPr>
            <w:tcW w:w="4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 Rowe Price International Ltd (United Kingdom)</w:t>
            </w:r>
          </w:p>
        </w:tc>
        <w:tc>
          <w:tcPr>
            <w:tcW w:w="4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T. Rowe Price Hong Kong Limited (Hong Kong)</w:t>
            </w:r>
          </w:p>
        </w:tc>
        <w:tc>
          <w:tcPr>
            <w:tcW w:w="4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 Rowe Price Singapore Private Ltd. (Singapore)</w:t>
            </w:r>
          </w:p>
        </w:tc>
        <w:tc>
          <w:tcPr>
            <w:tcW w:w="4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520" w:right="2240" w:hanging="5510"/>
        <w:spacing w:after="0" w:line="481" w:lineRule="auto"/>
        <w:rPr>
          <w:sz w:val="20"/>
          <w:szCs w:val="20"/>
          <w:color w:val="auto"/>
        </w:rPr>
      </w:pPr>
      <w:r>
        <w:rPr>
          <w:rFonts w:ascii="Arial" w:cs="Arial" w:eastAsia="Arial" w:hAnsi="Arial"/>
          <w:sz w:val="18"/>
          <w:szCs w:val="18"/>
          <w:color w:val="auto"/>
        </w:rPr>
        <w:t>Other subsidiaries have been omitted because, when considered in the aggregate, they do not constitute a significant subsidiary. - 49 -</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S-8 (No. 33-7012, No. 33-72568, No. 333-20333, No. 333-90967, No. 333-59714, No. 333-120882, No. 333-120883, No. 333-142092, and No. 333-167317) of T. Rowe Price Group, Inc. of our reports dated February 8, 2011, with respect to the consolidated balance sheets of T. Rowe Price Group, Inc. and subsidiaries as of December 31, 2010 and 2009, and the related consolidated statements of income, stockholders’ equity and cash flows for each of the years in the three-year period ended December 31, 2010, and the effectiveness of internal control over financial reporting as of December 31, 2010, which reports appear in the December 31, 2010 Annual Report on Form 10-K of T. Rowe Price Group, Inc.</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Exhibit 31(i).1 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1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2010 of T. Rowe Price Group, Inc.;</w:t>
      </w:r>
    </w:p>
    <w:p>
      <w:pPr>
        <w:spacing w:after="0" w:line="130" w:lineRule="exact"/>
        <w:rPr>
          <w:rFonts w:ascii="Arial" w:cs="Arial" w:eastAsia="Arial" w:hAnsi="Arial"/>
          <w:sz w:val="18"/>
          <w:szCs w:val="18"/>
          <w:color w:val="auto"/>
        </w:rPr>
      </w:pPr>
    </w:p>
    <w:p>
      <w:pPr>
        <w:ind w:left="340" w:right="6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2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60" w:right="160" w:firstLine="229"/>
        <w:spacing w:after="0" w:line="264" w:lineRule="auto"/>
        <w:tabs>
          <w:tab w:leader="none" w:pos="93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380" w:firstLine="229"/>
        <w:spacing w:after="0" w:line="264" w:lineRule="auto"/>
        <w:tabs>
          <w:tab w:leader="none" w:pos="9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720" w:firstLine="229"/>
        <w:spacing w:after="0" w:line="342" w:lineRule="auto"/>
        <w:tabs>
          <w:tab w:leader="none" w:pos="93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200" w:firstLine="229"/>
        <w:spacing w:after="0" w:line="264" w:lineRule="auto"/>
        <w:tabs>
          <w:tab w:leader="none" w:pos="9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20" w:hanging="252"/>
        <w:spacing w:after="0" w:line="308" w:lineRule="auto"/>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120" w:firstLine="229"/>
        <w:spacing w:after="0" w:line="277" w:lineRule="auto"/>
        <w:tabs>
          <w:tab w:leader="none" w:pos="93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229"/>
        <w:spacing w:after="0" w:line="277" w:lineRule="auto"/>
        <w:tabs>
          <w:tab w:leader="none" w:pos="9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8, 2011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 and President</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360"/>
          </w:cols>
          <w:pgMar w:left="240" w:top="125" w:right="29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Exhibit 31(i).2 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2010 of T. Rowe Price Group, Inc.;</w:t>
      </w:r>
    </w:p>
    <w:p>
      <w:pPr>
        <w:spacing w:after="0" w:line="130" w:lineRule="exact"/>
        <w:rPr>
          <w:rFonts w:ascii="Arial" w:cs="Arial" w:eastAsia="Arial" w:hAnsi="Arial"/>
          <w:sz w:val="18"/>
          <w:szCs w:val="18"/>
          <w:color w:val="auto"/>
        </w:rPr>
      </w:pPr>
    </w:p>
    <w:p>
      <w:pPr>
        <w:ind w:left="340" w:right="8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2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00" w:firstLine="218"/>
        <w:spacing w:after="0" w:line="264" w:lineRule="auto"/>
        <w:tabs>
          <w:tab w:leader="none" w:pos="117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00" w:right="160" w:firstLine="218"/>
        <w:spacing w:after="0" w:line="264" w:lineRule="auto"/>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00" w:right="520" w:firstLine="218"/>
        <w:spacing w:after="0" w:line="342" w:lineRule="auto"/>
        <w:tabs>
          <w:tab w:leader="none" w:pos="11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700" w:firstLine="218"/>
        <w:spacing w:after="0" w:line="264" w:lineRule="auto"/>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4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00" w:right="740" w:firstLine="218"/>
        <w:spacing w:after="0" w:line="308" w:lineRule="auto"/>
        <w:tabs>
          <w:tab w:leader="none" w:pos="117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700" w:right="420" w:firstLine="218"/>
        <w:spacing w:after="0" w:line="277" w:lineRule="auto"/>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8, 2011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Vice President and Chief Financial Officer</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380"/>
          </w:cols>
          <w:pgMar w:left="240" w:top="449" w:right="279" w:bottom="1440" w:gutter="0" w:footer="0" w:header="0"/>
        </w:sectPr>
      </w:pPr>
    </w:p>
    <w:bookmarkStart w:id="50" w:name="page51"/>
    <w:bookmarkEnd w:id="50"/>
    <w:p>
      <w:pPr>
        <w:spacing w:after="0"/>
        <w:tabs>
          <w:tab w:leader="none" w:pos="65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2010 of T. Rowe Price Group, Inc., that:</w:t>
      </w:r>
    </w:p>
    <w:p>
      <w:pPr>
        <w:spacing w:after="0" w:line="62"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Form 10-K Annual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00" w:firstLine="8"/>
        <w:spacing w:after="0" w:line="277" w:lineRule="auto"/>
        <w:tabs>
          <w:tab w:leader="none" w:pos="2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8, 2011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Vice President and Chief Financial Officer</w:t>
      </w:r>
    </w:p>
    <w:p>
      <w:pPr>
        <w:spacing w:after="0" w:line="3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- 53 -</w:t>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4"/>
    </w:lvl>
  </w:abstractNum>
  <w:abstractNum w:abstractNumId="10">
    <w:nsid w:val="109CF92E"/>
    <w:multiLevelType w:val="hybridMultilevel"/>
    <w:lvl w:ilvl="0">
      <w:lvlJc w:val="left"/>
      <w:lvlText w:val="%1"/>
      <w:numFmt w:val="decimal"/>
      <w:start w:val="23"/>
    </w:lvl>
  </w:abstractNum>
  <w:abstractNum w:abstractNumId="11">
    <w:nsid w:val="DED7263"/>
    <w:multiLevelType w:val="hybridMultilevel"/>
    <w:lvl w:ilvl="0">
      <w:lvlJc w:val="left"/>
      <w:lvlText w:val="%1"/>
      <w:numFmt w:val="decimal"/>
      <w:start w:val="32"/>
    </w:lvl>
  </w:abstractNum>
  <w:abstractNum w:abstractNumId="12">
    <w:nsid w:val="7FDCC233"/>
    <w:multiLevelType w:val="hybridMultilevel"/>
    <w:lvl w:ilvl="0">
      <w:lvlJc w:val="left"/>
      <w:lvlText w:val="%1"/>
      <w:numFmt w:val="decimal"/>
      <w:start w:val="10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2019-12-10T20:19:00Z</dcterms:created>
  <dcterms:modified xsi:type="dcterms:W3CDTF">2019-12-10T20:19:00Z</dcterms:modified>
</cp:coreProperties>
</file>