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697230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662940</wp:posOffset>
            </wp:positionV>
            <wp:extent cx="7054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31"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1"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 ROWE PRICE GROUP,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182" w:right="339" w:bottom="1440" w:gutter="0" w:footer="0" w:header="0"/>
        </w:sectPr>
      </w:pPr>
    </w:p>
    <w:p>
      <w:pPr>
        <w:spacing w:after="0" w:line="126"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1" w:lineRule="exact"/>
        <w:rPr>
          <w:sz w:val="24"/>
          <w:szCs w:val="24"/>
          <w:color w:val="auto"/>
        </w:rPr>
      </w:pPr>
    </w:p>
    <w:p>
      <w:pPr>
        <w:sectPr>
          <w:pgSz w:w="11900" w:h="16838" w:orient="portrait"/>
          <w:cols w:equalWidth="0" w:num="2">
            <w:col w:w="7220" w:space="720"/>
            <w:col w:w="3300"/>
          </w:cols>
          <w:pgMar w:left="320" w:top="1182" w:right="33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73" w:lineRule="exact"/>
        <w:rPr>
          <w:sz w:val="24"/>
          <w:szCs w:val="24"/>
          <w:color w:val="auto"/>
        </w:rPr>
      </w:pPr>
    </w:p>
    <w:p>
      <w:pPr>
        <w:sectPr>
          <w:pgSz w:w="11900" w:h="16838" w:orient="portrait"/>
          <w:cols w:equalWidth="0" w:num="2">
            <w:col w:w="6520" w:space="720"/>
            <w:col w:w="4000"/>
          </w:cols>
          <w:pgMar w:left="320" w:top="1182" w:right="339" w:bottom="1440" w:gutter="0" w:footer="0" w:header="0"/>
          <w:type w:val="continuous"/>
        </w:sectPr>
      </w:pPr>
    </w:p>
    <w:p>
      <w:pPr>
        <w:ind w:left="3560"/>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33"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193"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TROW</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72"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5" w:lineRule="exact"/>
        <w:rPr>
          <w:sz w:val="24"/>
          <w:szCs w:val="24"/>
          <w:color w:val="auto"/>
        </w:rPr>
      </w:pPr>
    </w:p>
    <w:p>
      <w:pPr>
        <w:ind w:right="480"/>
        <w:spacing w:after="0" w:line="19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36"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4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4960" w:type="dxa"/>
            <w:vAlign w:val="bottom"/>
          </w:tcPr>
          <w:p>
            <w:pPr>
              <w:spacing w:after="0"/>
              <w:rPr>
                <w:sz w:val="24"/>
                <w:szCs w:val="24"/>
                <w:color w:val="auto"/>
              </w:rPr>
            </w:pP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496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56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6" w:lineRule="exact"/>
        <w:rPr>
          <w:sz w:val="24"/>
          <w:szCs w:val="24"/>
          <w:color w:val="auto"/>
        </w:rPr>
      </w:pPr>
    </w:p>
    <w:p>
      <w:pPr>
        <w:jc w:val="both"/>
        <w:ind w:right="140"/>
        <w:spacing w:after="0" w:line="209"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30"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25" w:lineRule="exact"/>
        <w:rPr>
          <w:sz w:val="24"/>
          <w:szCs w:val="24"/>
          <w:color w:val="auto"/>
        </w:rPr>
      </w:pPr>
    </w:p>
    <w:p>
      <w:pPr>
        <w:ind w:right="3080"/>
        <w:spacing w:after="0" w:line="304" w:lineRule="auto"/>
        <w:rPr>
          <w:sz w:val="20"/>
          <w:szCs w:val="20"/>
          <w:color w:val="auto"/>
        </w:rPr>
      </w:pPr>
      <w:r>
        <w:rPr>
          <w:rFonts w:ascii="Arial" w:cs="Arial" w:eastAsia="Arial" w:hAnsi="Arial"/>
          <w:sz w:val="16"/>
          <w:szCs w:val="16"/>
          <w:color w:val="auto"/>
        </w:rPr>
        <w:t>The number of shares outstanding of the issuer’s common stock ($.20 par value), as of the latest practicable date, July 26, 2022, is 225,691,631.</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12/31/2021</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176"/>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Assets of consolidated T. Rowe Price investment products ($1,226.0 million at June 30, 2022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1,307.2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1,962.8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$1,761.5 million at December 31, 2021,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2,693.2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11,768.7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12,509.0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T. Rowe Price investment products ($34.4 million at June 30, 2022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$36.2 million at December 31, 2021,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Contingent consideration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2,255.3</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Common stock, $.20 par value—authorized 750,000,000; issued 225,715,000 shares at June 30,</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2022 and 229,175,000 at December 31, 2021</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8,083.6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8,964.2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9,022.7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right="5180"/>
        <w:spacing w:after="0" w:line="296"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2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6/30/2021</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1,496.7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3,158.8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3,475.0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allocation-based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3,756.1</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servicing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1,904.8</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1,851.3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Non-operating income (loss)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investments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non-operating income (loss)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2,097.3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1,607.5</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income (loss) attributable to redeemable</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right="3560"/>
        <w:spacing w:after="0" w:line="296"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shd w:val="clear" w:color="auto" w:fill="CCEEFF"/>
          </w:tcPr>
          <w:p>
            <w:pPr>
              <w:spacing w:after="0"/>
              <w:rPr>
                <w:sz w:val="17"/>
                <w:szCs w:val="17"/>
                <w:color w:val="auto"/>
              </w:rPr>
            </w:pPr>
          </w:p>
        </w:tc>
        <w:tc>
          <w:tcPr>
            <w:tcW w:w="2960" w:type="dxa"/>
            <w:vAlign w:val="bottom"/>
            <w:tcBorders>
              <w:bottom w:val="single" w:sz="8" w:color="auto"/>
            </w:tcBorders>
            <w:gridSpan w:val="2"/>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7"/>
                <w:szCs w:val="17"/>
                <w:color w:val="auto"/>
              </w:rPr>
            </w:pPr>
          </w:p>
        </w:tc>
        <w:tc>
          <w:tcPr>
            <w:tcW w:w="2760" w:type="dxa"/>
            <w:vAlign w:val="bottom"/>
            <w:tcBorders>
              <w:bottom w:val="single" w:sz="8" w:color="auto"/>
            </w:tcBorders>
            <w:gridSpan w:val="2"/>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194"/>
        </w:trPr>
        <w:tc>
          <w:tcPr>
            <w:tcW w:w="68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6/30/2022</w:t>
            </w:r>
          </w:p>
        </w:tc>
        <w:tc>
          <w:tcPr>
            <w:tcW w:w="1480" w:type="dxa"/>
            <w:vAlign w:val="bottom"/>
          </w:tcPr>
          <w:p>
            <w:pPr>
              <w:jc w:val="right"/>
              <w:ind w:right="328"/>
              <w:spacing w:after="0"/>
              <w:rPr>
                <w:sz w:val="20"/>
                <w:szCs w:val="20"/>
                <w:color w:val="auto"/>
              </w:rPr>
            </w:pPr>
            <w:r>
              <w:rPr>
                <w:rFonts w:ascii="Arial" w:cs="Arial" w:eastAsia="Arial" w:hAnsi="Arial"/>
                <w:sz w:val="14"/>
                <w:szCs w:val="14"/>
                <w:b w:val="1"/>
                <w:bCs w:val="1"/>
                <w:color w:val="auto"/>
              </w:rPr>
              <w:t>6/30/2021</w:t>
            </w:r>
          </w:p>
        </w:tc>
        <w:tc>
          <w:tcPr>
            <w:tcW w:w="120" w:type="dxa"/>
            <w:vAlign w:val="bottom"/>
          </w:tcPr>
          <w:p>
            <w:pPr>
              <w:spacing w:after="0"/>
              <w:rPr>
                <w:sz w:val="16"/>
                <w:szCs w:val="16"/>
                <w:color w:val="auto"/>
              </w:rPr>
            </w:pP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auto"/>
              </w:rPr>
              <w:t>6/30/2022</w:t>
            </w: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6/30/2021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0"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adjustments</w:t>
      </w:r>
    </w:p>
    <w:p>
      <w:pPr>
        <w:spacing w:after="0" w:line="63" w:lineRule="exact"/>
        <w:rPr>
          <w:sz w:val="20"/>
          <w:szCs w:val="20"/>
          <w:color w:val="auto"/>
        </w:rPr>
      </w:pPr>
    </w:p>
    <w:p>
      <w:pPr>
        <w:ind w:left="220" w:right="700"/>
        <w:spacing w:after="0" w:line="281" w:lineRule="auto"/>
        <w:rPr>
          <w:sz w:val="20"/>
          <w:szCs w:val="20"/>
          <w:color w:val="auto"/>
        </w:rPr>
      </w:pPr>
      <w:r>
        <w:rPr>
          <w:rFonts w:ascii="Arial" w:cs="Arial" w:eastAsia="Arial" w:hAnsi="Arial"/>
          <w:sz w:val="18"/>
          <w:szCs w:val="18"/>
          <w:color w:val="auto"/>
        </w:rPr>
        <w:t>Consolidated T. Rowe Price investment products -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220" w:right="260"/>
        <w:spacing w:after="0" w:line="281" w:lineRule="auto"/>
        <w:rPr>
          <w:sz w:val="20"/>
          <w:szCs w:val="20"/>
          <w:color w:val="auto"/>
        </w:rPr>
      </w:pPr>
      <w:r>
        <w:rPr>
          <w:rFonts w:ascii="Arial" w:cs="Arial" w:eastAsia="Arial" w:hAnsi="Arial"/>
          <w:sz w:val="18"/>
          <w:szCs w:val="18"/>
          <w:color w:val="auto"/>
        </w:rPr>
        <w:t>Reclassification gains recognized in non-operating income upon deconsolidation of certain T. Rowe Price investment products</w:t>
      </w:r>
    </w:p>
    <w:p>
      <w:pPr>
        <w:spacing w:after="0" w:line="1" w:lineRule="exact"/>
        <w:rPr>
          <w:sz w:val="20"/>
          <w:szCs w:val="20"/>
          <w:color w:val="auto"/>
        </w:rPr>
      </w:pPr>
    </w:p>
    <w:p>
      <w:pPr>
        <w:ind w:left="220" w:right="380"/>
        <w:spacing w:after="0" w:line="281" w:lineRule="auto"/>
        <w:rPr>
          <w:sz w:val="20"/>
          <w:szCs w:val="20"/>
          <w:color w:val="auto"/>
        </w:rPr>
      </w:pPr>
      <w:r>
        <w:rPr>
          <w:rFonts w:ascii="Arial" w:cs="Arial" w:eastAsia="Arial" w:hAnsi="Arial"/>
          <w:sz w:val="18"/>
          <w:szCs w:val="18"/>
          <w:color w:val="auto"/>
        </w:rPr>
        <w:t>Total currency translation adjustments of consolidated T. Rowe Price investment products -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Equity method investments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deferred tax (expense) benefits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140" w:right="480"/>
        <w:spacing w:after="0" w:line="281" w:lineRule="auto"/>
        <w:rPr>
          <w:sz w:val="20"/>
          <w:szCs w:val="20"/>
          <w:color w:val="auto"/>
        </w:rPr>
      </w:pPr>
      <w:r>
        <w:rPr>
          <w:rFonts w:ascii="Arial" w:cs="Arial" w:eastAsia="Arial" w:hAnsi="Arial"/>
          <w:sz w:val="18"/>
          <w:szCs w:val="18"/>
          <w:color w:val="auto"/>
        </w:rPr>
        <w:t>Less: comprehensive income (loss) attributable to redeemable non-controlling interests</w:t>
      </w:r>
    </w:p>
    <w:p>
      <w:pPr>
        <w:spacing w:after="0" w:line="1"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8"/>
          <w:szCs w:val="18"/>
          <w:color w:val="auto"/>
        </w:rPr>
        <w:t>Total comprehensive income attributable to T. Rowe Price Group</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tabs>
          <w:tab w:leader="none" w:pos="640" w:val="left"/>
          <w:tab w:leader="none" w:pos="1520" w:val="left"/>
          <w:tab w:leader="none" w:pos="2180" w:val="left"/>
          <w:tab w:leader="none" w:pos="2940" w:val="left"/>
          <w:tab w:leader="none" w:pos="3600" w:val="left"/>
          <w:tab w:leader="none" w:pos="4240" w:val="left"/>
        </w:tabs>
        <w:rPr>
          <w:sz w:val="20"/>
          <w:szCs w:val="20"/>
          <w:color w:val="auto"/>
        </w:rPr>
      </w:pPr>
      <w:r>
        <w:rPr>
          <w:rFonts w:ascii="Arial" w:cs="Arial" w:eastAsia="Arial" w:hAnsi="Arial"/>
          <w:sz w:val="18"/>
          <w:szCs w:val="18"/>
          <w:color w:val="auto"/>
        </w:rPr>
        <w:t>287.8</w:t>
        <w:tab/>
        <w:t>$</w:t>
      </w:r>
      <w:r>
        <w:rPr>
          <w:sz w:val="20"/>
          <w:szCs w:val="20"/>
          <w:color w:val="auto"/>
        </w:rPr>
        <w:tab/>
      </w:r>
      <w:r>
        <w:rPr>
          <w:rFonts w:ascii="Arial" w:cs="Arial" w:eastAsia="Arial" w:hAnsi="Arial"/>
          <w:sz w:val="18"/>
          <w:szCs w:val="18"/>
          <w:color w:val="auto"/>
        </w:rPr>
        <w:t>842.7</w:t>
        <w:tab/>
        <w:t>$</w:t>
      </w:r>
      <w:r>
        <w:rPr>
          <w:sz w:val="20"/>
          <w:szCs w:val="20"/>
          <w:color w:val="auto"/>
        </w:rPr>
        <w:tab/>
      </w:r>
      <w:r>
        <w:rPr>
          <w:rFonts w:ascii="Arial" w:cs="Arial" w:eastAsia="Arial" w:hAnsi="Arial"/>
          <w:sz w:val="18"/>
          <w:szCs w:val="18"/>
          <w:color w:val="auto"/>
        </w:rPr>
        <w:t>802.2</w:t>
        <w:tab/>
        <w:t>$</w:t>
      </w:r>
      <w:r>
        <w:rPr>
          <w:sz w:val="20"/>
          <w:szCs w:val="20"/>
          <w:color w:val="auto"/>
        </w:rPr>
        <w:tab/>
      </w:r>
      <w:r>
        <w:rPr>
          <w:rFonts w:ascii="Arial" w:cs="Arial" w:eastAsia="Arial" w:hAnsi="Arial"/>
          <w:sz w:val="17"/>
          <w:szCs w:val="17"/>
          <w:color w:val="auto"/>
        </w:rPr>
        <w:t>1,607.5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17780</wp:posOffset>
            </wp:positionV>
            <wp:extent cx="3711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(26.6)</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482"/>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7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(31.9)</w:t>
            </w:r>
          </w:p>
        </w:tc>
        <w:tc>
          <w:tcPr>
            <w:tcW w:w="5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6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5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4"/>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(35.0)</w:t>
            </w: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66"/>
        </w:trPr>
        <w:tc>
          <w:tcPr>
            <w:tcW w:w="64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5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(31.6)</w:t>
            </w: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416"/>
        </w:trPr>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256.2</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1,593.8</w:t>
            </w:r>
          </w:p>
        </w:tc>
      </w:tr>
      <w:tr>
        <w:trPr>
          <w:trHeight w:val="482"/>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(67.5)</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23"/>
        </w:trPr>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323.7</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1,559.4</w:t>
            </w:r>
          </w:p>
        </w:tc>
      </w:tr>
      <w:tr>
        <w:trPr>
          <w:trHeight w:val="20"/>
        </w:trPr>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-33655</wp:posOffset>
            </wp:positionV>
            <wp:extent cx="9086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-7620</wp:posOffset>
            </wp:positionV>
            <wp:extent cx="9086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-187960</wp:posOffset>
            </wp:positionV>
            <wp:extent cx="9086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-942340</wp:posOffset>
            </wp:positionV>
            <wp:extent cx="9086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-1285240</wp:posOffset>
            </wp:positionV>
            <wp:extent cx="908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-1765300</wp:posOffset>
            </wp:positionV>
            <wp:extent cx="9086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4940"/>
          </w:cols>
          <w:pgMar w:left="320" w:top="93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ind w:right="4700"/>
        <w:spacing w:after="0" w:line="296"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6/30/2021</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802.2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1,607.5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and amortization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acquisition-related assets and retention arrangements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Fair value remeasurement of contingent consideration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(gains) losses recognized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Net redemptions in T. Rowe Price investment products used to economically hedge supplemental</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savings plan liability</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1,802.0</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Dispositions of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of T. Rowe Price investment products on deconsolidation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stockholders of T. Rowe Price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distributions to non-controlling interests in consolidated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subscriptions (redemptions) received from redeemable non-controlling interest holders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$101.1 million at December 31, 2021, and</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$104.8 million at December 31, 2020, held by consolidated T. Rowe Price investment products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8240" w:type="dxa"/>
            <w:vAlign w:val="bottom"/>
          </w:tcPr>
          <w:p>
            <w:pPr>
              <w:ind w:left="20"/>
              <w:spacing w:after="0" w:line="156" w:lineRule="exact"/>
              <w:rPr>
                <w:sz w:val="20"/>
                <w:szCs w:val="20"/>
                <w:color w:val="auto"/>
              </w:rPr>
            </w:pPr>
            <w:r>
              <w:rPr>
                <w:rFonts w:ascii="Arial" w:cs="Arial" w:eastAsia="Arial" w:hAnsi="Arial"/>
                <w:sz w:val="18"/>
                <w:szCs w:val="18"/>
                <w:color w:val="auto"/>
              </w:rPr>
              <w:t>Cash and cash equivalents at end of period, including $71.2 million at June 30, 2022, and $56.1 million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2,187.2</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3,571.0</w:t>
            </w:r>
          </w:p>
        </w:tc>
        <w:tc>
          <w:tcPr>
            <w:tcW w:w="0" w:type="dxa"/>
            <w:vAlign w:val="bottom"/>
          </w:tcPr>
          <w:p>
            <w:pPr>
              <w:spacing w:after="0"/>
              <w:rPr>
                <w:sz w:val="1"/>
                <w:szCs w:val="1"/>
                <w:color w:val="auto"/>
              </w:rPr>
            </w:pPr>
          </w:p>
        </w:tc>
      </w:tr>
      <w:tr>
        <w:trPr>
          <w:trHeight w:val="221"/>
        </w:trPr>
        <w:tc>
          <w:tcPr>
            <w:tcW w:w="8240" w:type="dxa"/>
            <w:vAlign w:val="bottom"/>
          </w:tcPr>
          <w:p>
            <w:pPr>
              <w:ind w:left="20"/>
              <w:spacing w:after="0"/>
              <w:rPr>
                <w:sz w:val="20"/>
                <w:szCs w:val="20"/>
                <w:color w:val="auto"/>
              </w:rPr>
            </w:pPr>
            <w:r>
              <w:rPr>
                <w:rFonts w:ascii="Arial" w:cs="Arial" w:eastAsia="Arial" w:hAnsi="Arial"/>
                <w:sz w:val="18"/>
                <w:szCs w:val="18"/>
                <w:color w:val="auto"/>
              </w:rPr>
              <w:t>at June 30, 2021, held by consolidated T. Rowe Price investment products</w:t>
            </w: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right="3620"/>
        <w:spacing w:after="0" w:line="296"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gridSpan w:val="14"/>
            <w:shd w:val="clear" w:color="auto" w:fill="CCEEFF"/>
          </w:tcPr>
          <w:p>
            <w:pPr>
              <w:jc w:val="center"/>
              <w:ind w:right="60"/>
              <w:spacing w:after="0"/>
              <w:rPr>
                <w:sz w:val="20"/>
                <w:szCs w:val="20"/>
                <w:color w:val="auto"/>
              </w:rPr>
            </w:pPr>
            <w:r>
              <w:rPr>
                <w:rFonts w:ascii="Arial" w:cs="Arial" w:eastAsia="Arial" w:hAnsi="Arial"/>
                <w:sz w:val="13"/>
                <w:szCs w:val="13"/>
                <w:b w:val="1"/>
                <w:bCs w:val="1"/>
                <w:color w:val="auto"/>
                <w:w w:val="97"/>
              </w:rPr>
              <w:t>Three months ended 6/30/2022</w:t>
            </w: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5"/>
          </w:tcPr>
          <w:p>
            <w:pPr>
              <w:jc w:val="center"/>
              <w:ind w:right="400"/>
              <w:spacing w:after="0" w:line="115" w:lineRule="exact"/>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6"/>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6"/>
          </w:tcPr>
          <w:p>
            <w:pPr>
              <w:jc w:val="center"/>
              <w:ind w:right="80"/>
              <w:spacing w:after="0" w:line="135" w:lineRule="exact"/>
              <w:rPr>
                <w:sz w:val="20"/>
                <w:szCs w:val="20"/>
                <w:color w:val="auto"/>
              </w:rPr>
            </w:pPr>
            <w:r>
              <w:rPr>
                <w:rFonts w:ascii="Arial" w:cs="Arial" w:eastAsia="Arial" w:hAnsi="Arial"/>
                <w:sz w:val="13"/>
                <w:szCs w:val="13"/>
                <w:b w:val="1"/>
                <w:bCs w:val="1"/>
                <w:color w:val="auto"/>
                <w:w w:val="99"/>
              </w:rPr>
              <w:t>equity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5"/>
          </w:tcPr>
          <w:p>
            <w:pPr>
              <w:jc w:val="center"/>
              <w:ind w:right="4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Common</w:t>
            </w:r>
          </w:p>
        </w:tc>
        <w:tc>
          <w:tcPr>
            <w:tcW w:w="6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capital 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4"/>
              </w:rPr>
              <w:t>Retained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6"/>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5"/>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20" w:type="dxa"/>
            <w:vAlign w:val="bottom"/>
            <w:gridSpan w:val="3"/>
            <w:vMerge w:val="continue"/>
          </w:tcPr>
          <w:p>
            <w:pPr>
              <w:spacing w:after="0"/>
              <w:rPr>
                <w:sz w:val="10"/>
                <w:szCs w:val="10"/>
                <w:color w:val="auto"/>
              </w:rPr>
            </w:pPr>
          </w:p>
        </w:tc>
        <w:tc>
          <w:tcPr>
            <w:tcW w:w="6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excess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2"/>
              </w:rPr>
              <w:t>AOCI</w:t>
            </w:r>
            <w:r>
              <w:rPr>
                <w:rFonts w:ascii="Arial" w:cs="Arial" w:eastAsia="Arial" w:hAnsi="Arial"/>
                <w:sz w:val="16"/>
                <w:szCs w:val="16"/>
                <w:b w:val="1"/>
                <w:bCs w:val="1"/>
                <w:color w:val="auto"/>
                <w:w w:val="92"/>
                <w:vertAlign w:val="superscript"/>
              </w:rPr>
              <w:t>(1)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6"/>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T. Rowe Price</w:t>
            </w:r>
          </w:p>
        </w:tc>
        <w:tc>
          <w:tcPr>
            <w:tcW w:w="820" w:type="dxa"/>
            <w:vAlign w:val="bottom"/>
            <w:gridSpan w:val="7"/>
          </w:tcPr>
          <w:p>
            <w:pPr>
              <w:jc w:val="center"/>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5"/>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8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89"/>
        </w:trPr>
        <w:tc>
          <w:tcPr>
            <w:tcW w:w="37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9"/>
              </w:rPr>
              <w:t>stock</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par value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5"/>
              </w:rPr>
              <w:t>earnings</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Group, Inc.</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6"/>
              </w:rPr>
              <w:t>entities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equity</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March 31, 2022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668.2</w:t>
            </w:r>
          </w:p>
        </w:tc>
        <w:tc>
          <w:tcPr>
            <w:tcW w:w="780" w:type="dxa"/>
            <w:vAlign w:val="bottom"/>
            <w:gridSpan w:val="7"/>
            <w:shd w:val="clear" w:color="auto" w:fill="CCEEFF"/>
          </w:tcPr>
          <w:p>
            <w:pPr>
              <w:jc w:val="right"/>
              <w:ind w:right="10"/>
              <w:spacing w:after="0"/>
              <w:rPr>
                <w:sz w:val="20"/>
                <w:szCs w:val="20"/>
                <w:color w:val="auto"/>
              </w:rPr>
            </w:pPr>
            <w:r>
              <w:rPr>
                <w:rFonts w:ascii="Arial" w:cs="Arial" w:eastAsia="Arial" w:hAnsi="Arial"/>
                <w:sz w:val="14"/>
                <w:szCs w:val="14"/>
                <w:color w:val="auto"/>
              </w:rPr>
              <w:t>$ 8,372.2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380" w:type="dxa"/>
            <w:vAlign w:val="bottom"/>
            <w:gridSpan w:val="3"/>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9,054.4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272.2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9,326.6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790.4</w:t>
            </w: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4"/>
          </w:tcPr>
          <w:p>
            <w:pPr>
              <w:jc w:val="right"/>
              <w:ind w:right="10"/>
              <w:spacing w:after="0"/>
              <w:rPr>
                <w:sz w:val="20"/>
                <w:szCs w:val="20"/>
                <w:color w:val="auto"/>
              </w:rPr>
            </w:pPr>
            <w:r>
              <w:rPr>
                <w:rFonts w:ascii="Arial" w:cs="Arial" w:eastAsia="Arial" w:hAnsi="Arial"/>
                <w:sz w:val="14"/>
                <w:szCs w:val="14"/>
                <w:color w:val="auto"/>
              </w:rPr>
              <w:t>339.6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339.6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288.7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Arial" w:cs="Arial" w:eastAsia="Arial" w:hAnsi="Arial"/>
                <w:sz w:val="14"/>
                <w:szCs w:val="14"/>
                <w:color w:val="auto"/>
              </w:rPr>
              <w:t>Dividends declared ($1.20 per share)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color w:val="auto"/>
                <w:w w:val="99"/>
              </w:rPr>
              <w:t>(277.2)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(277.2)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(277.2)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5"/>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9"/>
              </w:rPr>
              <w:t>(122.6)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(199.4)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Net distributions to non-controlling interests in</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4"/>
            <w:vMerge w:val="restart"/>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Arial" w:cs="Arial" w:eastAsia="Arial" w:hAnsi="Arial"/>
                <w:sz w:val="14"/>
                <w:szCs w:val="14"/>
                <w:color w:val="auto"/>
              </w:rPr>
              <w:t>consolidated entities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redemptions from T. Rowe Price investment products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8"/>
        </w:trPr>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Net deconsolidations of T. Rowe Price investment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(155.2)</w:t>
            </w:r>
          </w:p>
        </w:tc>
        <w:tc>
          <w:tcPr>
            <w:tcW w:w="0" w:type="dxa"/>
            <w:vAlign w:val="bottom"/>
          </w:tcPr>
          <w:p>
            <w:pPr>
              <w:spacing w:after="0"/>
              <w:rPr>
                <w:sz w:val="1"/>
                <w:szCs w:val="1"/>
                <w:color w:val="auto"/>
              </w:rPr>
            </w:pPr>
          </w:p>
        </w:tc>
      </w:tr>
      <w:tr>
        <w:trPr>
          <w:trHeight w:val="18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products</w:t>
            </w: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June 30, 2022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780" w:type="dxa"/>
            <w:vAlign w:val="bottom"/>
            <w:gridSpan w:val="7"/>
            <w:shd w:val="clear" w:color="auto" w:fill="CCEEFF"/>
          </w:tcPr>
          <w:p>
            <w:pPr>
              <w:jc w:val="right"/>
              <w:ind w:right="10"/>
              <w:spacing w:after="0"/>
              <w:rPr>
                <w:sz w:val="20"/>
                <w:szCs w:val="20"/>
                <w:color w:val="auto"/>
              </w:rPr>
            </w:pPr>
            <w:r>
              <w:rPr>
                <w:rFonts w:ascii="Arial" w:cs="Arial" w:eastAsia="Arial" w:hAnsi="Arial"/>
                <w:sz w:val="14"/>
                <w:szCs w:val="14"/>
                <w:color w:val="auto"/>
              </w:rPr>
              <w:t>$ 8,311.9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380" w:type="dxa"/>
            <w:vAlign w:val="bottom"/>
            <w:gridSpan w:val="3"/>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8,964.2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9,173.0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564.6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4"/>
          </w:tcPr>
          <w:p>
            <w:pPr>
              <w:spacing w:after="0"/>
              <w:rPr>
                <w:sz w:val="24"/>
                <w:szCs w:val="24"/>
                <w:color w:val="auto"/>
              </w:rPr>
            </w:pPr>
          </w:p>
        </w:tc>
        <w:tc>
          <w:tcPr>
            <w:tcW w:w="80" w:type="dxa"/>
            <w:vAlign w:val="bottom"/>
            <w:gridSpan w:val="2"/>
          </w:tcPr>
          <w:p>
            <w:pPr>
              <w:spacing w:after="0"/>
              <w:rPr>
                <w:sz w:val="24"/>
                <w:szCs w:val="24"/>
                <w:color w:val="auto"/>
              </w:rPr>
            </w:pPr>
          </w:p>
        </w:tc>
        <w:tc>
          <w:tcPr>
            <w:tcW w:w="5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gridSpan w:val="16"/>
            <w:shd w:val="clear" w:color="auto" w:fill="CCEEFF"/>
          </w:tcPr>
          <w:p>
            <w:pPr>
              <w:spacing w:after="0"/>
              <w:rPr>
                <w:sz w:val="20"/>
                <w:szCs w:val="20"/>
                <w:color w:val="auto"/>
              </w:rPr>
            </w:pPr>
            <w:r>
              <w:rPr>
                <w:rFonts w:ascii="Arial" w:cs="Arial" w:eastAsia="Arial" w:hAnsi="Arial"/>
                <w:sz w:val="13"/>
                <w:szCs w:val="13"/>
                <w:b w:val="1"/>
                <w:bCs w:val="1"/>
                <w:color w:val="auto"/>
              </w:rPr>
              <w:t>Three months ended 6/30/2021</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9"/>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5"/>
          </w:tcPr>
          <w:p>
            <w:pPr>
              <w:jc w:val="center"/>
              <w:spacing w:after="0" w:line="126" w:lineRule="exact"/>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w w:val="96"/>
              </w:rPr>
              <w:t>Total</w:t>
            </w:r>
          </w:p>
        </w:tc>
        <w:tc>
          <w:tcPr>
            <w:tcW w:w="820" w:type="dxa"/>
            <w:vAlign w:val="bottom"/>
            <w:gridSpan w:val="4"/>
          </w:tcPr>
          <w:p>
            <w:pPr>
              <w:jc w:val="center"/>
              <w:spacing w:after="0" w:line="126" w:lineRule="exact"/>
              <w:rPr>
                <w:sz w:val="20"/>
                <w:szCs w:val="20"/>
                <w:color w:val="auto"/>
              </w:rPr>
            </w:pPr>
            <w:r>
              <w:rPr>
                <w:rFonts w:ascii="Arial" w:cs="Arial" w:eastAsia="Arial" w:hAnsi="Arial"/>
                <w:sz w:val="13"/>
                <w:szCs w:val="13"/>
                <w:b w:val="1"/>
                <w:bCs w:val="1"/>
                <w:color w:val="auto"/>
                <w:w w:val="96"/>
              </w:rPr>
              <w:t>Redeemable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10"/>
                <w:szCs w:val="10"/>
                <w:color w:val="auto"/>
              </w:rPr>
            </w:pPr>
          </w:p>
        </w:tc>
        <w:tc>
          <w:tcPr>
            <w:tcW w:w="700" w:type="dxa"/>
            <w:vAlign w:val="bottom"/>
            <w:gridSpan w:val="5"/>
          </w:tcPr>
          <w:p>
            <w:pPr>
              <w:jc w:val="center"/>
              <w:spacing w:after="0" w:line="126" w:lineRule="exact"/>
              <w:rPr>
                <w:sz w:val="20"/>
                <w:szCs w:val="20"/>
                <w:color w:val="auto"/>
              </w:rPr>
            </w:pPr>
            <w:r>
              <w:rPr>
                <w:rFonts w:ascii="Arial" w:cs="Arial" w:eastAsia="Arial" w:hAnsi="Arial"/>
                <w:sz w:val="13"/>
                <w:szCs w:val="13"/>
                <w:b w:val="1"/>
                <w:bCs w:val="1"/>
                <w:color w:val="auto"/>
                <w:w w:val="95"/>
              </w:rPr>
              <w:t>capital 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420"/>
              <w:spacing w:after="0" w:line="126"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shares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7"/>
              </w:rPr>
              <w:t>excess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8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940" w:type="dxa"/>
            <w:vAlign w:val="bottom"/>
            <w:gridSpan w:val="5"/>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60" w:type="dxa"/>
            <w:vAlign w:val="bottom"/>
          </w:tcPr>
          <w:p>
            <w:pPr>
              <w:spacing w:after="0"/>
              <w:rPr>
                <w:sz w:val="10"/>
                <w:szCs w:val="10"/>
                <w:color w:val="auto"/>
              </w:rPr>
            </w:pPr>
          </w:p>
        </w:tc>
        <w:tc>
          <w:tcPr>
            <w:tcW w:w="920" w:type="dxa"/>
            <w:vAlign w:val="bottom"/>
            <w:gridSpan w:val="4"/>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w w:val="99"/>
              </w:rPr>
              <w:t>stock</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4"/>
              </w:rPr>
              <w:t>par value</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earnings</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w w:val="93"/>
              </w:rPr>
              <w:t>equity</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3"/>
                <w:szCs w:val="13"/>
                <w:b w:val="1"/>
                <w:bCs w:val="1"/>
                <w:color w:val="auto"/>
                <w:w w:val="95"/>
              </w:rPr>
              <w:t>interests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March 31, 2021</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226,948</w:t>
            </w:r>
          </w:p>
        </w:tc>
        <w:tc>
          <w:tcPr>
            <w:tcW w:w="240" w:type="dxa"/>
            <w:vAlign w:val="bottom"/>
            <w:gridSpan w:val="3"/>
            <w:shd w:val="clear" w:color="auto" w:fill="CCEEFF"/>
          </w:tcPr>
          <w:p>
            <w:pPr>
              <w:jc w:val="center"/>
              <w:ind w:left="48"/>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360" w:type="dxa"/>
            <w:vAlign w:val="bottom"/>
            <w:gridSpan w:val="2"/>
            <w:shd w:val="clear" w:color="auto" w:fill="CCEEFF"/>
          </w:tcPr>
          <w:p>
            <w:pPr>
              <w:jc w:val="center"/>
              <w:ind w:right="11"/>
              <w:spacing w:after="0"/>
              <w:rPr>
                <w:sz w:val="20"/>
                <w:szCs w:val="20"/>
                <w:color w:val="auto"/>
              </w:rPr>
            </w:pPr>
            <w:r>
              <w:rPr>
                <w:rFonts w:ascii="Arial" w:cs="Arial" w:eastAsia="Arial" w:hAnsi="Arial"/>
                <w:sz w:val="14"/>
                <w:szCs w:val="14"/>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$ 7,338.7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8,008.2</w:t>
            </w: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spacing w:after="0"/>
              <w:rPr>
                <w:sz w:val="20"/>
                <w:szCs w:val="20"/>
                <w:color w:val="auto"/>
              </w:rPr>
            </w:pPr>
            <w:r>
              <w:rPr>
                <w:rFonts w:ascii="Arial" w:cs="Arial" w:eastAsia="Arial" w:hAnsi="Arial"/>
                <w:sz w:val="14"/>
                <w:szCs w:val="14"/>
                <w:color w:val="auto"/>
              </w:rPr>
              <w:t>815.7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815.7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Dividends declared ($1.08 per share)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6"/>
          </w:tcPr>
          <w:p>
            <w:pPr>
              <w:jc w:val="right"/>
              <w:spacing w:after="0"/>
              <w:rPr>
                <w:sz w:val="20"/>
                <w:szCs w:val="20"/>
                <w:color w:val="auto"/>
              </w:rPr>
            </w:pPr>
            <w:r>
              <w:rPr>
                <w:rFonts w:ascii="Arial" w:cs="Arial" w:eastAsia="Arial" w:hAnsi="Arial"/>
                <w:sz w:val="14"/>
                <w:szCs w:val="14"/>
                <w:color w:val="auto"/>
              </w:rPr>
              <w:t>(251.8)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Special cash dividend declared ($3.00 per share)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w w:val="94"/>
              </w:rPr>
              <w:t>190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760" w:type="dxa"/>
            <w:vAlign w:val="bottom"/>
            <w:gridSpan w:val="6"/>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8"/>
              </w:rPr>
              <w:t>(41.3)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(274.7)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20" w:type="dxa"/>
            <w:vAlign w:val="bottom"/>
          </w:tcPr>
          <w:p>
            <w:pPr>
              <w:ind w:left="20"/>
              <w:spacing w:after="0"/>
              <w:rPr>
                <w:sz w:val="20"/>
                <w:szCs w:val="20"/>
                <w:color w:val="auto"/>
              </w:rPr>
            </w:pPr>
            <w:r>
              <w:rPr>
                <w:rFonts w:ascii="Arial" w:cs="Arial" w:eastAsia="Arial" w:hAnsi="Arial"/>
                <w:sz w:val="14"/>
                <w:szCs w:val="14"/>
                <w:color w:val="auto"/>
              </w:rPr>
              <w:t>Balances at June 30, 2021</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226,925</w:t>
            </w:r>
          </w:p>
        </w:tc>
        <w:tc>
          <w:tcPr>
            <w:tcW w:w="240" w:type="dxa"/>
            <w:vAlign w:val="bottom"/>
            <w:gridSpan w:val="3"/>
          </w:tcPr>
          <w:p>
            <w:pPr>
              <w:jc w:val="center"/>
              <w:ind w:left="48"/>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45.4</w:t>
            </w:r>
          </w:p>
        </w:tc>
        <w:tc>
          <w:tcPr>
            <w:tcW w:w="360" w:type="dxa"/>
            <w:vAlign w:val="bottom"/>
            <w:gridSpan w:val="2"/>
          </w:tcPr>
          <w:p>
            <w:pPr>
              <w:jc w:val="center"/>
              <w:ind w:right="11"/>
              <w:spacing w:after="0"/>
              <w:rPr>
                <w:sz w:val="20"/>
                <w:szCs w:val="20"/>
                <w:color w:val="auto"/>
              </w:rPr>
            </w:pPr>
            <w:r>
              <w:rPr>
                <w:rFonts w:ascii="Arial" w:cs="Arial" w:eastAsia="Arial" w:hAnsi="Arial"/>
                <w:sz w:val="14"/>
                <w:szCs w:val="14"/>
                <w:color w:val="auto"/>
              </w:rPr>
              <w:t>$</w:t>
            </w:r>
          </w:p>
        </w:tc>
        <w:tc>
          <w:tcPr>
            <w:tcW w:w="420" w:type="dxa"/>
            <w:vAlign w:val="bottom"/>
            <w:gridSpan w:val="4"/>
          </w:tcPr>
          <w:p>
            <w:pPr>
              <w:jc w:val="right"/>
              <w:spacing w:after="0"/>
              <w:rPr>
                <w:sz w:val="20"/>
                <w:szCs w:val="20"/>
                <w:color w:val="auto"/>
              </w:rPr>
            </w:pPr>
            <w:r>
              <w:rPr>
                <w:rFonts w:ascii="Arial" w:cs="Arial" w:eastAsia="Arial" w:hAnsi="Arial"/>
                <w:sz w:val="14"/>
                <w:szCs w:val="14"/>
                <w:color w:val="auto"/>
              </w:rPr>
              <w:t>673.7</w:t>
            </w:r>
          </w:p>
        </w:tc>
        <w:tc>
          <w:tcPr>
            <w:tcW w:w="700" w:type="dxa"/>
            <w:vAlign w:val="bottom"/>
            <w:gridSpan w:val="5"/>
          </w:tcPr>
          <w:p>
            <w:pPr>
              <w:jc w:val="right"/>
              <w:spacing w:after="0"/>
              <w:rPr>
                <w:sz w:val="20"/>
                <w:szCs w:val="20"/>
                <w:color w:val="auto"/>
              </w:rPr>
            </w:pPr>
            <w:r>
              <w:rPr>
                <w:rFonts w:ascii="Arial" w:cs="Arial" w:eastAsia="Arial" w:hAnsi="Arial"/>
                <w:sz w:val="14"/>
                <w:szCs w:val="14"/>
                <w:color w:val="auto"/>
              </w:rPr>
              <w:t>$ 7,202.6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7,893.0</w:t>
            </w: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880.4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5"/>
        </w:trPr>
        <w:tc>
          <w:tcPr>
            <w:tcW w:w="29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540" w:type="dxa"/>
            <w:vAlign w:val="bottom"/>
            <w:tcBorders>
              <w:bottom w:val="single" w:sz="8" w:color="auto"/>
            </w:tcBorders>
            <w:gridSpan w:val="8"/>
            <w:shd w:val="clear" w:color="auto" w:fill="CCEEFF"/>
          </w:tcPr>
          <w:p>
            <w:pPr>
              <w:ind w:left="520"/>
              <w:spacing w:after="0"/>
              <w:rPr>
                <w:sz w:val="20"/>
                <w:szCs w:val="20"/>
                <w:color w:val="auto"/>
              </w:rPr>
            </w:pPr>
            <w:r>
              <w:rPr>
                <w:rFonts w:ascii="Arial" w:cs="Arial" w:eastAsia="Arial" w:hAnsi="Arial"/>
                <w:sz w:val="13"/>
                <w:szCs w:val="13"/>
                <w:b w:val="1"/>
                <w:bCs w:val="1"/>
                <w:color w:val="auto"/>
              </w:rPr>
              <w:t>Six months ended 6/30/2022</w:t>
            </w: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9"/>
              </w:rPr>
              <w:t>Redeemable</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equity</w:t>
            </w:r>
          </w:p>
        </w:tc>
        <w:tc>
          <w:tcPr>
            <w:tcW w:w="9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60" w:type="dxa"/>
            <w:vAlign w:val="bottom"/>
          </w:tcPr>
          <w:p>
            <w:pPr>
              <w:spacing w:after="0"/>
              <w:rPr>
                <w:sz w:val="11"/>
                <w:szCs w:val="11"/>
                <w:color w:val="auto"/>
              </w:rPr>
            </w:pPr>
          </w:p>
        </w:tc>
        <w:tc>
          <w:tcPr>
            <w:tcW w:w="700" w:type="dxa"/>
            <w:vAlign w:val="bottom"/>
            <w:vMerge w:val="restart"/>
          </w:tcPr>
          <w:p>
            <w:pPr>
              <w:jc w:val="center"/>
              <w:ind w:right="89"/>
              <w:spacing w:after="0"/>
              <w:rPr>
                <w:sz w:val="20"/>
                <w:szCs w:val="20"/>
                <w:color w:val="auto"/>
              </w:rPr>
            </w:pPr>
            <w:r>
              <w:rPr>
                <w:rFonts w:ascii="Arial" w:cs="Arial" w:eastAsia="Arial" w:hAnsi="Arial"/>
                <w:sz w:val="13"/>
                <w:szCs w:val="13"/>
                <w:b w:val="1"/>
                <w:bCs w:val="1"/>
                <w:color w:val="auto"/>
                <w:w w:val="96"/>
              </w:rPr>
              <w:t>Total</w:t>
            </w:r>
          </w:p>
        </w:tc>
        <w:tc>
          <w:tcPr>
            <w:tcW w:w="3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attributable to</w:t>
            </w:r>
          </w:p>
        </w:tc>
        <w:tc>
          <w:tcPr>
            <w:tcW w:w="9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excess of</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9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T. Rowe Price</w:t>
            </w:r>
          </w:p>
        </w:tc>
        <w:tc>
          <w:tcPr>
            <w:tcW w:w="9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consolidated</w:t>
            </w:r>
          </w:p>
        </w:tc>
        <w:tc>
          <w:tcPr>
            <w:tcW w:w="8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32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stock</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par value</w:t>
            </w:r>
          </w:p>
        </w:tc>
        <w:tc>
          <w:tcPr>
            <w:tcW w:w="12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earnings</w:t>
            </w: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Group, Inc.</w:t>
            </w:r>
          </w:p>
        </w:tc>
        <w:tc>
          <w:tcPr>
            <w:tcW w:w="16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entities</w:t>
            </w:r>
          </w:p>
        </w:tc>
        <w:tc>
          <w:tcPr>
            <w:tcW w:w="160" w:type="dxa"/>
            <w:vAlign w:val="bottom"/>
          </w:tcPr>
          <w:p>
            <w:pPr>
              <w:spacing w:after="0"/>
              <w:rPr>
                <w:sz w:val="15"/>
                <w:szCs w:val="15"/>
                <w:color w:val="auto"/>
              </w:rPr>
            </w:pPr>
          </w:p>
        </w:tc>
        <w:tc>
          <w:tcPr>
            <w:tcW w:w="700" w:type="dxa"/>
            <w:vAlign w:val="bottom"/>
          </w:tcPr>
          <w:p>
            <w:pPr>
              <w:jc w:val="center"/>
              <w:ind w:right="89"/>
              <w:spacing w:after="0"/>
              <w:rPr>
                <w:sz w:val="20"/>
                <w:szCs w:val="20"/>
                <w:color w:val="auto"/>
              </w:rPr>
            </w:pPr>
            <w:r>
              <w:rPr>
                <w:rFonts w:ascii="Arial" w:cs="Arial" w:eastAsia="Arial" w:hAnsi="Arial"/>
                <w:sz w:val="13"/>
                <w:szCs w:val="13"/>
                <w:b w:val="1"/>
                <w:bCs w:val="1"/>
                <w:color w:val="auto"/>
                <w:w w:val="99"/>
              </w:rPr>
              <w:t>equity</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229,175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8,083.6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9,022.7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248.7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9,271.4</w:t>
            </w: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874.1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Other comprehensive income (loss), net of</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85"/>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w:t>
            </w: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Dividends declared ($2.40 per share)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(556.4)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Net shares issued upon vesting of restricted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stock units</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Restricted stock units issued as dividend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equivalents</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Net distributions to non-controlling interests</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in consolidated entities</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redemptions from T. Rowe Price</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85"/>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products</w:t>
            </w: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Net deconsolidations of T. Rowe Price</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investment products</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225,715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8,964.2</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208.8</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9,173.0</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92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9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20" w:type="dxa"/>
            <w:vAlign w:val="bottom"/>
            <w:tcBorders>
              <w:bottom w:val="single" w:sz="8" w:color="auto"/>
            </w:tcBorders>
            <w:gridSpan w:val="8"/>
            <w:shd w:val="clear" w:color="auto" w:fill="CCEEFF"/>
          </w:tcPr>
          <w:p>
            <w:pPr>
              <w:ind w:left="540"/>
              <w:spacing w:after="0"/>
              <w:rPr>
                <w:sz w:val="20"/>
                <w:szCs w:val="20"/>
                <w:color w:val="auto"/>
              </w:rPr>
            </w:pPr>
            <w:r>
              <w:rPr>
                <w:rFonts w:ascii="Arial" w:cs="Arial" w:eastAsia="Arial" w:hAnsi="Arial"/>
                <w:sz w:val="13"/>
                <w:szCs w:val="13"/>
                <w:b w:val="1"/>
                <w:bCs w:val="1"/>
                <w:color w:val="auto"/>
              </w:rPr>
              <w:t>Six months ended 6/30/2021</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center"/>
              <w:ind w:right="80"/>
              <w:spacing w:after="0" w:line="117" w:lineRule="exact"/>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center"/>
              <w:ind w:right="89"/>
              <w:spacing w:after="0"/>
              <w:rPr>
                <w:sz w:val="20"/>
                <w:szCs w:val="20"/>
                <w:color w:val="auto"/>
              </w:rPr>
            </w:pPr>
            <w:r>
              <w:rPr>
                <w:rFonts w:ascii="Arial" w:cs="Arial" w:eastAsia="Arial" w:hAnsi="Arial"/>
                <w:sz w:val="13"/>
                <w:szCs w:val="13"/>
                <w:b w:val="1"/>
                <w:bCs w:val="1"/>
                <w:color w:val="auto"/>
                <w:w w:val="96"/>
              </w:rPr>
              <w:t>Total</w:t>
            </w:r>
          </w:p>
        </w:tc>
        <w:tc>
          <w:tcPr>
            <w:tcW w:w="320" w:type="dxa"/>
            <w:vAlign w:val="bottom"/>
          </w:tcPr>
          <w:p>
            <w:pPr>
              <w:spacing w:after="0"/>
              <w:rPr>
                <w:sz w:val="10"/>
                <w:szCs w:val="10"/>
                <w:color w:val="auto"/>
              </w:rPr>
            </w:pPr>
          </w:p>
        </w:tc>
        <w:tc>
          <w:tcPr>
            <w:tcW w:w="80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w w:val="99"/>
              </w:rPr>
              <w:t>Redeemable</w:t>
            </w:r>
          </w:p>
        </w:tc>
        <w:tc>
          <w:tcPr>
            <w:tcW w:w="0" w:type="dxa"/>
            <w:vAlign w:val="bottom"/>
          </w:tcPr>
          <w:p>
            <w:pPr>
              <w:spacing w:after="0"/>
              <w:rPr>
                <w:sz w:val="1"/>
                <w:szCs w:val="1"/>
                <w:color w:val="auto"/>
              </w:rPr>
            </w:pPr>
          </w:p>
        </w:tc>
      </w:tr>
      <w:tr>
        <w:trPr>
          <w:trHeight w:val="121"/>
        </w:trPr>
        <w:tc>
          <w:tcPr>
            <w:tcW w:w="2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9"/>
              </w:rPr>
              <w:t>capital in</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4"/>
              </w:rPr>
              <w:t>Retained</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excess of</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8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32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10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par value</w:t>
            </w: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earnings</w:t>
            </w: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89"/>
              <w:spacing w:after="0"/>
              <w:rPr>
                <w:sz w:val="20"/>
                <w:szCs w:val="20"/>
                <w:color w:val="auto"/>
              </w:rPr>
            </w:pPr>
            <w:r>
              <w:rPr>
                <w:rFonts w:ascii="Arial" w:cs="Arial" w:eastAsia="Arial" w:hAnsi="Arial"/>
                <w:sz w:val="13"/>
                <w:szCs w:val="13"/>
                <w:b w:val="1"/>
                <w:bCs w:val="1"/>
                <w:color w:val="auto"/>
                <w:w w:val="99"/>
              </w:rPr>
              <w:t>equity</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2020</w:t>
            </w: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227,965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7,029.8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7,707.0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1,561.7</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1,565.1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07"/>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Dividends declared ($2.16 per share)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(504.1)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Special cash dividend declared ($3.00 per share)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00" w:type="dxa"/>
            <w:vAlign w:val="bottom"/>
            <w:gridSpan w:val="3"/>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00" w:type="dxa"/>
            <w:vAlign w:val="bottom"/>
            <w:gridSpan w:val="3"/>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00" w:type="dxa"/>
            <w:vAlign w:val="bottom"/>
            <w:gridSpan w:val="3"/>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298.9</w:t>
            </w:r>
          </w:p>
        </w:tc>
        <w:tc>
          <w:tcPr>
            <w:tcW w:w="0" w:type="dxa"/>
            <w:vAlign w:val="bottom"/>
          </w:tcPr>
          <w:p>
            <w:pPr>
              <w:spacing w:after="0"/>
              <w:rPr>
                <w:sz w:val="1"/>
                <w:szCs w:val="1"/>
                <w:color w:val="auto"/>
              </w:rPr>
            </w:pPr>
          </w:p>
        </w:tc>
      </w:tr>
      <w:tr>
        <w:trPr>
          <w:trHeight w:val="203"/>
        </w:trPr>
        <w:tc>
          <w:tcPr>
            <w:tcW w:w="3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(1,014.6)</w:t>
            </w:r>
          </w:p>
        </w:tc>
        <w:tc>
          <w:tcPr>
            <w:tcW w:w="0" w:type="dxa"/>
            <w:vAlign w:val="bottom"/>
          </w:tcPr>
          <w:p>
            <w:pPr>
              <w:spacing w:after="0"/>
              <w:rPr>
                <w:sz w:val="1"/>
                <w:szCs w:val="1"/>
                <w:color w:val="auto"/>
              </w:rPr>
            </w:pPr>
          </w:p>
        </w:tc>
      </w:tr>
      <w:tr>
        <w:trPr>
          <w:trHeight w:val="200"/>
        </w:trPr>
        <w:tc>
          <w:tcPr>
            <w:tcW w:w="2920" w:type="dxa"/>
            <w:vAlign w:val="bottom"/>
          </w:tcPr>
          <w:p>
            <w:pPr>
              <w:ind w:left="20"/>
              <w:spacing w:after="0"/>
              <w:rPr>
                <w:sz w:val="20"/>
                <w:szCs w:val="20"/>
                <w:color w:val="auto"/>
              </w:rPr>
            </w:pPr>
            <w:r>
              <w:rPr>
                <w:rFonts w:ascii="Arial" w:cs="Arial" w:eastAsia="Arial" w:hAnsi="Arial"/>
                <w:sz w:val="14"/>
                <w:szCs w:val="14"/>
                <w:color w:val="auto"/>
              </w:rPr>
              <w:t>Balances at June 30, 2021</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226,925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673.7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7,202.6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7,893.0</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880.4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76"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affiliated products. The other affiliated products include: open-ended investment products offered to investors outside the U.S., products offered through variable annuity life insurance plans in the U.S., affiliated private investment funds or private accounts,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also derive revenue from our interests in general partners of certain affiliated private investment funds that are entitled to a disproportionate allocation of income through capital allocation-based arrangements.</w:t>
      </w:r>
    </w:p>
    <w:p>
      <w:pPr>
        <w:spacing w:after="0" w:line="21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had common ownership (collectively, OHA). We acquired 100% of the equity interests of Oak Hill Advisors, L.P., 100% of the equity interests in entities that make co-investments in certain affiliated private investment funds (the "co -investment entities") and a majority of the equity interests in entities that have interests in general partners of affiliated private investment funds and are entitled to a disproportionate allocation of income (the "carried interest entities"). As of June 30, 2022, OHA had $57 billion of capital under management (which includes net asset value, portfolio value and/or unfunded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5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20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2021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considered all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under agreements with clients include: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320" w:type="dxa"/>
            <w:vAlign w:val="bottom"/>
            <w:tcBorders>
              <w:bottom w:val="single" w:sz="8" w:color="auto"/>
            </w:tcBorders>
            <w:gridSpan w:val="8"/>
            <w:shd w:val="clear" w:color="auto" w:fill="CCEEFF"/>
          </w:tcPr>
          <w:p>
            <w:pPr>
              <w:ind w:left="560"/>
              <w:spacing w:after="0"/>
              <w:rPr>
                <w:sz w:val="20"/>
                <w:szCs w:val="20"/>
                <w:color w:val="auto"/>
              </w:rPr>
            </w:pPr>
            <w:r>
              <w:rPr>
                <w:rFonts w:ascii="Arial" w:cs="Arial" w:eastAsia="Arial" w:hAnsi="Arial"/>
                <w:sz w:val="13"/>
                <w:szCs w:val="13"/>
                <w:b w:val="1"/>
                <w:bCs w:val="1"/>
                <w:color w:val="auto"/>
              </w:rPr>
              <w:t>Three months ended 6/30/2022</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5"/>
            <w:shd w:val="clear" w:color="auto" w:fill="CCEEFF"/>
          </w:tcPr>
          <w:p>
            <w:pPr>
              <w:jc w:val="center"/>
              <w:ind w:right="320"/>
              <w:spacing w:after="0"/>
              <w:rPr>
                <w:sz w:val="20"/>
                <w:szCs w:val="20"/>
                <w:color w:val="auto"/>
              </w:rPr>
            </w:pPr>
            <w:r>
              <w:rPr>
                <w:rFonts w:ascii="Arial" w:cs="Arial" w:eastAsia="Arial" w:hAnsi="Arial"/>
                <w:sz w:val="13"/>
                <w:szCs w:val="13"/>
                <w:b w:val="1"/>
                <w:bCs w:val="1"/>
                <w:color w:val="auto"/>
              </w:rPr>
              <w:t>Three months ended 6/30/2021</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5"/>
          </w:tcPr>
          <w:p>
            <w:pPr>
              <w:jc w:val="center"/>
              <w:ind w:right="220"/>
              <w:spacing w:after="0" w:line="129" w:lineRule="exact"/>
              <w:rPr>
                <w:sz w:val="20"/>
                <w:szCs w:val="20"/>
                <w:color w:val="auto"/>
              </w:rPr>
            </w:pPr>
            <w:r>
              <w:rPr>
                <w:rFonts w:ascii="Arial" w:cs="Arial" w:eastAsia="Arial" w:hAnsi="Arial"/>
                <w:sz w:val="13"/>
                <w:szCs w:val="13"/>
                <w:b w:val="1"/>
                <w:bCs w:val="1"/>
                <w:color w:val="auto"/>
              </w:rPr>
              <w:t>Administrative, distribution, and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5"/>
          </w:tcPr>
          <w:p>
            <w:pPr>
              <w:jc w:val="center"/>
              <w:ind w:right="260"/>
              <w:spacing w:after="0" w:line="129" w:lineRule="exact"/>
              <w:rPr>
                <w:sz w:val="20"/>
                <w:szCs w:val="20"/>
                <w:color w:val="auto"/>
              </w:rPr>
            </w:pPr>
            <w:r>
              <w:rPr>
                <w:rFonts w:ascii="Arial" w:cs="Arial" w:eastAsia="Arial" w:hAnsi="Arial"/>
                <w:sz w:val="13"/>
                <w:szCs w:val="13"/>
                <w:b w:val="1"/>
                <w:bCs w:val="1"/>
                <w:color w:val="auto"/>
              </w:rPr>
              <w:t>Administrative, distribution, and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64"/>
              <w:spacing w:after="0"/>
              <w:rPr>
                <w:sz w:val="20"/>
                <w:szCs w:val="20"/>
                <w:color w:val="auto"/>
              </w:rPr>
            </w:pPr>
            <w:r>
              <w:rPr>
                <w:rFonts w:ascii="Arial" w:cs="Arial" w:eastAsia="Arial" w:hAnsi="Arial"/>
                <w:sz w:val="13"/>
                <w:szCs w:val="13"/>
                <w:b w:val="1"/>
                <w:bCs w:val="1"/>
                <w:color w:val="auto"/>
                <w:w w:val="99"/>
              </w:rPr>
              <w:t>servicing fees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64"/>
              <w:spacing w:after="0"/>
              <w:rPr>
                <w:sz w:val="20"/>
                <w:szCs w:val="20"/>
                <w:color w:val="auto"/>
              </w:rPr>
            </w:pPr>
            <w:r>
              <w:rPr>
                <w:rFonts w:ascii="Arial" w:cs="Arial" w:eastAsia="Arial" w:hAnsi="Arial"/>
                <w:sz w:val="13"/>
                <w:szCs w:val="13"/>
                <w:b w:val="1"/>
                <w:bCs w:val="1"/>
                <w:color w:val="auto"/>
              </w:rPr>
              <w:t>servicing fees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center"/>
              <w:ind w:right="220"/>
              <w:spacing w:after="0" w:line="115" w:lineRule="exact"/>
              <w:rPr>
                <w:sz w:val="20"/>
                <w:szCs w:val="20"/>
                <w:color w:val="auto"/>
              </w:rPr>
            </w:pPr>
            <w:r>
              <w:rPr>
                <w:rFonts w:ascii="Arial" w:cs="Arial" w:eastAsia="Arial" w:hAnsi="Arial"/>
                <w:sz w:val="13"/>
                <w:szCs w:val="13"/>
                <w:b w:val="1"/>
                <w:bCs w:val="1"/>
                <w:color w:val="auto"/>
              </w:rPr>
              <w:t>Capital</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Distribution</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Administrative</w:t>
            </w:r>
          </w:p>
        </w:tc>
        <w:tc>
          <w:tcPr>
            <w:tcW w:w="14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rPr>
              <w:t>allocation-</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Investment</w:t>
            </w: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11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rPr>
              <w:t>and servicing</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rPr>
              <w:t>based</w:t>
            </w:r>
          </w:p>
        </w:tc>
        <w:tc>
          <w:tcPr>
            <w:tcW w:w="100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Net revenues</w:t>
            </w:r>
          </w:p>
        </w:tc>
        <w:tc>
          <w:tcPr>
            <w:tcW w:w="1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34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1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rPr>
              <w:t>and servicing</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76"/>
        </w:trPr>
        <w:tc>
          <w:tcPr>
            <w:tcW w:w="1280" w:type="dxa"/>
            <w:vAlign w:val="bottom"/>
            <w:vMerge w:val="continue"/>
            <w:shd w:val="clear" w:color="auto" w:fill="CCEEFF"/>
          </w:tcPr>
          <w:p>
            <w:pPr>
              <w:spacing w:after="0"/>
              <w:rPr>
                <w:sz w:val="15"/>
                <w:szCs w:val="15"/>
                <w:color w:val="auto"/>
              </w:rPr>
            </w:pPr>
          </w:p>
        </w:tc>
        <w:tc>
          <w:tcPr>
            <w:tcW w:w="10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8"/>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fees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rPr>
              <w:t>income</w:t>
            </w:r>
          </w:p>
        </w:tc>
        <w:tc>
          <w:tcPr>
            <w:tcW w:w="1000" w:type="dxa"/>
            <w:vAlign w:val="bottom"/>
            <w:gridSpan w:val="3"/>
            <w:vMerge w:val="continue"/>
            <w:shd w:val="clear" w:color="auto" w:fill="CCEEFF"/>
          </w:tcPr>
          <w:p>
            <w:pPr>
              <w:spacing w:after="0"/>
              <w:rPr>
                <w:sz w:val="15"/>
                <w:szCs w:val="15"/>
                <w:color w:val="auto"/>
              </w:rPr>
            </w:pPr>
          </w:p>
        </w:tc>
        <w:tc>
          <w:tcPr>
            <w:tcW w:w="108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3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876.2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1,097.5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1,209.3</w:t>
            </w: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Subadvised funds,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separate accounts,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collective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investment trusts,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and other</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620.5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689.7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689.7</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0"/>
              <w:spacing w:after="0"/>
              <w:rPr>
                <w:sz w:val="20"/>
                <w:szCs w:val="20"/>
                <w:color w:val="auto"/>
              </w:rPr>
            </w:pPr>
            <w:r>
              <w:rPr>
                <w:rFonts w:ascii="Arial" w:cs="Arial" w:eastAsia="Arial" w:hAnsi="Arial"/>
                <w:sz w:val="14"/>
                <w:szCs w:val="14"/>
                <w:color w:val="auto"/>
              </w:rPr>
              <w:t>Other clients</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34"/>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119.4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3"/>
                <w:szCs w:val="13"/>
                <w:b w:val="1"/>
                <w:bCs w:val="1"/>
                <w:color w:val="auto"/>
              </w:rPr>
              <w:t>Six months ended 6/30/2022</w:t>
            </w: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5"/>
            <w:shd w:val="clear" w:color="auto" w:fill="CCEEFF"/>
          </w:tcPr>
          <w:p>
            <w:pPr>
              <w:jc w:val="center"/>
              <w:ind w:right="320"/>
              <w:spacing w:after="0"/>
              <w:rPr>
                <w:sz w:val="20"/>
                <w:szCs w:val="20"/>
                <w:color w:val="auto"/>
              </w:rPr>
            </w:pPr>
            <w:r>
              <w:rPr>
                <w:rFonts w:ascii="Arial" w:cs="Arial" w:eastAsia="Arial" w:hAnsi="Arial"/>
                <w:sz w:val="13"/>
                <w:szCs w:val="13"/>
                <w:b w:val="1"/>
                <w:bCs w:val="1"/>
                <w:color w:val="auto"/>
              </w:rPr>
              <w:t>Six months ended 6/30/2021</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5"/>
          </w:tcPr>
          <w:p>
            <w:pPr>
              <w:jc w:val="center"/>
              <w:ind w:right="220"/>
              <w:spacing w:after="0" w:line="132" w:lineRule="exact"/>
              <w:rPr>
                <w:sz w:val="20"/>
                <w:szCs w:val="20"/>
                <w:color w:val="auto"/>
              </w:rPr>
            </w:pPr>
            <w:r>
              <w:rPr>
                <w:rFonts w:ascii="Arial" w:cs="Arial" w:eastAsia="Arial" w:hAnsi="Arial"/>
                <w:sz w:val="13"/>
                <w:szCs w:val="13"/>
                <w:b w:val="1"/>
                <w:bCs w:val="1"/>
                <w:color w:val="auto"/>
              </w:rPr>
              <w:t>Administrative, distribution, and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5"/>
          </w:tcPr>
          <w:p>
            <w:pPr>
              <w:jc w:val="center"/>
              <w:ind w:right="260"/>
              <w:spacing w:after="0" w:line="132" w:lineRule="exact"/>
              <w:rPr>
                <w:sz w:val="20"/>
                <w:szCs w:val="20"/>
                <w:color w:val="auto"/>
              </w:rPr>
            </w:pPr>
            <w:r>
              <w:rPr>
                <w:rFonts w:ascii="Arial" w:cs="Arial" w:eastAsia="Arial" w:hAnsi="Arial"/>
                <w:sz w:val="13"/>
                <w:szCs w:val="13"/>
                <w:b w:val="1"/>
                <w:bCs w:val="1"/>
                <w:color w:val="auto"/>
              </w:rPr>
              <w:t>Administrative, distribution, and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64"/>
              <w:spacing w:after="0"/>
              <w:rPr>
                <w:sz w:val="20"/>
                <w:szCs w:val="20"/>
                <w:color w:val="auto"/>
              </w:rPr>
            </w:pPr>
            <w:r>
              <w:rPr>
                <w:rFonts w:ascii="Arial" w:cs="Arial" w:eastAsia="Arial" w:hAnsi="Arial"/>
                <w:sz w:val="13"/>
                <w:szCs w:val="13"/>
                <w:b w:val="1"/>
                <w:bCs w:val="1"/>
                <w:color w:val="auto"/>
                <w:w w:val="99"/>
              </w:rPr>
              <w:t>servicing fees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64"/>
              <w:spacing w:after="0"/>
              <w:rPr>
                <w:sz w:val="20"/>
                <w:szCs w:val="20"/>
                <w:color w:val="auto"/>
              </w:rPr>
            </w:pPr>
            <w:r>
              <w:rPr>
                <w:rFonts w:ascii="Arial" w:cs="Arial" w:eastAsia="Arial" w:hAnsi="Arial"/>
                <w:sz w:val="13"/>
                <w:szCs w:val="13"/>
                <w:b w:val="1"/>
                <w:bCs w:val="1"/>
                <w:color w:val="auto"/>
              </w:rPr>
              <w:t>servicing fees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center"/>
              <w:ind w:right="220"/>
              <w:spacing w:after="0" w:line="115" w:lineRule="exact"/>
              <w:rPr>
                <w:sz w:val="20"/>
                <w:szCs w:val="20"/>
                <w:color w:val="auto"/>
              </w:rPr>
            </w:pPr>
            <w:r>
              <w:rPr>
                <w:rFonts w:ascii="Arial" w:cs="Arial" w:eastAsia="Arial" w:hAnsi="Arial"/>
                <w:sz w:val="13"/>
                <w:szCs w:val="13"/>
                <w:b w:val="1"/>
                <w:bCs w:val="1"/>
                <w:color w:val="auto"/>
              </w:rPr>
              <w:t>Capital</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Distribution</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Administrative</w:t>
            </w:r>
          </w:p>
        </w:tc>
        <w:tc>
          <w:tcPr>
            <w:tcW w:w="14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rPr>
              <w:t>allocation-</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Investment</w:t>
            </w: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11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rPr>
              <w:t>and servicing</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b w:val="1"/>
                <w:bCs w:val="1"/>
                <w:color w:val="auto"/>
              </w:rPr>
              <w:t>based</w:t>
            </w:r>
          </w:p>
        </w:tc>
        <w:tc>
          <w:tcPr>
            <w:tcW w:w="100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Net revenues</w:t>
            </w:r>
          </w:p>
        </w:tc>
        <w:tc>
          <w:tcPr>
            <w:tcW w:w="1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34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14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rPr>
              <w:t>and servicing</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76"/>
        </w:trPr>
        <w:tc>
          <w:tcPr>
            <w:tcW w:w="1280" w:type="dxa"/>
            <w:vAlign w:val="bottom"/>
            <w:vMerge w:val="continue"/>
            <w:shd w:val="clear" w:color="auto" w:fill="CCEEFF"/>
          </w:tcPr>
          <w:p>
            <w:pPr>
              <w:spacing w:after="0"/>
              <w:rPr>
                <w:sz w:val="15"/>
                <w:szCs w:val="15"/>
                <w:color w:val="auto"/>
              </w:rPr>
            </w:pPr>
          </w:p>
        </w:tc>
        <w:tc>
          <w:tcPr>
            <w:tcW w:w="10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8"/>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fees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b w:val="1"/>
                <w:bCs w:val="1"/>
                <w:color w:val="auto"/>
              </w:rPr>
              <w:t>income</w:t>
            </w:r>
          </w:p>
        </w:tc>
        <w:tc>
          <w:tcPr>
            <w:tcW w:w="1000" w:type="dxa"/>
            <w:vAlign w:val="bottom"/>
            <w:gridSpan w:val="3"/>
            <w:vMerge w:val="continue"/>
            <w:shd w:val="clear" w:color="auto" w:fill="CCEEFF"/>
          </w:tcPr>
          <w:p>
            <w:pPr>
              <w:spacing w:after="0"/>
              <w:rPr>
                <w:sz w:val="15"/>
                <w:szCs w:val="15"/>
                <w:color w:val="auto"/>
              </w:rPr>
            </w:pPr>
          </w:p>
        </w:tc>
        <w:tc>
          <w:tcPr>
            <w:tcW w:w="108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3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1,852.7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2,080.8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2,147.7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2,367.3</w:t>
            </w: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Subadvised funds,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separate accounts,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collective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investment trusts,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and other</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1,306.1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1,327.3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1,327.3</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20"/>
              <w:spacing w:after="0"/>
              <w:rPr>
                <w:sz w:val="20"/>
                <w:szCs w:val="20"/>
                <w:color w:val="auto"/>
              </w:rPr>
            </w:pPr>
            <w:r>
              <w:rPr>
                <w:rFonts w:ascii="Arial" w:cs="Arial" w:eastAsia="Arial" w:hAnsi="Arial"/>
                <w:sz w:val="14"/>
                <w:szCs w:val="14"/>
                <w:color w:val="auto"/>
              </w:rPr>
              <w:t>Other clients</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34"/>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249.6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3,756.1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Other clients primarily include individuals, defined contribution plans, college savings plans, and institutions related to our non-discretionary advisory services.</w:t>
      </w:r>
    </w:p>
    <w:p>
      <w:pPr>
        <w:spacing w:after="0" w:line="23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Total net revenues earned from our related parties aggregate $1,221.1 million and $1,571.9 million for the three months ended June 30, 2022 and 2021, respectively. For the six months ended June 30, 2022 and 2021, net revenues from related parties aggregate $2,757.5 million and $3,054.2 million, respectively. Accounts receivable from these products aggregate to $513.2 million at June 30, 2022 and $577.9 million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details the investment advisory revenues earned from clients by their underlying asset class.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80" w:type="dxa"/>
            <w:vAlign w:val="bottom"/>
            <w:gridSpan w:val="5"/>
            <w:shd w:val="clear" w:color="auto" w:fill="CCEEFF"/>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7"/>
                <w:szCs w:val="17"/>
                <w:color w:val="auto"/>
              </w:rPr>
            </w:pPr>
          </w:p>
        </w:tc>
        <w:tc>
          <w:tcPr>
            <w:tcW w:w="2160" w:type="dxa"/>
            <w:vAlign w:val="bottom"/>
            <w:gridSpan w:val="4"/>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6/30/2021</w:t>
            </w: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1,497.8</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30"/>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w:t>
            </w:r>
          </w:p>
        </w:tc>
      </w:tr>
      <w:tr>
        <w:trPr>
          <w:trHeight w:val="223"/>
        </w:trPr>
        <w:tc>
          <w:tcPr>
            <w:tcW w:w="6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2,147.7</w:t>
            </w:r>
          </w:p>
        </w:tc>
      </w:tr>
      <w:tr>
        <w:trPr>
          <w:trHeight w:val="156"/>
        </w:trPr>
        <w:tc>
          <w:tcPr>
            <w:tcW w:w="6440" w:type="dxa"/>
            <w:vAlign w:val="bottom"/>
          </w:tcPr>
          <w:p>
            <w:pPr>
              <w:ind w:left="20"/>
              <w:spacing w:after="0" w:line="156" w:lineRule="exact"/>
              <w:rPr>
                <w:sz w:val="20"/>
                <w:szCs w:val="20"/>
                <w:color w:val="auto"/>
              </w:rPr>
            </w:pPr>
            <w:r>
              <w:rPr>
                <w:rFonts w:ascii="Arial" w:cs="Arial" w:eastAsia="Arial" w:hAnsi="Arial"/>
                <w:sz w:val="18"/>
                <w:szCs w:val="18"/>
                <w:color w:val="auto"/>
              </w:rPr>
              <w:t>Subadvised funds, separate accounts, collective investment trusts, and other</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1"/>
        </w:trPr>
        <w:tc>
          <w:tcPr>
            <w:tcW w:w="644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2"/>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Alternatives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1,327.3</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3,475.0</w:t>
            </w:r>
          </w:p>
        </w:tc>
      </w:tr>
      <w:tr>
        <w:trPr>
          <w:trHeight w:val="21"/>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revenues.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gridSpan w:val="5"/>
            <w:shd w:val="clear" w:color="auto" w:fill="CCEEFF"/>
          </w:tcPr>
          <w:p>
            <w:pPr>
              <w:ind w:left="460"/>
              <w:spacing w:after="0"/>
              <w:rPr>
                <w:sz w:val="20"/>
                <w:szCs w:val="20"/>
                <w:color w:val="auto"/>
              </w:rPr>
            </w:pPr>
            <w:r>
              <w:rPr>
                <w:rFonts w:ascii="Arial" w:cs="Arial" w:eastAsia="Arial" w:hAnsi="Arial"/>
                <w:sz w:val="14"/>
                <w:szCs w:val="14"/>
                <w:b w:val="1"/>
                <w:bCs w:val="1"/>
                <w:color w:val="auto"/>
              </w:rPr>
              <w:t>Average during</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26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40" w:type="dxa"/>
            <w:vAlign w:val="bottom"/>
          </w:tcPr>
          <w:p>
            <w:pPr>
              <w:spacing w:after="0"/>
              <w:rPr>
                <w:sz w:val="16"/>
                <w:szCs w:val="16"/>
                <w:color w:val="auto"/>
              </w:rPr>
            </w:pPr>
          </w:p>
        </w:tc>
      </w:tr>
      <w:tr>
        <w:trPr>
          <w:trHeight w:val="197"/>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12/31/2021</w:t>
            </w: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r>
      <w:tr>
        <w:trPr>
          <w:trHeight w:val="223"/>
        </w:trPr>
        <w:tc>
          <w:tcPr>
            <w:tcW w:w="4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w:t>
            </w:r>
          </w:p>
        </w:tc>
      </w:tr>
      <w:tr>
        <w:trPr>
          <w:trHeight w:val="155"/>
        </w:trPr>
        <w:tc>
          <w:tcPr>
            <w:tcW w:w="40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Subadvised funds, separate accounts, collective</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trusts, and other investment products</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245.5</w:t>
            </w: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Alternatives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3"/>
        </w:trPr>
        <w:tc>
          <w:tcPr>
            <w:tcW w:w="40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816.4</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1,483.0</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9.4%, 9.7%, and 9.9% of our assets under management at June 30, 2022,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12/31/2021</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518.7</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881.5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23% Investment in UTI Asset Management Company Limited (India)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Other investment partnerships and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to maturity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2,975.5</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the three- and six- months ended June 30, 2022, net losses on investments included $131.2 million and $225.5 million, respectively, of net unrealized losses related to investments held at fair value that were still held at June 30, 2022. For the same period of 2021, net gains on investments included $49.5 million and $88.3 million, respectively, of net unrealized gains related to investments held at fair value that were still held at June 30, 2021.</w:t>
      </w:r>
    </w:p>
    <w:p>
      <w:pPr>
        <w:spacing w:after="0" w:line="2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six months ended June 30, 2022 and 2021,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six months ended June 30, 2022 and June 30, 2021, certain T. Rowe Price investment products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2"/>
        </w:trPr>
        <w:tc>
          <w:tcPr>
            <w:tcW w:w="5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460" w:type="dxa"/>
            <w:vAlign w:val="bottom"/>
            <w:gridSpan w:val="4"/>
            <w:shd w:val="clear" w:color="auto" w:fill="CCEEFF"/>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6/30/2021</w:t>
            </w:r>
          </w:p>
        </w:tc>
        <w:tc>
          <w:tcPr>
            <w:tcW w:w="0" w:type="dxa"/>
            <w:vAlign w:val="bottom"/>
          </w:tcPr>
          <w:p>
            <w:pPr>
              <w:spacing w:after="0"/>
              <w:rPr>
                <w:sz w:val="1"/>
                <w:szCs w:val="1"/>
                <w:color w:val="auto"/>
              </w:rPr>
            </w:pPr>
          </w:p>
        </w:tc>
      </w:tr>
      <w:tr>
        <w:trPr>
          <w:trHeight w:val="157"/>
        </w:trPr>
        <w:tc>
          <w:tcPr>
            <w:tcW w:w="54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Net decrease in assets of consolidated T. Rowe Price investment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(1,317.3)</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480" w:type="dxa"/>
            <w:vAlign w:val="bottom"/>
          </w:tcPr>
          <w:p>
            <w:pPr>
              <w:ind w:left="20"/>
              <w:spacing w:after="0" w:line="176" w:lineRule="exact"/>
              <w:rPr>
                <w:sz w:val="20"/>
                <w:szCs w:val="20"/>
                <w:color w:val="auto"/>
              </w:rPr>
            </w:pPr>
            <w:r>
              <w:rPr>
                <w:rFonts w:ascii="Arial" w:cs="Arial" w:eastAsia="Arial" w:hAnsi="Arial"/>
                <w:sz w:val="18"/>
                <w:szCs w:val="18"/>
                <w:color w:val="auto"/>
              </w:rPr>
              <w:t>Net decrease in liabilities of consolidated T. Rowe Price investment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products</w:t>
            </w:r>
          </w:p>
        </w:tc>
        <w:tc>
          <w:tcPr>
            <w:tcW w:w="26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redeemable non-controlling interests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recognized upon deconsolidation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The gains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There is debt associated with our long-term investments in affiliated collateralized loan obligations (“CLOs”). As of June 30, 2022 and December 31, 2021, the debt is carried at $102.3 million and $113.5 million, and is reported in accounts payable and accrued expenses in our unaudited condensed consolidated balance sheets. The debt includes outstanding repurchase agreements of €66.7 million (equivalent to $69.9 million at June 30, 2022 and $ 75.9 million at December 31, 2021 at the respective EUR spot rates) and collateralized by the CLO investments. The debt also includes outstanding note facilities of €35.6 million (equivalent to $32.4 million at June 30, 2022 and $36.9 million at December 31, 2021 at the respective EUR spot rates) and are collateralized by first priority security interests in the assets of the consolidated OHA entity that is party to the notes. The debt bears interest at rates based on EURIBOR plus the initial margin, which equals all-in rates ranging from 1.70% to 1.95% as of June 30, 2022. The debt matures on various dates through 2032 or if the investments are paid back in full or cancelled.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Our investments at June 30, 2022 and December 31, 2021 include interests in variable interest entities that we do not consolidate as we are not deemed the primary beneficiary. Our maximum risk of loss related to our involvement with these entities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6/30/2022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803.5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943.3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unfunded capital commitments totaling $101.6 million at June 30, 2022 and $94.2 million at December 31, 2021 relate primarily to the affiliated private investment funds and the investment partnerships in which we have an existing investment. In addition to such amounts, a percentage of prior distributions may be called under certain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PARTNERS.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2021, as part of the OHA acquisition, we acquired a majority of the equity interests in entities that have interests in general partners of affiliated private investment funds and are entitled to a disproportionate allocation of income. These entities are considered variable interest entities and are consolidated as T. Rowe Price was determined to be the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total assets, liabilities and non-controlling interests of these consolidated variable interest entities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millions)</w:t>
            </w: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6/30/2022</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Assets</w:t>
            </w:r>
          </w:p>
        </w:tc>
        <w:tc>
          <w:tcPr>
            <w:tcW w:w="1580" w:type="dxa"/>
            <w:vAlign w:val="bottom"/>
            <w:tcBorders>
              <w:bottom w:val="single" w:sz="8" w:color="auto"/>
            </w:tcBorders>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9"/>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80" w:type="dxa"/>
            <w:vAlign w:val="bottom"/>
            <w:tcBorders>
              <w:bottom w:val="single" w:sz="8" w:color="auto"/>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4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1580" w:type="dxa"/>
            <w:vAlign w:val="bottom"/>
            <w:tcBorders>
              <w:bottom w:val="single" w:sz="8" w:color="auto"/>
            </w:tcBorders>
          </w:tcPr>
          <w:p>
            <w:pPr>
              <w:jc w:val="right"/>
              <w:ind w:right="1375"/>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248.7</w:t>
            </w:r>
          </w:p>
        </w:tc>
      </w:tr>
      <w:tr>
        <w:trPr>
          <w:trHeight w:val="20"/>
        </w:trPr>
        <w:tc>
          <w:tcPr>
            <w:tcW w:w="6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260" w:right="224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0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unaudited condensed consolidated balance sheets using fair value measurements determined based on the differing levels of inputs. This table excludes investments held by the consolidated T. Rowe Price investment products which are presented separately on our unaudited condensed consolidated balance sheets and are detailed in Note 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6/30/2022</w:t>
            </w: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b w:val="1"/>
                <w:bCs w:val="1"/>
                <w:color w:val="auto"/>
                <w:w w:val="99"/>
              </w:rPr>
              <w:t>12/31/2021</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95"/>
        </w:trPr>
        <w:tc>
          <w:tcPr>
            <w:tcW w:w="4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1,692.9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 liability economic hedges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9"/>
        </w:trPr>
        <w:tc>
          <w:tcPr>
            <w:tcW w:w="4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3 were $99.8 million at June 30, 2022, and $108.1 million at December 31, 2021.</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part of the purchase consideration for our acquisition of OHA in December 2021, there was contingent consideration in the amount of up to $900.0 million, payable in cash, that may be due as part of an earnout payment starting in 2025 and ending in 2027 upon satisfying or exceeding certain defined revenue targets. These defined revenue targets will be evaluated on a cumulative basis beginning at the end of 2024, with the ability to extend two additional years if the defined revenue targets are not achieved. About 22% of the earnout is conditioned upon continued service with T. Rowe Price and was excluded from the purchase consideration and deemed compensatory. The fair value of the earnout deemed compensatory is remeasured each reporting period and recognized over the related service period. For the three- and six- months ended June 30, 2022, $3.7 million and $8.8 million, respectively, was recorded as part of compensation expense in our unaudited condensed consolidated statements of income for the portion of the earnout deemed compensatory.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ind w:right="480"/>
        <w:spacing w:after="0" w:line="287" w:lineRule="auto"/>
        <w:rPr>
          <w:sz w:val="20"/>
          <w:szCs w:val="20"/>
          <w:color w:val="auto"/>
        </w:rPr>
      </w:pPr>
      <w:r>
        <w:rPr>
          <w:rFonts w:ascii="Arial" w:cs="Arial" w:eastAsia="Arial" w:hAnsi="Arial"/>
          <w:sz w:val="18"/>
          <w:szCs w:val="18"/>
          <w:color w:val="auto"/>
        </w:rPr>
        <w:t>The change in the contingent consideration liability measured at fair value for which we used Level 3 inputs to determine fair value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Measurement period adjustment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Unrealized (gains) losses, included in earnings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June 30, 2022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Contingent Consideration Liability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Borders>
              <w:top w:val="single" w:sz="8" w:color="auto"/>
              <w:bottom w:val="single" w:sz="8" w:color="auto"/>
            </w:tcBorders>
          </w:tcPr>
          <w:p>
            <w:pPr>
              <w:spacing w:after="0"/>
              <w:rPr>
                <w:sz w:val="17"/>
                <w:szCs w:val="17"/>
                <w:color w:val="auto"/>
              </w:rPr>
            </w:pPr>
          </w:p>
        </w:tc>
        <w:tc>
          <w:tcPr>
            <w:tcW w:w="26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Three Months Ended 6/30/2022</w:t>
            </w:r>
          </w:p>
        </w:tc>
        <w:tc>
          <w:tcPr>
            <w:tcW w:w="300" w:type="dxa"/>
            <w:vAlign w:val="bottom"/>
            <w:tcBorders>
              <w:top w:val="single" w:sz="8" w:color="auto"/>
              <w:bottom w:val="single" w:sz="8" w:color="auto"/>
            </w:tcBorders>
          </w:tcPr>
          <w:p>
            <w:pPr>
              <w:spacing w:after="0"/>
              <w:rPr>
                <w:sz w:val="17"/>
                <w:szCs w:val="17"/>
                <w:color w:val="auto"/>
              </w:rPr>
            </w:pPr>
          </w:p>
        </w:tc>
        <w:tc>
          <w:tcPr>
            <w:tcW w:w="26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Six Months Ended 6/30/2022</w:t>
            </w:r>
          </w:p>
        </w:tc>
      </w:tr>
      <w:tr>
        <w:trPr>
          <w:trHeight w:val="21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640" w:type="dxa"/>
            <w:vAlign w:val="bottom"/>
          </w:tcPr>
          <w:p>
            <w:pPr>
              <w:jc w:val="right"/>
              <w:spacing w:after="0"/>
              <w:rPr>
                <w:sz w:val="20"/>
                <w:szCs w:val="20"/>
                <w:color w:val="auto"/>
              </w:rPr>
            </w:pPr>
            <w:r>
              <w:rPr>
                <w:rFonts w:ascii="Arial" w:cs="Arial" w:eastAsia="Arial" w:hAnsi="Arial"/>
                <w:sz w:val="18"/>
                <w:szCs w:val="18"/>
                <w:color w:val="auto"/>
              </w:rPr>
              <w:t>211.5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29"/>
        </w:trPr>
        <w:tc>
          <w:tcPr>
            <w:tcW w:w="26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5"/>
        </w:trPr>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3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-633730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-334010</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800"/>
          </w:cols>
          <w:pgMar w:left="320" w:top="1133" w:right="339" w:bottom="1440" w:gutter="0" w:footer="0" w:header="0"/>
          <w:type w:val="continuous"/>
        </w:sectPr>
      </w:pPr>
    </w:p>
    <w:p>
      <w:pPr>
        <w:spacing w:after="0" w:line="11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fair value of the contingent consideration is measured using the Monte Carlo simulation methodology of valuation. The most significant assumptions used relate to the discount rates and from changes pertaining to the achievement of the defined financial targets. The unrealized (gains) losses during the quarter are reflected in general, administrative and other expenses in our unaudited condensed consolidated statements of income.</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simultaneously with the OHA acquisition, a Value Creation Agreement was entered into whereby certain employees of OHA will receive incentive payments in the aggregate equal to 10% of the appreciated value of the OHA business, subject to an annualized preferred return to T. Rowe Price, on the fifth anniversary of the acquisition date. This arrangement is treated as a post-combination compensation expense. This arrangement will be remeasured at fair value at each reporting date and recognized over the related service period. For the three- and six- months ended June 30, 2022, $2.7 million and $4.7 million was recognized as part of compensation expense in our unaudited condensed consolidated statements of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T. ROWE PRICE INVESTMENT PRODUCTS AND OTHER ENTITIES.</w:t>
      </w:r>
    </w:p>
    <w:p>
      <w:pPr>
        <w:spacing w:after="0" w:line="25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12/31/2021</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1,962.8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645.5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Cash and cash equivalents includes $2.8 million at June 30, 2022, and $6.5 million at December 31, 2021, of T. Rowe Price money market mutual funds.</w:t>
      </w:r>
    </w:p>
    <w:p>
      <w:pPr>
        <w:spacing w:after="0" w:line="3" w:lineRule="exact"/>
        <w:rPr>
          <w:rFonts w:ascii="Arial" w:cs="Arial" w:eastAsia="Arial" w:hAnsi="Arial"/>
          <w:sz w:val="16"/>
          <w:szCs w:val="16"/>
          <w:i w:val="1"/>
          <w:iCs w:val="1"/>
          <w:color w:val="auto"/>
          <w:vertAlign w:val="superscript"/>
        </w:rPr>
      </w:pPr>
    </w:p>
    <w:p>
      <w:pPr>
        <w:ind w:left="140" w:hanging="132"/>
        <w:spacing w:after="0" w:line="229" w:lineRule="auto"/>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$9.4 million at June 30, 2022, and $42.5 million at December 31, 2021 of other T. Rowe Price investment products.</w:t>
      </w:r>
    </w:p>
    <w:p>
      <w:pPr>
        <w:spacing w:after="0" w:line="21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0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operating results of the consolidated T. Rowe Price investment products for the three- and six- months ended June 30, 2022 and 2021, are reflected in our unaudited condensed consolidated statements of income as follows: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6"/>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4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7"/>
              <w:spacing w:after="0" w:line="143" w:lineRule="exact"/>
              <w:rPr>
                <w:sz w:val="20"/>
                <w:szCs w:val="20"/>
                <w:color w:val="auto"/>
              </w:rPr>
            </w:pPr>
            <w:r>
              <w:rPr>
                <w:rFonts w:ascii="Arial" w:cs="Arial" w:eastAsia="Arial" w:hAnsi="Arial"/>
                <w:sz w:val="14"/>
                <w:szCs w:val="14"/>
                <w:b w:val="1"/>
                <w:bCs w:val="1"/>
                <w:color w:val="auto"/>
              </w:rPr>
              <w:t>Variable</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center"/>
              <w:ind w:right="20"/>
              <w:spacing w:after="0"/>
              <w:rPr>
                <w:sz w:val="20"/>
                <w:szCs w:val="20"/>
                <w:color w:val="auto"/>
              </w:rPr>
            </w:pPr>
            <w:r>
              <w:rPr>
                <w:rFonts w:ascii="Arial" w:cs="Arial" w:eastAsia="Arial" w:hAnsi="Arial"/>
                <w:sz w:val="14"/>
                <w:szCs w:val="14"/>
                <w:b w:val="1"/>
                <w:bCs w:val="1"/>
                <w:color w:val="auto"/>
              </w:rPr>
              <w:t>Voting 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Variable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77"/>
              <w:spacing w:after="0" w:line="149"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20" w:type="dxa"/>
            <w:vAlign w:val="bottom"/>
            <w:gridSpan w:val="2"/>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500"/>
              <w:spacing w:after="0"/>
              <w:rPr>
                <w:sz w:val="20"/>
                <w:szCs w:val="20"/>
                <w:color w:val="auto"/>
              </w:rPr>
            </w:pPr>
            <w:r>
              <w:rPr>
                <w:rFonts w:ascii="Arial" w:cs="Arial" w:eastAsia="Arial" w:hAnsi="Arial"/>
                <w:sz w:val="18"/>
                <w:szCs w:val="18"/>
                <w:color w:val="auto"/>
                <w:w w:val="97"/>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440"/>
              <w:spacing w:after="0"/>
              <w:rPr>
                <w:sz w:val="20"/>
                <w:szCs w:val="20"/>
                <w:color w:val="auto"/>
              </w:rPr>
            </w:pPr>
            <w:r>
              <w:rPr>
                <w:rFonts w:ascii="Arial" w:cs="Arial" w:eastAsia="Arial" w:hAnsi="Arial"/>
                <w:sz w:val="18"/>
                <w:szCs w:val="18"/>
                <w:color w:val="auto"/>
                <w:w w:val="97"/>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48.2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45.5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52.7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T. Rowe Price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(49.1)</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5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46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45.5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52.7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6"/>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6/30/2021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b w:val="1"/>
                <w:bCs w:val="1"/>
                <w:color w:val="auto"/>
              </w:rPr>
              <w:t>Voting</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17"/>
              <w:spacing w:after="0" w:line="147" w:lineRule="exact"/>
              <w:rPr>
                <w:sz w:val="20"/>
                <w:szCs w:val="20"/>
                <w:color w:val="auto"/>
              </w:rPr>
            </w:pPr>
            <w:r>
              <w:rPr>
                <w:rFonts w:ascii="Arial" w:cs="Arial" w:eastAsia="Arial" w:hAnsi="Arial"/>
                <w:sz w:val="14"/>
                <w:szCs w:val="14"/>
                <w:b w:val="1"/>
                <w:bCs w:val="1"/>
                <w:color w:val="auto"/>
              </w:rPr>
              <w:t>Variable</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b w:val="1"/>
                <w:bCs w:val="1"/>
                <w:color w:val="auto"/>
              </w:rPr>
              <w:t>Voting</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7" w:lineRule="exact"/>
              <w:rPr>
                <w:sz w:val="20"/>
                <w:szCs w:val="20"/>
                <w:color w:val="auto"/>
              </w:rPr>
            </w:pPr>
            <w:r>
              <w:rPr>
                <w:rFonts w:ascii="Arial" w:cs="Arial" w:eastAsia="Arial" w:hAnsi="Arial"/>
                <w:sz w:val="14"/>
                <w:szCs w:val="14"/>
                <w:b w:val="1"/>
                <w:bCs w:val="1"/>
                <w:color w:val="auto"/>
              </w:rPr>
              <w:t>Variable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17"/>
              <w:spacing w:after="0" w:line="14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40"/>
              <w:spacing w:after="0" w:line="14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97"/>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entities</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97"/>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tcPr>
          <w:p>
            <w:pPr>
              <w:ind w:left="20"/>
              <w:spacing w:after="0" w:line="156" w:lineRule="exact"/>
              <w:rPr>
                <w:sz w:val="20"/>
                <w:szCs w:val="20"/>
                <w:color w:val="auto"/>
              </w:rPr>
            </w:pPr>
            <w:r>
              <w:rPr>
                <w:rFonts w:ascii="Arial" w:cs="Arial" w:eastAsia="Arial" w:hAnsi="Arial"/>
                <w:sz w:val="18"/>
                <w:szCs w:val="18"/>
                <w:color w:val="auto"/>
              </w:rPr>
              <w:t>Operating expenses reflected in net operating</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34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3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ind w:left="5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3"/>
                <w:szCs w:val="13"/>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ind w:left="48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3"/>
                <w:szCs w:val="13"/>
                <w:color w:val="auto"/>
              </w:rPr>
            </w:pPr>
          </w:p>
        </w:tc>
        <w:tc>
          <w:tcPr>
            <w:tcW w:w="32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ind w:left="42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80" w:type="dxa"/>
            <w:vAlign w:val="bottom"/>
            <w:gridSpan w:val="3"/>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340" w:type="dxa"/>
            <w:vAlign w:val="bottom"/>
            <w:gridSpan w:val="3"/>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00" w:type="dxa"/>
            <w:vAlign w:val="bottom"/>
            <w:gridSpan w:val="3"/>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3"/>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3"/>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79.3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440"/>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380"/>
              <w:spacing w:after="0"/>
              <w:rPr>
                <w:sz w:val="20"/>
                <w:szCs w:val="20"/>
                <w:color w:val="auto"/>
              </w:rPr>
            </w:pPr>
            <w:r>
              <w:rPr>
                <w:rFonts w:ascii="Arial" w:cs="Arial" w:eastAsia="Arial" w:hAnsi="Arial"/>
                <w:sz w:val="18"/>
                <w:szCs w:val="18"/>
                <w:color w:val="auto"/>
              </w:rPr>
              <w:t>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(94.8)</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440"/>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9"/>
                <w:szCs w:val="19"/>
                <w:color w:val="auto"/>
              </w:rPr>
            </w:pP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ind w:left="380"/>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440"/>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380"/>
              <w:spacing w:after="0"/>
              <w:rPr>
                <w:sz w:val="20"/>
                <w:szCs w:val="20"/>
                <w:color w:val="auto"/>
              </w:rPr>
            </w:pPr>
            <w:r>
              <w:rPr>
                <w:rFonts w:ascii="Arial" w:cs="Arial" w:eastAsia="Arial" w:hAnsi="Arial"/>
                <w:sz w:val="18"/>
                <w:szCs w:val="18"/>
                <w:color w:val="auto"/>
              </w:rPr>
              <w:t>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condensed consolidated financial statements, we eliminated operating expenses of $.6 million and $1.1 million for the three months ended June 30, 2022 and 2021, respectively, against the investment advisory and administrative fees earned from these products. Operating expenses eliminated for the six months ended June 30, 2022 and 2021, were $1.5 million and $2.4 million, respectively. The net investment income (loss) reflected in non-operating income (loss) includes dividend and interest income as well as realized and unrealized gains and losses on the underlying securities held by the consolidated T. Rowe Price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15" w:name="page16"/>
    <w:bookmarkEnd w:id="15"/>
    <w:p>
      <w:pPr>
        <w:ind w:right="1020"/>
        <w:spacing w:after="0" w:line="287"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six months ended June 30, 2022 and 2021.</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Effect of exchange rate changes on cash and cash</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equivalents of consolidated</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T. Rowe Price investment products</w:t>
            </w: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net cash provided by financing activities during the six months ended June 30, 2022 and 2021 includes $26.9 million and $80.2 million, respectively, of net subscriptions we made into the consolidated T. Rowe Price investment products, net of dividends received. These cash flows were eliminated in consolidation.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740" w:right="2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40" w:hanging="728"/>
        <w:spacing w:after="0" w:line="26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6/30/2022</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gridSpan w:val="3"/>
            <w:shd w:val="clear" w:color="auto" w:fill="CCEEFF"/>
          </w:tcPr>
          <w:p>
            <w:pPr>
              <w:ind w:left="840"/>
              <w:spacing w:after="0"/>
              <w:rPr>
                <w:sz w:val="20"/>
                <w:szCs w:val="20"/>
                <w:color w:val="auto"/>
              </w:rPr>
            </w:pPr>
            <w:r>
              <w:rPr>
                <w:rFonts w:ascii="Arial" w:cs="Arial" w:eastAsia="Arial" w:hAnsi="Arial"/>
                <w:sz w:val="14"/>
                <w:szCs w:val="14"/>
                <w:b w:val="1"/>
                <w:bCs w:val="1"/>
                <w:color w:val="auto"/>
              </w:rPr>
              <w:t>12/31/2021</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r>
      <w:tr>
        <w:trPr>
          <w:trHeight w:val="195"/>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1,187.4</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3"/>
        </w:trPr>
        <w:tc>
          <w:tcPr>
            <w:tcW w:w="5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1,581.1</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b w:val="1"/>
                <w:bCs w:val="1"/>
                <w:color w:val="auto"/>
              </w:rPr>
              <w:t>6/30/2022</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2,652.4</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2,693.2</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164.8</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3,606.6</w:t>
            </w:r>
          </w:p>
        </w:tc>
      </w:tr>
      <w:tr>
        <w:trPr>
          <w:trHeight w:val="21"/>
        </w:trPr>
        <w:tc>
          <w:tcPr>
            <w:tcW w:w="6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Amortization expense for the definite-lived investment advisory agreements intangible assets was $27.2 million and $54.3 million for the three- and six- months ended June 30, 2022, respectively. Estimated amortization expense for the definite-lived investment advisory agreements intangible assets for the remainder of 2022 is $54.3 million, $108.1 million for 2023, $105.6 million for 2024, $105.0 million for 2025, and $87.7 million for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during the three- and six- months ended June 30, 2022 was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2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6/30/2022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0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b w:val="1"/>
                <w:bCs w:val="1"/>
                <w:color w:val="auto"/>
              </w:rPr>
              <w:t>Six Months Ended 6/30/2022</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2,643.9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2,693.2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w:t>
            </w:r>
          </w:p>
        </w:tc>
        <w:tc>
          <w:tcPr>
            <w:tcW w:w="8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Balance, June 30, 2022</w:t>
            </w:r>
          </w:p>
        </w:tc>
        <w:tc>
          <w:tcPr>
            <w:tcW w:w="82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2,652.4</w:t>
            </w:r>
          </w:p>
        </w:tc>
      </w:tr>
      <w:tr>
        <w:trPr>
          <w:trHeight w:val="21"/>
        </w:trPr>
        <w:tc>
          <w:tcPr>
            <w:tcW w:w="6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We evaluate the carrying amount of goodwill for possible impairment on an annual basis in the fourth quarter using a fair value approach or if triggering events occur that require us to evaluate for impairment earlier.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5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Accounts payable and accrued expenses includes liabilities of $9.2 million at June 30, 2022 for common stock repurchases that settled during the first week of July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six months ended June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8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Pr>
          <w:p>
            <w:pPr>
              <w:jc w:val="right"/>
              <w:spacing w:after="0"/>
              <w:rPr>
                <w:sz w:val="20"/>
                <w:szCs w:val="20"/>
                <w:color w:val="auto"/>
              </w:rPr>
            </w:pPr>
            <w:r>
              <w:rPr>
                <w:rFonts w:ascii="Arial" w:cs="Arial" w:eastAsia="Arial" w:hAnsi="Arial"/>
                <w:sz w:val="18"/>
                <w:szCs w:val="18"/>
                <w:color w:val="auto"/>
              </w:rPr>
              <w:t>2,846,579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(288,737)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June 30,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2,557,842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73.73</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2,557,842</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5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six months ended June 30, 2022.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Restricted</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Nonvested at December 31, 2021</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5,701,865</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43,521</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Dividend equivalents granted to non-employee directors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1,786</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132.04</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(81,365)</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(136,628)</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142.06</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5,529,179</w:t>
            </w:r>
          </w:p>
        </w:tc>
        <w:tc>
          <w:tcPr>
            <w:tcW w:w="380" w:type="dxa"/>
            <w:vAlign w:val="bottom"/>
            <w:tcBorders>
              <w:top w:val="single" w:sz="8" w:color="CCEEFF"/>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Nonvested at June 30, 2022, includes performance-based restricted stock units of 294,518. These nonvested performance-based restricted stock units include 81,123 units for which the performance period has lapsed, and the performance threshold has been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June 30, 2022. Estimated future compensation expense will change to reflect future grants of restricted stock awards and units, future option grants, changes in the probability of performance thresholds being met, and adjustments for actual forfeitures.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Third quarter 2022</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 2022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through 2027</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r>
      <w:tr>
        <w:trPr>
          <w:trHeight w:val="20"/>
        </w:trPr>
        <w:tc>
          <w:tcPr>
            <w:tcW w:w="9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 CALCULATIONS.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presents the reconciliation of net income attributable to T. Rowe Price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shd w:val="clear" w:color="auto" w:fill="CCEEFF"/>
          </w:tcPr>
          <w:p>
            <w:pPr>
              <w:spacing w:after="0"/>
              <w:rPr>
                <w:sz w:val="17"/>
                <w:szCs w:val="17"/>
                <w:color w:val="auto"/>
              </w:rPr>
            </w:pPr>
          </w:p>
        </w:tc>
        <w:tc>
          <w:tcPr>
            <w:tcW w:w="3080" w:type="dxa"/>
            <w:vAlign w:val="bottom"/>
            <w:gridSpan w:val="3"/>
            <w:shd w:val="clear" w:color="auto" w:fill="CCEEFF"/>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680" w:type="dxa"/>
            <w:vAlign w:val="bottom"/>
            <w:gridSpan w:val="2"/>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194"/>
        </w:trPr>
        <w:tc>
          <w:tcPr>
            <w:tcW w:w="5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6/30/2022</w:t>
            </w:r>
          </w:p>
        </w:tc>
        <w:tc>
          <w:tcPr>
            <w:tcW w:w="14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6/30/2021</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6/30/2022</w:t>
            </w:r>
          </w:p>
        </w:tc>
        <w:tc>
          <w:tcPr>
            <w:tcW w:w="13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6/30/2021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10"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Net income attributable to T. Rowe Price</w:t>
      </w:r>
      <w:r>
        <w:rPr>
          <w:sz w:val="20"/>
          <w:szCs w:val="20"/>
          <w:color w:val="auto"/>
        </w:rPr>
        <w:tab/>
      </w:r>
      <w:r>
        <w:rPr>
          <w:rFonts w:ascii="Arial" w:cs="Arial" w:eastAsia="Arial" w:hAnsi="Arial"/>
          <w:sz w:val="17"/>
          <w:szCs w:val="17"/>
          <w:color w:val="auto"/>
        </w:rPr>
        <w:t>$</w:t>
      </w:r>
    </w:p>
    <w:p>
      <w:pPr>
        <w:spacing w:after="0" w:line="32" w:lineRule="exact"/>
        <w:rPr>
          <w:sz w:val="20"/>
          <w:szCs w:val="20"/>
          <w:color w:val="auto"/>
        </w:rPr>
      </w:pPr>
    </w:p>
    <w:p>
      <w:pPr>
        <w:ind w:left="20" w:right="260"/>
        <w:spacing w:after="0" w:line="245" w:lineRule="auto"/>
        <w:rPr>
          <w:sz w:val="20"/>
          <w:szCs w:val="20"/>
          <w:color w:val="auto"/>
        </w:rPr>
      </w:pPr>
      <w:r>
        <w:rPr>
          <w:rFonts w:ascii="Arial" w:cs="Arial" w:eastAsia="Arial" w:hAnsi="Arial"/>
          <w:sz w:val="18"/>
          <w:szCs w:val="18"/>
          <w:color w:val="auto"/>
        </w:rPr>
        <w:t>Less: net income allocated to outstanding restricted stock and stock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tabs>
          <w:tab w:leader="none" w:pos="5480" w:val="left"/>
        </w:tabs>
        <w:rPr>
          <w:sz w:val="20"/>
          <w:szCs w:val="20"/>
          <w:color w:val="auto"/>
        </w:rPr>
      </w:pPr>
      <w:r>
        <w:rPr>
          <w:rFonts w:ascii="Arial" w:cs="Arial" w:eastAsia="Arial" w:hAnsi="Arial"/>
          <w:sz w:val="18"/>
          <w:szCs w:val="18"/>
          <w:color w:val="auto"/>
        </w:rPr>
        <w:t>Net income allocated to common stockholders</w:t>
      </w:r>
      <w:r>
        <w:rPr>
          <w:sz w:val="20"/>
          <w:szCs w:val="20"/>
          <w:color w:val="auto"/>
        </w:rPr>
        <w:tab/>
      </w:r>
      <w:r>
        <w:rPr>
          <w:rFonts w:ascii="Arial" w:cs="Arial" w:eastAsia="Arial" w:hAnsi="Arial"/>
          <w:sz w:val="17"/>
          <w:szCs w:val="17"/>
          <w:color w:val="auto"/>
        </w:rPr>
        <w:t>$</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Outstanding assuming dilution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339.6</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1,565.1</w:t>
            </w:r>
          </w:p>
        </w:tc>
        <w:tc>
          <w:tcPr>
            <w:tcW w:w="0" w:type="dxa"/>
            <w:vAlign w:val="bottom"/>
          </w:tcPr>
          <w:p>
            <w:pPr>
              <w:spacing w:after="0"/>
              <w:rPr>
                <w:sz w:val="1"/>
                <w:szCs w:val="1"/>
                <w:color w:val="auto"/>
              </w:rPr>
            </w:pPr>
          </w:p>
        </w:tc>
      </w:tr>
      <w:tr>
        <w:trPr>
          <w:trHeight w:val="405"/>
        </w:trPr>
        <w:tc>
          <w:tcPr>
            <w:tcW w:w="62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332.2</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226.7</w:t>
            </w: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1"/>
        </w:trPr>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auto"/>
                <w:w w:val="93"/>
              </w:rPr>
              <w:t>227.9</w:t>
            </w: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20" w:type="dxa"/>
            <w:vAlign w:val="bottom"/>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-7620</wp:posOffset>
            </wp:positionV>
            <wp:extent cx="9086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-213995</wp:posOffset>
            </wp:positionV>
            <wp:extent cx="9086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-668020</wp:posOffset>
            </wp:positionV>
            <wp:extent cx="9086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 OTHER COMPREHENSIVE INCOME AND ACCUMULATED OTHER COMPREHENSIVE LOSS.</w:t>
      </w:r>
    </w:p>
    <w:p>
      <w:pPr>
        <w:spacing w:after="0" w:line="30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three months ended June 30, 2022 and 2021 are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960" w:type="dxa"/>
            <w:vAlign w:val="bottom"/>
            <w:gridSpan w:val="8"/>
            <w:shd w:val="clear" w:color="auto" w:fill="CCEEFF"/>
          </w:tcPr>
          <w:p>
            <w:pPr>
              <w:ind w:left="780"/>
              <w:spacing w:after="0"/>
              <w:rPr>
                <w:sz w:val="20"/>
                <w:szCs w:val="20"/>
                <w:color w:val="auto"/>
              </w:rPr>
            </w:pPr>
            <w:r>
              <w:rPr>
                <w:rFonts w:ascii="Arial" w:cs="Arial" w:eastAsia="Arial" w:hAnsi="Arial"/>
                <w:sz w:val="14"/>
                <w:szCs w:val="14"/>
                <w:b w:val="1"/>
                <w:bCs w:val="1"/>
                <w:color w:val="auto"/>
              </w:rPr>
              <w:t>Three months ended 6/30/2022</w:t>
            </w:r>
          </w:p>
        </w:tc>
        <w:tc>
          <w:tcPr>
            <w:tcW w:w="120" w:type="dxa"/>
            <w:vAlign w:val="bottom"/>
            <w:shd w:val="clear" w:color="auto" w:fill="CCEEFF"/>
          </w:tcPr>
          <w:p>
            <w:pPr>
              <w:spacing w:after="0"/>
              <w:rPr>
                <w:sz w:val="17"/>
                <w:szCs w:val="17"/>
                <w:color w:val="auto"/>
              </w:rPr>
            </w:pPr>
          </w:p>
        </w:tc>
        <w:tc>
          <w:tcPr>
            <w:tcW w:w="3800" w:type="dxa"/>
            <w:vAlign w:val="bottom"/>
            <w:gridSpan w:val="7"/>
            <w:shd w:val="clear" w:color="auto" w:fill="CCEEFF"/>
          </w:tcPr>
          <w:p>
            <w:pPr>
              <w:jc w:val="right"/>
              <w:ind w:right="842"/>
              <w:spacing w:after="0"/>
              <w:rPr>
                <w:sz w:val="20"/>
                <w:szCs w:val="20"/>
                <w:color w:val="auto"/>
              </w:rPr>
            </w:pPr>
            <w:r>
              <w:rPr>
                <w:rFonts w:ascii="Arial" w:cs="Arial" w:eastAsia="Arial" w:hAnsi="Arial"/>
                <w:sz w:val="14"/>
                <w:szCs w:val="14"/>
                <w:b w:val="1"/>
                <w:bCs w:val="1"/>
                <w:color w:val="auto"/>
              </w:rPr>
              <w:t>Three months ended 6/30/2021</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 currency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gridSpan w:val="3"/>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translation</w:t>
            </w:r>
          </w:p>
        </w:tc>
        <w:tc>
          <w:tcPr>
            <w:tcW w:w="1280" w:type="dxa"/>
            <w:vAlign w:val="bottom"/>
            <w:gridSpan w:val="3"/>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142"/>
        </w:trPr>
        <w:tc>
          <w:tcPr>
            <w:tcW w:w="322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3220" w:type="dxa"/>
            <w:vAlign w:val="bottom"/>
          </w:tcPr>
          <w:p>
            <w:pPr>
              <w:ind w:left="2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Reclassification adjustments recognized in</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5"/>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other comprehensive income (loss) in the table above excludes losses of $15.6 million and income of $3.8 million of other comprehensive income related to redeemable non-controlling interests held in our consolidated products for the three months ended June 30, 2022 and 2021, respectively.</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six months ended June 30, 2022 and 2021, are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94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Six months ended 6/30/2022</w:t>
            </w:r>
          </w:p>
        </w:tc>
        <w:tc>
          <w:tcPr>
            <w:tcW w:w="160" w:type="dxa"/>
            <w:vAlign w:val="bottom"/>
            <w:shd w:val="clear" w:color="auto" w:fill="CCEEFF"/>
          </w:tcPr>
          <w:p>
            <w:pPr>
              <w:spacing w:after="0"/>
              <w:rPr>
                <w:sz w:val="17"/>
                <w:szCs w:val="17"/>
                <w:color w:val="auto"/>
              </w:rPr>
            </w:pPr>
          </w:p>
        </w:tc>
        <w:tc>
          <w:tcPr>
            <w:tcW w:w="3840" w:type="dxa"/>
            <w:vAlign w:val="bottom"/>
            <w:gridSpan w:val="7"/>
            <w:shd w:val="clear" w:color="auto" w:fill="CCEEFF"/>
          </w:tcPr>
          <w:p>
            <w:pPr>
              <w:jc w:val="center"/>
              <w:ind w:right="75"/>
              <w:spacing w:after="0"/>
              <w:rPr>
                <w:sz w:val="20"/>
                <w:szCs w:val="20"/>
                <w:color w:val="auto"/>
              </w:rPr>
            </w:pPr>
            <w:r>
              <w:rPr>
                <w:rFonts w:ascii="Arial" w:cs="Arial" w:eastAsia="Arial" w:hAnsi="Arial"/>
                <w:sz w:val="14"/>
                <w:szCs w:val="14"/>
                <w:b w:val="1"/>
                <w:bCs w:val="1"/>
                <w:color w:val="auto"/>
              </w:rPr>
              <w:t>Six months ended 6/30/2021</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Consolidated T.</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investment</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Total currency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2"/>
                <w:szCs w:val="12"/>
                <w:color w:val="auto"/>
              </w:rPr>
            </w:pPr>
          </w:p>
        </w:tc>
        <w:tc>
          <w:tcPr>
            <w:tcW w:w="11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products -</w:t>
            </w:r>
          </w:p>
        </w:tc>
        <w:tc>
          <w:tcPr>
            <w:tcW w:w="1360" w:type="dxa"/>
            <w:vAlign w:val="bottom"/>
            <w:gridSpan w:val="3"/>
            <w:vMerge w:val="continue"/>
          </w:tcPr>
          <w:p>
            <w:pPr>
              <w:spacing w:after="0"/>
              <w:rPr>
                <w:sz w:val="12"/>
                <w:szCs w:val="12"/>
                <w:color w:val="auto"/>
              </w:rPr>
            </w:pP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tcPr>
          <w:p>
            <w:pPr>
              <w:spacing w:after="0"/>
              <w:rPr>
                <w:sz w:val="12"/>
                <w:szCs w:val="12"/>
                <w:color w:val="auto"/>
              </w:rPr>
            </w:pPr>
          </w:p>
        </w:tc>
        <w:tc>
          <w:tcPr>
            <w:tcW w:w="142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rPr>
              <w:t>variable interest</w:t>
            </w:r>
          </w:p>
        </w:tc>
        <w:tc>
          <w:tcPr>
            <w:tcW w:w="140" w:type="dxa"/>
            <w:vAlign w:val="bottom"/>
          </w:tcPr>
          <w:p>
            <w:pPr>
              <w:spacing w:after="0"/>
              <w:rPr>
                <w:sz w:val="12"/>
                <w:szCs w:val="12"/>
                <w:color w:val="auto"/>
              </w:rPr>
            </w:pPr>
          </w:p>
        </w:tc>
        <w:tc>
          <w:tcPr>
            <w:tcW w:w="122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rPr>
              <w:t>translation</w:t>
            </w:r>
          </w:p>
        </w:tc>
        <w:tc>
          <w:tcPr>
            <w:tcW w:w="1320" w:type="dxa"/>
            <w:vAlign w:val="bottom"/>
            <w:gridSpan w:val="3"/>
            <w:vMerge w:val="continue"/>
          </w:tcPr>
          <w:p>
            <w:pPr>
              <w:spacing w:after="0"/>
              <w:rPr>
                <w:sz w:val="12"/>
                <w:szCs w:val="12"/>
                <w:color w:val="auto"/>
              </w:rPr>
            </w:pPr>
          </w:p>
        </w:tc>
        <w:tc>
          <w:tcPr>
            <w:tcW w:w="144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rPr>
              <w:t>products - variable</w:t>
            </w:r>
          </w:p>
        </w:tc>
        <w:tc>
          <w:tcPr>
            <w:tcW w:w="120" w:type="dxa"/>
            <w:vAlign w:val="bottom"/>
          </w:tcPr>
          <w:p>
            <w:pPr>
              <w:spacing w:after="0"/>
              <w:rPr>
                <w:sz w:val="12"/>
                <w:szCs w:val="12"/>
                <w:color w:val="auto"/>
              </w:rPr>
            </w:pPr>
          </w:p>
        </w:tc>
        <w:tc>
          <w:tcPr>
            <w:tcW w:w="1120" w:type="dxa"/>
            <w:vAlign w:val="bottom"/>
          </w:tcPr>
          <w:p>
            <w:pPr>
              <w:jc w:val="center"/>
              <w:ind w:right="55"/>
              <w:spacing w:after="0" w:line="13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5"/>
        </w:trPr>
        <w:tc>
          <w:tcPr>
            <w:tcW w:w="3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20" w:type="dxa"/>
            <w:vAlign w:val="bottom"/>
          </w:tcPr>
          <w:p>
            <w:pPr>
              <w:spacing w:after="0"/>
              <w:rPr>
                <w:sz w:val="16"/>
                <w:szCs w:val="16"/>
                <w:color w:val="auto"/>
              </w:rPr>
            </w:pPr>
          </w:p>
        </w:tc>
        <w:tc>
          <w:tcPr>
            <w:tcW w:w="1120" w:type="dxa"/>
            <w:vAlign w:val="bottom"/>
          </w:tcPr>
          <w:p>
            <w:pPr>
              <w:jc w:val="center"/>
              <w:ind w:right="55"/>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42"/>
        </w:trPr>
        <w:tc>
          <w:tcPr>
            <w:tcW w:w="308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before reclassifications and income</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6"/>
                <w:szCs w:val="16"/>
                <w:color w:val="auto"/>
              </w:rPr>
              <w:t>taxes</w:t>
            </w: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Reclassification adjustments recognized</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The other comprehensive income (loss) in the table above excludes losses of $25.5 million for the 2022 period and income of $8.0 million for the 2021 period of other comprehensive income (loss) related to redeemable non-controlling interests held in our consolidated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committed $493.3 million to fund OHA products over the next five years.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3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“Court”). The lawsuit alleges breaches of ERISA’s fiduciary duty and</w:t>
      </w:r>
    </w:p>
    <w:p>
      <w:pPr>
        <w:spacing w:after="0" w:line="2"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prohibited transaction provisions on behalf of a class of all participants and beneficiaries of the T. Rowe Price 401(k) Plan from February 14, 2011, to the time of judgment. The matter has been certified as a class action. Subsequently, the parties reached a settlement agreement,</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and on July 6, 2022, the Court issued an order approving the settlement and dismissed the case with prejudice. The settlement is not material to T. Rowe Price Group, Inc.</w:t>
      </w:r>
    </w:p>
    <w:p>
      <w:pPr>
        <w:spacing w:after="0" w:line="19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In addition to the matter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 2022, the related condensed consolidated statements of income, comprehensive income, stockholders’ equity for the three-month and six-month periods ended June 30, 2022 and 2021, the related condensed consolidated statements of cash flows for the six-month periods ended June 30, 2022 and 2021,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2021, and the related consolidated statements of income, comprehensive income, stockholders’ equity, and cash flows for the year then ended (not presented herein); and in our report dated February 24, 2022, we expressed an unqualified opinion on those consolidated financial statements. In our opinion, the information set forth in the accompanying condensed consolidated balance sheet as of December 31, 2021,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collective investment trusts, and other affiliated products. The other affiliated products include: open-ended investment products offered to investors outside the U.S., products offered through variable annuity life insurance plans in the U.S., affiliated private investment funds or private accounts,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also derive revenue from our interests in general partners of certain affiliated private investment funds that are entitled to a disproportionate allocation of income through capital allocation-based arrangements also known as carried interest.</w:t>
      </w:r>
    </w:p>
    <w:p>
      <w:pPr>
        <w:spacing w:after="0" w:line="2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manage a broad range of U.S., international and global stock, bond, money market mutual funds, collective investment trusts and other investment products as well as affiliated private investment funds or private accounts, and collateralized loan obligations,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2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have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had common ownership (collectively, “OHA”). We acquired 100% of the equity interests of Oak Hill Advisors, L.P., 100% of the equity interests in entities that make co-investments in certain affiliated private investment funds (the "co-investment entities") and a majority of the equity interests in entities that have interests in general partners of affiliated private investment funds and are entitled to a disproportionate allocation of income (the "carried interest entities"). As of June 30, 2022, OHA had $57 billion of capital under management (which includes net asset value, portfolio value and/or unfunded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37"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Major U.S. stock indexes declined considerably in the second quarter of 2022, adding to first-quarter losses and capping the S&amp;P 500 Index’s worst first half of a calendar year in decades. As measured by various Russell indexes, growth stocks fared worse than value stocks across all market capitalizations. Investors continued to shun riskier assets in response to Russia’s invasion of Ukraine, elevated inflation exacerbated by rising commodity prices, and a more aggressive pace of Federal Reserve interest rate increases following its raising of the fed funds target rate in mid-March. Investors were also concerned about inflation’s impact on consumer spending and corporate profits, particularly as some high-profile companies and major retailers disappointed with their financial results or projections.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Developed European markets fell broadly in U.S. dollar terms, as the European Central Bank prepared to begin raising short-term interest rates in July. Stocks in Sweden fared worst, dropping 21%, while shares in the Netherlands and Ireland fell about 19%. Shares in the UK held</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up relatively well, falling about 10%, as currency weakness helped support multinational companies with overseas earnings. Most developed markets in Asia fell sharply, but shares in Hong Kong held up very well, falling only about 1%.</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ind w:right="60"/>
        <w:spacing w:after="0" w:line="275" w:lineRule="auto"/>
        <w:rPr>
          <w:sz w:val="20"/>
          <w:szCs w:val="20"/>
          <w:color w:val="auto"/>
        </w:rPr>
      </w:pPr>
      <w:r>
        <w:rPr>
          <w:rFonts w:ascii="Arial" w:cs="Arial" w:eastAsia="Arial" w:hAnsi="Arial"/>
          <w:sz w:val="17"/>
          <w:szCs w:val="17"/>
          <w:color w:val="auto"/>
        </w:rPr>
        <w:t>In emerging Asia, several markets fell sharply in dollar terms. Chinese shares rose, however, helped by an easing of coronavirus lockdown measures in parts of the country. In emerging Europe, shares in Poland and Hungary plunged 27% and 26%, respectively, hurt by their close proximity to the Russian-Ukrainian conflict. In Latin America, markets in Chile and Mexico fell about 15%, while stocks in Peru plunged 30%.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8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6/30/2022</w:t>
            </w:r>
          </w:p>
        </w:tc>
        <w:tc>
          <w:tcPr>
            <w:tcW w:w="0" w:type="dxa"/>
            <w:vAlign w:val="bottom"/>
          </w:tcPr>
          <w:p>
            <w:pPr>
              <w:spacing w:after="0"/>
              <w:rPr>
                <w:sz w:val="1"/>
                <w:szCs w:val="1"/>
                <w:color w:val="auto"/>
              </w:rPr>
            </w:pPr>
          </w:p>
        </w:tc>
      </w:tr>
      <w:tr>
        <w:trPr>
          <w:trHeight w:val="224"/>
        </w:trPr>
        <w:tc>
          <w:tcPr>
            <w:tcW w:w="8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(16.1)%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(22.4)%</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(14.3)%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(11.3)%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0" w:hanging="132"/>
        <w:spacing w:after="0"/>
        <w:tabs>
          <w:tab w:leader="none" w:pos="180" w:val="left"/>
        </w:tabs>
        <w:numPr>
          <w:ilvl w:val="0"/>
          <w:numId w:val="7"/>
        </w:numPr>
        <w:rPr>
          <w:rFonts w:ascii="Arial" w:cs="Arial" w:eastAsia="Arial" w:hAnsi="Arial"/>
          <w:sz w:val="9"/>
          <w:szCs w:val="9"/>
          <w:color w:val="auto"/>
        </w:rPr>
      </w:pPr>
      <w:r>
        <w:rPr>
          <w:rFonts w:ascii="Arial" w:cs="Arial" w:eastAsia="Arial" w:hAnsi="Arial"/>
          <w:sz w:val="14"/>
          <w:szCs w:val="14"/>
          <w:i w:val="1"/>
          <w:iCs w:val="1"/>
          <w:color w:val="auto"/>
        </w:rPr>
        <w:t>Returns exclude dividends</w:t>
      </w:r>
    </w:p>
    <w:p>
      <w:pPr>
        <w:spacing w:after="0" w:line="23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Global bond prices declined in the second quarter of 2022, extending first-quarter losses, as interest rates rose in many countries due to elevated inflation. In the U.S., Treasury yields rose and the Federal Reserve increased official short-term interest rates twice. The fed funds target rate range at the end of June was 1.50% to 1.75%. The 10-year U.S. Treasury note yield increased from 2.32% to 2.98% during the quarter.</w:t>
      </w:r>
    </w:p>
    <w:p>
      <w:pPr>
        <w:spacing w:after="0" w:line="201"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In the taxable investment-grade universe, corporate bonds fared worst as interest rates rose and credit spreads widened amid concerns about the economy and corporate earnings. Treasury and mortgage-backed securities also declined materially. Tax-free municipal bonds declined but outperformed the taxable bond market. High yield bonds performed poorly as credit spreads widened and investors were concerned about weaker corporate earnings and a possible recession.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Bonds in developed non-U.S. markets tumbled, as interest rates in many developed countries increased, and losses to U.S. investors were</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exacerbated by a stronger U.S. dollar. The British pound and the euro declined approximately 8% and 6%, respectively, versus the dollar. The Japanese yen fell more than 10%—to levels not seen in more than two decades—as Japanese monetary policy remained stimulative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diverged from the tightening stances adopted by many other central banks.</w:t>
      </w:r>
    </w:p>
    <w:p>
      <w:pPr>
        <w:spacing w:after="0" w:line="22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Emerging markets bonds declined as investors were risk averse and as central banks in emerging countries raised interest rates to fight inflation and defend weakening currencies. Most emerging markets currencies depreciated versus the dollar.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8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6/30/2022</w:t>
            </w:r>
          </w:p>
        </w:tc>
        <w:tc>
          <w:tcPr>
            <w:tcW w:w="0" w:type="dxa"/>
            <w:vAlign w:val="bottom"/>
          </w:tcPr>
          <w:p>
            <w:pPr>
              <w:spacing w:after="0"/>
              <w:rPr>
                <w:sz w:val="1"/>
                <w:szCs w:val="1"/>
                <w:color w:val="auto"/>
              </w:rPr>
            </w:pPr>
          </w:p>
        </w:tc>
      </w:tr>
      <w:tr>
        <w:trPr>
          <w:trHeight w:val="224"/>
        </w:trPr>
        <w:tc>
          <w:tcPr>
            <w:tcW w:w="8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Bloomberg U.S. Aggregate Bond Index</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1440" w:type="dxa"/>
            <w:vAlign w:val="bottom"/>
          </w:tcPr>
          <w:p>
            <w:pPr>
              <w:jc w:val="center"/>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Municipal Bond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(9.0)%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Bloomberg Global Aggregate Ex-U.S. Dollar Bond Index</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(11.0)%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r>
        <w:rPr>
          <w:rFonts w:ascii="Arial" w:cs="Arial" w:eastAsia="Arial" w:hAnsi="Arial"/>
          <w:sz w:val="23"/>
          <w:szCs w:val="23"/>
          <w:b w:val="1"/>
          <w:bCs w:val="1"/>
          <w:i w:val="1"/>
          <w:iCs w:val="1"/>
          <w:u w:val="single" w:color="auto"/>
          <w:color w:val="auto"/>
          <w:vertAlign w:val="superscript"/>
        </w:rPr>
        <w:t>(1)</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Assets under management ended the second quarter of 2022 at $1,309.7 billion, a decrease of $242.1 billion from March 31, 2022 and $378.1 billion from the end of 2021. The Q2 decrease in assets under management was driven by market depreciation, including net distributions not reinvested, of $227.4 billion and net cash outflows of $14.7 billion. Clients transferred $2.9 billion in net assets from the U.S. mutual funds primarily to collective investment trusts and other investment products, of which $1.6 billion transferred into the retirement date trusts.</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the six months ended June 30, 2022, the decrease in assets under management was driven by market depreciation, including net distributions not reinvested, of $358.1 billion and net cash outflows of $20.0 billion. Clients transferred $7.0 billion in net assets from the U.S. mutual funds primarily to collective investment trusts and other investment products, of which $4.9 billion transferred into the retirement date trusts.</w:t>
      </w:r>
    </w:p>
    <w:p>
      <w:pPr>
        <w:spacing w:after="0" w:line="20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following tables detail changes in our assets under management, by vehicle and asset class, during the three- and six-month periods ended June 30,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gridSpan w:val="9"/>
            <w:shd w:val="clear" w:color="auto" w:fill="CCEEFF"/>
          </w:tcPr>
          <w:p>
            <w:pPr>
              <w:ind w:left="240"/>
              <w:spacing w:after="0"/>
              <w:rPr>
                <w:sz w:val="20"/>
                <w:szCs w:val="20"/>
                <w:color w:val="auto"/>
              </w:rPr>
            </w:pPr>
            <w:r>
              <w:rPr>
                <w:rFonts w:ascii="Arial" w:cs="Arial" w:eastAsia="Arial" w:hAnsi="Arial"/>
                <w:sz w:val="14"/>
                <w:szCs w:val="14"/>
                <w:b w:val="1"/>
                <w:bCs w:val="1"/>
                <w:color w:val="auto"/>
              </w:rPr>
              <w:t>Three months ended 6/30/2022</w:t>
            </w:r>
          </w:p>
        </w:tc>
        <w:tc>
          <w:tcPr>
            <w:tcW w:w="2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10"/>
            <w:shd w:val="clear" w:color="auto" w:fill="CCEEFF"/>
          </w:tcPr>
          <w:p>
            <w:pPr>
              <w:spacing w:after="0"/>
              <w:rPr>
                <w:sz w:val="20"/>
                <w:szCs w:val="20"/>
                <w:color w:val="auto"/>
              </w:rPr>
            </w:pPr>
            <w:r>
              <w:rPr>
                <w:rFonts w:ascii="Arial" w:cs="Arial" w:eastAsia="Arial" w:hAnsi="Arial"/>
                <w:sz w:val="14"/>
                <w:szCs w:val="14"/>
                <w:b w:val="1"/>
                <w:bCs w:val="1"/>
                <w:color w:val="auto"/>
              </w:rPr>
              <w:t>Six months ended 6/30/2022</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Collective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Collective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Subadvised</w:t>
            </w:r>
          </w:p>
        </w:tc>
        <w:tc>
          <w:tcPr>
            <w:tcW w:w="134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Subadvised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investment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134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rPr>
              <w:t>investment trusts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trusts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U.S. mutual</w:t>
            </w:r>
          </w:p>
        </w:tc>
        <w:tc>
          <w:tcPr>
            <w:tcW w:w="120" w:type="dxa"/>
            <w:vAlign w:val="bottom"/>
          </w:tcPr>
          <w:p>
            <w:pPr>
              <w:spacing w:after="0"/>
              <w:rPr>
                <w:sz w:val="12"/>
                <w:szCs w:val="12"/>
                <w:color w:val="auto"/>
              </w:rPr>
            </w:pPr>
          </w:p>
        </w:tc>
        <w:tc>
          <w:tcPr>
            <w:tcW w:w="12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funds and</w:t>
            </w: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79"/>
              <w:spacing w:after="0" w:line="149" w:lineRule="exact"/>
              <w:rPr>
                <w:sz w:val="20"/>
                <w:szCs w:val="20"/>
                <w:color w:val="auto"/>
              </w:rPr>
            </w:pPr>
            <w:r>
              <w:rPr>
                <w:rFonts w:ascii="Arial" w:cs="Arial" w:eastAsia="Arial" w:hAnsi="Arial"/>
                <w:sz w:val="14"/>
                <w:szCs w:val="14"/>
                <w:b w:val="1"/>
                <w:bCs w:val="1"/>
                <w:color w:val="auto"/>
              </w:rPr>
              <w:t>funds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separate</w:t>
            </w:r>
          </w:p>
        </w:tc>
        <w:tc>
          <w:tcPr>
            <w:tcW w:w="13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right w:val="single" w:sz="8" w:color="auto"/>
            </w:tcBorders>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mutual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separate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investment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funds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accounts</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3"/>
          </w:tcPr>
          <w:p>
            <w:pPr>
              <w:jc w:val="center"/>
              <w:ind w:left="223"/>
              <w:spacing w:after="0"/>
              <w:rPr>
                <w:sz w:val="20"/>
                <w:szCs w:val="20"/>
                <w:color w:val="auto"/>
              </w:rPr>
            </w:pPr>
            <w:r>
              <w:rPr>
                <w:rFonts w:ascii="Arial" w:cs="Arial" w:eastAsia="Arial" w:hAnsi="Arial"/>
                <w:sz w:val="14"/>
                <w:szCs w:val="14"/>
                <w:b w:val="1"/>
                <w:bCs w:val="1"/>
                <w:color w:val="auto"/>
              </w:rPr>
              <w:t>products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CCEEFF"/>
              <w:right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funds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accounts</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products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60" w:type="dxa"/>
            <w:vAlign w:val="bottom"/>
            <w:gridSpan w:val="5"/>
            <w:shd w:val="clear" w:color="auto" w:fill="CCEEFF"/>
          </w:tcPr>
          <w:p>
            <w:pPr>
              <w:ind w:left="20"/>
              <w:spacing w:after="0" w:line="142" w:lineRule="exact"/>
              <w:rPr>
                <w:sz w:val="20"/>
                <w:szCs w:val="20"/>
                <w:color w:val="auto"/>
              </w:rPr>
            </w:pPr>
            <w:r>
              <w:rPr>
                <w:rFonts w:ascii="Arial" w:cs="Arial" w:eastAsia="Arial" w:hAnsi="Arial"/>
                <w:sz w:val="16"/>
                <w:szCs w:val="16"/>
                <w:color w:val="auto"/>
              </w:rPr>
              <w:t>Assets under management at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789.4</w:t>
            </w:r>
          </w:p>
        </w:tc>
        <w:tc>
          <w:tcPr>
            <w:tcW w:w="58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398.0</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23"/>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1,551.8</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437.1</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379.3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215"/>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gridSpan w:val="4"/>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vMerge w:val="continue"/>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120" w:type="dxa"/>
            <w:vAlign w:val="bottom"/>
            <w:gridSpan w:val="4"/>
            <w:shd w:val="clear" w:color="auto" w:fill="CCEEFF"/>
          </w:tcPr>
          <w:p>
            <w:pPr>
              <w:ind w:left="20"/>
              <w:spacing w:after="0" w:line="162" w:lineRule="exact"/>
              <w:rPr>
                <w:sz w:val="20"/>
                <w:szCs w:val="20"/>
                <w:color w:val="auto"/>
              </w:rPr>
            </w:pPr>
            <w:r>
              <w:rPr>
                <w:rFonts w:ascii="Arial" w:cs="Arial" w:eastAsia="Arial" w:hAnsi="Arial"/>
                <w:sz w:val="16"/>
                <w:szCs w:val="16"/>
                <w:color w:val="auto"/>
              </w:rPr>
              <w:t>Net cash flows before client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5"/>
            <w:vMerge w:val="restart"/>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ind w:left="20"/>
              <w:spacing w:after="0"/>
              <w:rPr>
                <w:sz w:val="20"/>
                <w:szCs w:val="20"/>
                <w:color w:val="auto"/>
              </w:rPr>
            </w:pPr>
            <w:r>
              <w:rPr>
                <w:rFonts w:ascii="Arial" w:cs="Arial" w:eastAsia="Arial" w:hAnsi="Arial"/>
                <w:sz w:val="16"/>
                <w:szCs w:val="16"/>
                <w:color w:val="auto"/>
              </w:rPr>
              <w:t>Client transfers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2120" w:type="dxa"/>
            <w:vAlign w:val="bottom"/>
            <w:tcBorders>
              <w:top w:val="single" w:sz="8" w:color="CCEEFF"/>
            </w:tcBorders>
            <w:gridSpan w:val="4"/>
            <w:shd w:val="clear" w:color="auto" w:fill="CCEEFF"/>
          </w:tcPr>
          <w:p>
            <w:pPr>
              <w:ind w:left="20"/>
              <w:spacing w:after="0" w:line="143" w:lineRule="exact"/>
              <w:rPr>
                <w:sz w:val="20"/>
                <w:szCs w:val="20"/>
                <w:color w:val="auto"/>
              </w:rPr>
            </w:pPr>
            <w:r>
              <w:rPr>
                <w:rFonts w:ascii="Arial" w:cs="Arial" w:eastAsia="Arial" w:hAnsi="Arial"/>
                <w:sz w:val="16"/>
                <w:szCs w:val="16"/>
                <w:color w:val="auto"/>
              </w:rPr>
              <w:t>Net cash flows after client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2.6</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gridSpan w:val="5"/>
            <w:vMerge w:val="restart"/>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11.6</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2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Net market depreciation and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6"/>
                <w:szCs w:val="16"/>
                <w:color w:val="auto"/>
              </w:rPr>
              <w:t>(227.2)</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(71.1)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215"/>
        </w:trPr>
        <w:tc>
          <w:tcPr>
            <w:tcW w:w="1300" w:type="dxa"/>
            <w:vAlign w:val="bottom"/>
          </w:tcPr>
          <w:p>
            <w:pPr>
              <w:ind w:left="20"/>
              <w:spacing w:after="0"/>
              <w:rPr>
                <w:sz w:val="20"/>
                <w:szCs w:val="20"/>
                <w:color w:val="auto"/>
              </w:rPr>
            </w:pPr>
            <w:r>
              <w:rPr>
                <w:rFonts w:ascii="Arial" w:cs="Arial" w:eastAsia="Arial" w:hAnsi="Arial"/>
                <w:sz w:val="16"/>
                <w:szCs w:val="16"/>
                <w:color w:val="auto"/>
              </w:rPr>
              <w:t>losses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4"/>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212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(132.3)</w:t>
            </w:r>
          </w:p>
        </w:tc>
        <w:tc>
          <w:tcPr>
            <w:tcW w:w="1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(242.1)</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(214.3)</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(59.5)</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(378.1)</w:t>
            </w:r>
          </w:p>
        </w:tc>
        <w:tc>
          <w:tcPr>
            <w:tcW w:w="0" w:type="dxa"/>
            <w:vAlign w:val="bottom"/>
          </w:tcPr>
          <w:p>
            <w:pPr>
              <w:spacing w:after="0"/>
              <w:rPr>
                <w:sz w:val="1"/>
                <w:szCs w:val="1"/>
                <w:color w:val="auto"/>
              </w:rPr>
            </w:pPr>
          </w:p>
        </w:tc>
      </w:tr>
      <w:tr>
        <w:trPr>
          <w:trHeight w:val="89"/>
        </w:trPr>
        <w:tc>
          <w:tcPr>
            <w:tcW w:w="1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26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Assets under management at</w:t>
            </w:r>
          </w:p>
        </w:tc>
        <w:tc>
          <w:tcPr>
            <w:tcW w:w="8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vMerge w:val="restart"/>
          </w:tcPr>
          <w:p>
            <w:pPr>
              <w:jc w:val="right"/>
              <w:spacing w:after="0"/>
              <w:rPr>
                <w:sz w:val="20"/>
                <w:szCs w:val="20"/>
                <w:color w:val="auto"/>
              </w:rPr>
            </w:pPr>
            <w:r>
              <w:rPr>
                <w:rFonts w:ascii="Arial" w:cs="Arial" w:eastAsia="Arial" w:hAnsi="Arial"/>
                <w:sz w:val="16"/>
                <w:szCs w:val="16"/>
                <w:color w:val="auto"/>
              </w:rPr>
              <w:t>657.1</w:t>
            </w:r>
          </w:p>
        </w:tc>
        <w:tc>
          <w:tcPr>
            <w:tcW w:w="120" w:type="dxa"/>
            <w:vAlign w:val="bottom"/>
            <w:vMerge w:val="restart"/>
          </w:tcPr>
          <w:p>
            <w:pPr>
              <w:spacing w:after="0"/>
              <w:rPr>
                <w:sz w:val="14"/>
                <w:szCs w:val="14"/>
                <w:color w:val="auto"/>
              </w:rPr>
            </w:pPr>
          </w:p>
        </w:tc>
        <w:tc>
          <w:tcPr>
            <w:tcW w:w="4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332.8</w:t>
            </w:r>
          </w:p>
        </w:tc>
        <w:tc>
          <w:tcPr>
            <w:tcW w:w="120" w:type="dxa"/>
            <w:vAlign w:val="bottom"/>
          </w:tcPr>
          <w:p>
            <w:pPr>
              <w:spacing w:after="0"/>
              <w:rPr>
                <w:sz w:val="14"/>
                <w:szCs w:val="14"/>
                <w:color w:val="auto"/>
              </w:rPr>
            </w:pPr>
          </w:p>
        </w:tc>
        <w:tc>
          <w:tcPr>
            <w:tcW w:w="600" w:type="dxa"/>
            <w:vAlign w:val="bottom"/>
            <w:vMerge w:val="restart"/>
          </w:tcPr>
          <w:p>
            <w:pPr>
              <w:jc w:val="right"/>
              <w:ind w:right="423"/>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4"/>
                <w:szCs w:val="1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4"/>
            <w:vMerge w:val="restart"/>
          </w:tcPr>
          <w:p>
            <w:pPr>
              <w:jc w:val="right"/>
              <w:spacing w:after="0"/>
              <w:rPr>
                <w:sz w:val="20"/>
                <w:szCs w:val="20"/>
                <w:color w:val="auto"/>
              </w:rPr>
            </w:pPr>
            <w:r>
              <w:rPr>
                <w:rFonts w:ascii="Arial" w:cs="Arial" w:eastAsia="Arial" w:hAnsi="Arial"/>
                <w:sz w:val="16"/>
                <w:szCs w:val="16"/>
                <w:color w:val="auto"/>
              </w:rPr>
              <w:t>1,309.7</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ind w:right="3"/>
              <w:spacing w:after="0"/>
              <w:rPr>
                <w:sz w:val="20"/>
                <w:szCs w:val="20"/>
                <w:color w:val="auto"/>
              </w:rPr>
            </w:pPr>
            <w:r>
              <w:rPr>
                <w:rFonts w:ascii="Arial" w:cs="Arial" w:eastAsia="Arial" w:hAnsi="Arial"/>
                <w:sz w:val="16"/>
                <w:szCs w:val="16"/>
                <w:color w:val="auto"/>
              </w:rPr>
              <w:t>657.1</w:t>
            </w:r>
          </w:p>
        </w:tc>
        <w:tc>
          <w:tcPr>
            <w:tcW w:w="10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6"/>
                <w:szCs w:val="16"/>
                <w:color w:val="auto"/>
              </w:rPr>
              <w:t>332.8</w:t>
            </w:r>
          </w:p>
        </w:tc>
        <w:tc>
          <w:tcPr>
            <w:tcW w:w="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319.8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1,309.7</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6"/>
                <w:szCs w:val="16"/>
                <w:color w:val="auto"/>
              </w:rPr>
              <w:t>June 30, 2022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gridSpan w:val="3"/>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gridSpan w:val="4"/>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gridSpan w:val="2"/>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vMerge w:val="continue"/>
          </w:tcPr>
          <w:p>
            <w:pPr>
              <w:spacing w:after="0"/>
              <w:rPr>
                <w:sz w:val="19"/>
                <w:szCs w:val="19"/>
                <w:color w:val="auto"/>
              </w:rPr>
            </w:pPr>
          </w:p>
        </w:tc>
        <w:tc>
          <w:tcPr>
            <w:tcW w:w="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gridSpan w:val="4"/>
          </w:tcPr>
          <w:p>
            <w:pPr>
              <w:spacing w:after="0"/>
              <w:rPr>
                <w:sz w:val="13"/>
                <w:szCs w:val="13"/>
                <w:color w:val="auto"/>
              </w:rPr>
            </w:pPr>
          </w:p>
        </w:tc>
        <w:tc>
          <w:tcPr>
            <w:tcW w:w="134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124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10"/>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 6/30/2022</w:t>
            </w:r>
          </w:p>
        </w:tc>
        <w:tc>
          <w:tcPr>
            <w:tcW w:w="2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040" w:type="dxa"/>
            <w:vAlign w:val="bottom"/>
            <w:tcBorders>
              <w:bottom w:val="single" w:sz="8" w:color="auto"/>
            </w:tcBorders>
            <w:gridSpan w:val="15"/>
            <w:shd w:val="clear" w:color="auto" w:fill="CCEEFF"/>
          </w:tcPr>
          <w:p>
            <w:pPr>
              <w:jc w:val="right"/>
              <w:ind w:right="600"/>
              <w:spacing w:after="0"/>
              <w:rPr>
                <w:sz w:val="20"/>
                <w:szCs w:val="20"/>
                <w:color w:val="auto"/>
              </w:rPr>
            </w:pPr>
            <w:r>
              <w:rPr>
                <w:rFonts w:ascii="Arial" w:cs="Arial" w:eastAsia="Arial" w:hAnsi="Arial"/>
                <w:sz w:val="14"/>
                <w:szCs w:val="14"/>
                <w:b w:val="1"/>
                <w:bCs w:val="1"/>
                <w:color w:val="auto"/>
              </w:rPr>
              <w:t>Six months ended 6/30/2022</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320"/>
              <w:spacing w:after="0" w:line="147" w:lineRule="exact"/>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5"/>
          </w:tcPr>
          <w:p>
            <w:pPr>
              <w:jc w:val="center"/>
              <w:ind w:right="120"/>
              <w:spacing w:after="0" w:line="145" w:lineRule="exact"/>
              <w:rPr>
                <w:sz w:val="20"/>
                <w:szCs w:val="20"/>
                <w:color w:val="auto"/>
              </w:rPr>
            </w:pPr>
            <w:r>
              <w:rPr>
                <w:rFonts w:ascii="Arial" w:cs="Arial" w:eastAsia="Arial" w:hAnsi="Arial"/>
                <w:sz w:val="14"/>
                <w:szCs w:val="14"/>
                <w:b w:val="1"/>
                <w:bCs w:val="1"/>
                <w:color w:val="auto"/>
              </w:rPr>
              <w:t>including</w:t>
            </w:r>
          </w:p>
        </w:tc>
        <w:tc>
          <w:tcPr>
            <w:tcW w:w="120" w:type="dxa"/>
            <w:vAlign w:val="bottom"/>
          </w:tcPr>
          <w:p>
            <w:pPr>
              <w:spacing w:after="0"/>
              <w:rPr>
                <w:sz w:val="12"/>
                <w:szCs w:val="12"/>
                <w:color w:val="auto"/>
              </w:rPr>
            </w:pPr>
          </w:p>
        </w:tc>
        <w:tc>
          <w:tcPr>
            <w:tcW w:w="7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Multi-</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including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Multi-</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2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1"/>
                <w:szCs w:val="11"/>
                <w:color w:val="auto"/>
              </w:rPr>
            </w:pPr>
          </w:p>
        </w:tc>
        <w:tc>
          <w:tcPr>
            <w:tcW w:w="82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rPr>
              <w:t>money</w:t>
            </w:r>
          </w:p>
        </w:tc>
        <w:tc>
          <w:tcPr>
            <w:tcW w:w="1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13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9"/>
                <w:szCs w:val="9"/>
                <w:b w:val="1"/>
                <w:bCs w:val="1"/>
                <w:color w:val="auto"/>
              </w:rPr>
              <w:t>(3)</w:t>
            </w:r>
          </w:p>
        </w:tc>
        <w:tc>
          <w:tcPr>
            <w:tcW w:w="240" w:type="dxa"/>
            <w:vAlign w:val="bottom"/>
          </w:tcPr>
          <w:p>
            <w:pPr>
              <w:spacing w:after="0"/>
              <w:rPr>
                <w:sz w:val="11"/>
                <w:szCs w:val="11"/>
                <w:color w:val="auto"/>
              </w:rPr>
            </w:pPr>
          </w:p>
        </w:tc>
        <w:tc>
          <w:tcPr>
            <w:tcW w:w="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money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9"/>
                <w:szCs w:val="9"/>
                <w:b w:val="1"/>
                <w:bCs w:val="1"/>
                <w:color w:val="auto"/>
              </w:rPr>
              <w:t>(3)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6"/>
                <w:szCs w:val="16"/>
                <w:color w:val="auto"/>
              </w:rPr>
            </w:pPr>
          </w:p>
        </w:tc>
        <w:tc>
          <w:tcPr>
            <w:tcW w:w="700" w:type="dxa"/>
            <w:vAlign w:val="bottom"/>
            <w:gridSpan w:val="3"/>
          </w:tcPr>
          <w:p>
            <w:pPr>
              <w:jc w:val="center"/>
              <w:ind w:right="220"/>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(2)</w:t>
            </w:r>
          </w:p>
        </w:tc>
        <w:tc>
          <w:tcPr>
            <w:tcW w:w="132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spacing w:after="0" w:line="189" w:lineRule="exact"/>
              <w:rPr>
                <w:sz w:val="20"/>
                <w:szCs w:val="20"/>
                <w:color w:val="auto"/>
              </w:rPr>
            </w:pPr>
            <w:r>
              <w:rPr>
                <w:rFonts w:ascii="Arial" w:cs="Arial" w:eastAsia="Arial" w:hAnsi="Arial"/>
                <w:sz w:val="14"/>
                <w:szCs w:val="14"/>
                <w:b w:val="1"/>
                <w:bCs w:val="1"/>
                <w:color w:val="auto"/>
              </w:rPr>
              <w:t>asset</w:t>
            </w:r>
            <w:r>
              <w:rPr>
                <w:rFonts w:ascii="Arial" w:cs="Arial" w:eastAsia="Arial" w:hAnsi="Arial"/>
                <w:sz w:val="18"/>
                <w:szCs w:val="18"/>
                <w:b w:val="1"/>
                <w:bCs w:val="1"/>
                <w:color w:val="auto"/>
                <w:vertAlign w:val="superscript"/>
              </w:rPr>
              <w:t>(2)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Assets under</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management at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beginning of</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878.0</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175.2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456.4</w:t>
            </w: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1,551.8</w:t>
            </w:r>
          </w:p>
        </w:tc>
        <w:tc>
          <w:tcPr>
            <w:tcW w:w="140" w:type="dxa"/>
            <w:vAlign w:val="bottom"/>
            <w:tcBorders>
              <w:right w:val="single" w:sz="8" w:color="auto"/>
            </w:tcBorders>
            <w:shd w:val="clear" w:color="auto" w:fill="CCEEFF"/>
          </w:tcPr>
          <w:p>
            <w:pPr>
              <w:spacing w:after="0"/>
              <w:rPr>
                <w:sz w:val="14"/>
                <w:szCs w:val="14"/>
                <w:color w:val="auto"/>
              </w:rPr>
            </w:pPr>
          </w:p>
        </w:tc>
        <w:tc>
          <w:tcPr>
            <w:tcW w:w="200" w:type="dxa"/>
            <w:vAlign w:val="bottom"/>
            <w:gridSpan w:val="2"/>
            <w:vMerge w:val="restart"/>
            <w:shd w:val="clear" w:color="auto" w:fill="CCEEFF"/>
          </w:tcPr>
          <w:p>
            <w:pPr>
              <w:jc w:val="center"/>
              <w:ind w:left="24"/>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992.7</w:t>
            </w:r>
          </w:p>
        </w:tc>
        <w:tc>
          <w:tcPr>
            <w:tcW w:w="8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175.7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477.7</w:t>
            </w:r>
          </w:p>
        </w:tc>
        <w:tc>
          <w:tcPr>
            <w:tcW w:w="6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41.7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period</w:t>
            </w: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600" w:type="dxa"/>
            <w:vAlign w:val="bottom"/>
            <w:gridSpan w:val="3"/>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0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3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Arial" w:cs="Arial" w:eastAsia="Arial" w:hAnsi="Arial"/>
                <w:sz w:val="16"/>
                <w:szCs w:val="16"/>
                <w:color w:val="auto"/>
              </w:rPr>
              <w:t>Net market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Arial" w:cs="Arial" w:eastAsia="Arial" w:hAnsi="Arial"/>
                <w:sz w:val="16"/>
                <w:szCs w:val="16"/>
                <w:color w:val="auto"/>
              </w:rPr>
              <w:t>depreciation and</w:t>
            </w: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restart"/>
          </w:tcPr>
          <w:p>
            <w:pPr>
              <w:jc w:val="center"/>
              <w:ind w:left="4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6"/>
                <w:szCs w:val="16"/>
                <w:color w:val="auto"/>
              </w:rPr>
              <w:t>(227.4)</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(257.5)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center"/>
              <w:ind w:left="22"/>
              <w:spacing w:after="0"/>
              <w:rPr>
                <w:sz w:val="20"/>
                <w:szCs w:val="20"/>
                <w:color w:val="auto"/>
              </w:rPr>
            </w:pPr>
            <w:r>
              <w:rPr>
                <w:rFonts w:ascii="Arial" w:cs="Arial" w:eastAsia="Arial" w:hAnsi="Arial"/>
                <w:sz w:val="16"/>
                <w:szCs w:val="16"/>
                <w:color w:val="auto"/>
              </w:rPr>
              <w:t>(86.4)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(358.1)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losses</w:t>
            </w:r>
            <w:r>
              <w:rPr>
                <w:rFonts w:ascii="Arial" w:cs="Arial" w:eastAsia="Arial" w:hAnsi="Arial"/>
                <w:sz w:val="21"/>
                <w:szCs w:val="21"/>
                <w:color w:val="auto"/>
                <w:vertAlign w:val="superscript"/>
              </w:rPr>
              <w:t>(4)</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3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Change during</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center"/>
              <w:ind w:left="4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(293.1)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center"/>
              <w:ind w:left="22"/>
              <w:spacing w:after="0"/>
              <w:rPr>
                <w:sz w:val="20"/>
                <w:szCs w:val="20"/>
                <w:color w:val="auto"/>
              </w:rPr>
            </w:pPr>
            <w:r>
              <w:rPr>
                <w:rFonts w:ascii="Arial" w:cs="Arial" w:eastAsia="Arial" w:hAnsi="Arial"/>
                <w:sz w:val="16"/>
                <w:szCs w:val="16"/>
                <w:color w:val="auto"/>
              </w:rPr>
              <w:t>(81.8)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period</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6"/>
                <w:szCs w:val="16"/>
                <w:color w:val="auto"/>
              </w:rPr>
              <w:t>Assets under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Arial" w:cs="Arial" w:eastAsia="Arial" w:hAnsi="Arial"/>
                <w:sz w:val="16"/>
                <w:szCs w:val="16"/>
                <w:color w:val="auto"/>
              </w:rPr>
              <w:t>management at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699.6</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w w:val="99"/>
              </w:rPr>
              <w:t>171.1</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tcPr>
          <w:p>
            <w:pPr>
              <w:jc w:val="right"/>
              <w:spacing w:after="0"/>
              <w:rPr>
                <w:sz w:val="20"/>
                <w:szCs w:val="20"/>
                <w:color w:val="auto"/>
              </w:rPr>
            </w:pPr>
            <w:r>
              <w:rPr>
                <w:rFonts w:ascii="Arial" w:cs="Arial" w:eastAsia="Arial" w:hAnsi="Arial"/>
                <w:sz w:val="16"/>
                <w:szCs w:val="16"/>
                <w:color w:val="auto"/>
              </w:rPr>
              <w:t>395.9</w:t>
            </w:r>
          </w:p>
        </w:tc>
        <w:tc>
          <w:tcPr>
            <w:tcW w:w="120" w:type="dxa"/>
            <w:vAlign w:val="bottom"/>
          </w:tcPr>
          <w:p>
            <w:pPr>
              <w:spacing w:after="0"/>
              <w:rPr>
                <w:sz w:val="14"/>
                <w:szCs w:val="14"/>
                <w:color w:val="auto"/>
              </w:rPr>
            </w:pPr>
          </w:p>
        </w:tc>
        <w:tc>
          <w:tcPr>
            <w:tcW w:w="500" w:type="dxa"/>
            <w:vAlign w:val="bottom"/>
            <w:vMerge w:val="restart"/>
          </w:tcPr>
          <w:p>
            <w:pPr>
              <w:jc w:val="right"/>
              <w:ind w:right="32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4"/>
                <w:szCs w:val="14"/>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600" w:type="dxa"/>
            <w:vAlign w:val="bottom"/>
            <w:gridSpan w:val="3"/>
            <w:vMerge w:val="restart"/>
          </w:tcPr>
          <w:p>
            <w:pPr>
              <w:jc w:val="right"/>
              <w:spacing w:after="0"/>
              <w:rPr>
                <w:sz w:val="20"/>
                <w:szCs w:val="20"/>
                <w:color w:val="auto"/>
              </w:rPr>
            </w:pPr>
            <w:r>
              <w:rPr>
                <w:rFonts w:ascii="Arial" w:cs="Arial" w:eastAsia="Arial" w:hAnsi="Arial"/>
                <w:sz w:val="16"/>
                <w:szCs w:val="16"/>
                <w:color w:val="auto"/>
                <w:w w:val="97"/>
              </w:rPr>
              <w:t>1,309.7</w:t>
            </w:r>
          </w:p>
        </w:tc>
        <w:tc>
          <w:tcPr>
            <w:tcW w:w="140" w:type="dxa"/>
            <w:vAlign w:val="bottom"/>
            <w:tcBorders>
              <w:right w:val="single" w:sz="8" w:color="auto"/>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1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699.6</w:t>
            </w:r>
          </w:p>
        </w:tc>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171.1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jc w:val="right"/>
              <w:ind w:right="2"/>
              <w:spacing w:after="0"/>
              <w:rPr>
                <w:sz w:val="20"/>
                <w:szCs w:val="20"/>
                <w:color w:val="auto"/>
              </w:rPr>
            </w:pPr>
            <w:r>
              <w:rPr>
                <w:rFonts w:ascii="Arial" w:cs="Arial" w:eastAsia="Arial" w:hAnsi="Arial"/>
                <w:sz w:val="16"/>
                <w:szCs w:val="16"/>
                <w:color w:val="auto"/>
              </w:rPr>
              <w:t>395.9</w:t>
            </w:r>
          </w:p>
        </w:tc>
        <w:tc>
          <w:tcPr>
            <w:tcW w:w="6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1,309.7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6"/>
                <w:szCs w:val="16"/>
                <w:color w:val="auto"/>
              </w:rPr>
              <w:t>June 30, 2022</w:t>
            </w:r>
          </w:p>
        </w:tc>
        <w:tc>
          <w:tcPr>
            <w:tcW w:w="1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gridSpan w:val="3"/>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vMerge w:val="continue"/>
          </w:tcPr>
          <w:p>
            <w:pPr>
              <w:spacing w:after="0"/>
              <w:rPr>
                <w:sz w:val="19"/>
                <w:szCs w:val="19"/>
                <w:color w:val="auto"/>
              </w:rPr>
            </w:pPr>
          </w:p>
        </w:tc>
        <w:tc>
          <w:tcPr>
            <w:tcW w:w="720" w:type="dxa"/>
            <w:vAlign w:val="bottom"/>
            <w:tcBorders>
              <w:bottom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60" w:hanging="252"/>
        <w:spacing w:after="0" w:line="230" w:lineRule="auto"/>
        <w:tabs>
          <w:tab w:leader="none" w:pos="260"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fee basis assets under management.</w:t>
      </w:r>
    </w:p>
    <w:p>
      <w:pPr>
        <w:ind w:left="240" w:hanging="232"/>
        <w:spacing w:after="0" w:line="200" w:lineRule="auto"/>
        <w:tabs>
          <w:tab w:leader="none" w:pos="2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22" w:lineRule="exact"/>
        <w:rPr>
          <w:rFonts w:ascii="Arial" w:cs="Arial" w:eastAsia="Arial" w:hAnsi="Arial"/>
          <w:sz w:val="16"/>
          <w:szCs w:val="16"/>
          <w:i w:val="1"/>
          <w:iCs w:val="1"/>
          <w:color w:val="auto"/>
          <w:vertAlign w:val="superscript"/>
        </w:rPr>
      </w:pPr>
    </w:p>
    <w:p>
      <w:pPr>
        <w:ind w:left="180" w:right="360" w:hanging="172"/>
        <w:spacing w:after="0"/>
        <w:tabs>
          <w:tab w:leader="none" w:pos="157" w:val="left"/>
        </w:tabs>
        <w:numPr>
          <w:ilvl w:val="0"/>
          <w:numId w:val="8"/>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w:t>
      </w:r>
    </w:p>
    <w:p>
      <w:pPr>
        <w:ind w:left="240" w:hanging="232"/>
        <w:spacing w:after="0" w:line="200" w:lineRule="auto"/>
        <w:tabs>
          <w:tab w:leader="none" w:pos="2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distributions reinvested and not reinvested.</w:t>
      </w:r>
    </w:p>
    <w:p>
      <w:pPr>
        <w:sectPr>
          <w:pgSz w:w="11900" w:h="16838" w:orient="portrait"/>
          <w:cols w:equalWidth="0" w:num="1">
            <w:col w:w="11240"/>
          </w:cols>
          <w:pgMar w:left="320" w:top="8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type w:val="continuous"/>
        </w:sectPr>
      </w:pPr>
    </w:p>
    <w:bookmarkStart w:id="24" w:name="page25"/>
    <w:bookmarkEnd w:id="24"/>
    <w:p>
      <w:pPr>
        <w:ind w:right="260"/>
        <w:spacing w:after="0" w:line="287" w:lineRule="auto"/>
        <w:rPr>
          <w:sz w:val="20"/>
          <w:szCs w:val="20"/>
          <w:color w:val="auto"/>
        </w:rPr>
      </w:pPr>
      <w:r>
        <w:rPr>
          <w:rFonts w:ascii="Arial" w:cs="Arial" w:eastAsia="Arial" w:hAnsi="Arial"/>
          <w:sz w:val="18"/>
          <w:szCs w:val="18"/>
          <w:color w:val="auto"/>
        </w:rPr>
        <w:t>Investment advisory clients outside the United States account for 9.4% of our assets under management at June 30, 2022, 9.7% at March 31, 2022, and 9.9% at December 31, 2021.</w:t>
      </w:r>
    </w:p>
    <w:p>
      <w:pPr>
        <w:spacing w:after="0" w:line="18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these portfolios, as well as net cash inflows (outflows), by vehicle, were as follows: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gridSpan w:val="6"/>
            <w:shd w:val="clear" w:color="auto" w:fill="CCEEFF"/>
          </w:tcPr>
          <w:p>
            <w:pPr>
              <w:ind w:left="80"/>
              <w:spacing w:after="0"/>
              <w:rPr>
                <w:sz w:val="20"/>
                <w:szCs w:val="20"/>
                <w:color w:val="auto"/>
              </w:rPr>
            </w:pPr>
            <w:r>
              <w:rPr>
                <w:rFonts w:ascii="Arial" w:cs="Arial" w:eastAsia="Arial" w:hAnsi="Arial"/>
                <w:sz w:val="14"/>
                <w:szCs w:val="14"/>
                <w:b w:val="1"/>
                <w:bCs w:val="1"/>
                <w:color w:val="auto"/>
              </w:rPr>
              <w:t>Net cash inflows (outflows)</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tcBorders>
              <w:right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Assets under management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Borders>
              <w:right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4"/>
          </w:tcPr>
          <w:p>
            <w:pPr>
              <w:jc w:val="right"/>
              <w:ind w:right="40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b w:val="1"/>
                <w:bCs w:val="1"/>
                <w:color w:val="auto"/>
              </w:rPr>
              <w:t>3/31/2022</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4"/>
                <w:szCs w:val="14"/>
                <w:b w:val="1"/>
                <w:bCs w:val="1"/>
                <w:color w:val="auto"/>
              </w:rPr>
              <w:t>12/31/2021</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4"/>
                <w:szCs w:val="14"/>
                <w:b w:val="1"/>
                <w:bCs w:val="1"/>
                <w:color w:val="auto"/>
              </w:rPr>
              <w:t>6/30/2021</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b w:val="1"/>
                <w:bCs w:val="1"/>
                <w:color w:val="auto"/>
              </w:rPr>
              <w:t>6/30/2021</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5"/>
                <w:szCs w:val="15"/>
                <w:color w:val="auto"/>
              </w:rPr>
              <w:t>U.S. mutual funds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150.6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187.1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Collective investment trusts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191.1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line="149" w:lineRule="exact"/>
              <w:rPr>
                <w:sz w:val="20"/>
                <w:szCs w:val="20"/>
                <w:color w:val="auto"/>
              </w:rPr>
            </w:pPr>
            <w:r>
              <w:rPr>
                <w:rFonts w:ascii="Arial" w:cs="Arial" w:eastAsia="Arial" w:hAnsi="Arial"/>
                <w:sz w:val="15"/>
                <w:szCs w:val="15"/>
                <w:color w:val="auto"/>
              </w:rPr>
              <w:t>Subadvised and separately managed</w:t>
            </w:r>
          </w:p>
        </w:tc>
        <w:tc>
          <w:tcPr>
            <w:tcW w:w="160" w:type="dxa"/>
            <w:vAlign w:val="bottom"/>
          </w:tcPr>
          <w:p>
            <w:pPr>
              <w:spacing w:after="0"/>
              <w:rPr>
                <w:sz w:val="12"/>
                <w:szCs w:val="12"/>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12.9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5"/>
                <w:szCs w:val="15"/>
                <w:color w:val="auto"/>
              </w:rPr>
              <w:t>accounts</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391.1</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provide strategic investment advice solutions for certain portfolios. These advice solutions, which the vast majority is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June 30, 2022, total assets in these solutions were $405 billion, of which $398 billion are included in our reported assets under management in the tables above.</w:t>
      </w:r>
    </w:p>
    <w:p>
      <w:pPr>
        <w:spacing w:after="0" w:line="2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provide participant accounting and plan administration for defined contribution retirement plans that invest in the firm's U.S. mutual funds, collective investment trusts and funds outside of the firm's complex. As of June 30, 2022, our assets under administration were $216 billion, of which nearly $133 billion are assets we manage.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and brand awareness is a key driver to attracting and retaining assets—and to our long-term success.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include specific asset classes, assets under management weighted performance, mutual fund performance against passive peers and composite performance against benchmarks. The following tables present investment performance for the one-, three-, five-, and 10-years ended June 30, 2022. Past performance is no guarantee of future results.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79%</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65%</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77%</w:t>
            </w:r>
          </w:p>
        </w:tc>
      </w:tr>
      <w:tr>
        <w:trPr>
          <w:trHeight w:val="109"/>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48%</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71%</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18%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86%</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r>
      <w:tr>
        <w:trPr>
          <w:trHeight w:val="162"/>
        </w:trPr>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79%</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r>
      <w:tr>
        <w:trPr>
          <w:trHeight w:val="148"/>
        </w:trPr>
        <w:tc>
          <w:tcPr>
            <w:tcW w:w="3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85%</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98%</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88%</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52%</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43%</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62%</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60%</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97%</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72%</w:t>
            </w:r>
          </w:p>
        </w:tc>
      </w:tr>
      <w:tr>
        <w:trPr>
          <w:trHeight w:val="163"/>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43%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42%</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70%</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71%</w:t>
            </w:r>
          </w:p>
        </w:tc>
      </w:tr>
    </w:tbl>
    <w:p>
      <w:pPr>
        <w:spacing w:after="0" w:line="9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of June 30, 2022, 69 of 124 (55.6%)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72%</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the firm's rated U.S. mutual funds (across primary share classes) ended June 30, 2022 with an overall rating of 4 or 5 stars.</w:t>
      </w:r>
    </w:p>
    <w:p>
      <w:pPr>
        <w:spacing w:after="0" w:line="196"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investment performance reflects that of T. Rowe Price sponsored mutual funds and composites AUM and not of OHA’s products.</w:t>
      </w:r>
    </w:p>
    <w:p>
      <w:pPr>
        <w:ind w:left="140" w:hanging="132"/>
        <w:spacing w:after="0"/>
        <w:tabs>
          <w:tab w:leader="none" w:pos="140"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Source: © 2022 Morningstar, Inc. All rights reserved. The information contained herein: 1) is proprietary to Morningstar and/or its content providers; 2) may not be copied or</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i w:val="1"/>
          <w:iCs w:val="1"/>
          <w:color w:val="auto"/>
        </w:rPr>
        <w:t>distributed; and 3) is not warranted to be accurate, complete, or timely. Neither Morningstar nor its content providers are responsible for any damages or losses arising from any use of this information.</w:t>
      </w:r>
    </w:p>
    <w:p>
      <w:pPr>
        <w:ind w:right="60" w:firstLine="8"/>
        <w:spacing w:after="0" w:line="229" w:lineRule="auto"/>
        <w:tabs>
          <w:tab w:leader="none" w:pos="154" w:val="left"/>
        </w:tabs>
        <w:numPr>
          <w:ilvl w:val="0"/>
          <w:numId w:val="1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AUM included for this analysis includes $320B for 1 year, $320B for 3 years, $320B for 5 years, and $314B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29" w:lineRule="auto"/>
        <w:tabs>
          <w:tab w:leader="none" w:pos="154" w:val="left"/>
        </w:tabs>
        <w:numPr>
          <w:ilvl w:val="0"/>
          <w:numId w:val="10"/>
        </w:numPr>
        <w:rPr>
          <w:rFonts w:ascii="Arial" w:cs="Arial" w:eastAsia="Arial" w:hAnsi="Arial"/>
          <w:sz w:val="9"/>
          <w:szCs w:val="9"/>
          <w:i w:val="1"/>
          <w:iCs w:val="1"/>
          <w:color w:val="auto"/>
        </w:rPr>
      </w:pPr>
      <w:r>
        <w:rPr>
          <w:rFonts w:ascii="Arial" w:cs="Arial" w:eastAsia="Arial" w:hAnsi="Arial"/>
          <w:sz w:val="14"/>
          <w:szCs w:val="14"/>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$302B for 1 year, $300B for 3 years, $299B for 5 years, and $257B for 10 years.</w:t>
      </w:r>
    </w:p>
    <w:p>
      <w:pPr>
        <w:spacing w:after="0" w:line="1" w:lineRule="exact"/>
        <w:rPr>
          <w:rFonts w:ascii="Arial" w:cs="Arial" w:eastAsia="Arial" w:hAnsi="Arial"/>
          <w:sz w:val="9"/>
          <w:szCs w:val="9"/>
          <w:i w:val="1"/>
          <w:iCs w:val="1"/>
          <w:color w:val="auto"/>
        </w:rPr>
      </w:pPr>
    </w:p>
    <w:p>
      <w:pPr>
        <w:ind w:right="280"/>
        <w:spacing w:after="0" w:line="231" w:lineRule="auto"/>
        <w:rPr>
          <w:rFonts w:ascii="Arial" w:cs="Arial" w:eastAsia="Arial" w:hAnsi="Arial"/>
          <w:sz w:val="9"/>
          <w:szCs w:val="9"/>
          <w:i w:val="1"/>
          <w:iCs w:val="1"/>
          <w:color w:val="auto"/>
        </w:rPr>
      </w:pPr>
      <w:r>
        <w:rPr>
          <w:rFonts w:ascii="Arial" w:cs="Arial" w:eastAsia="Arial" w:hAnsi="Arial"/>
          <w:sz w:val="9"/>
          <w:szCs w:val="9"/>
          <w:i w:val="1"/>
          <w:iCs w:val="1"/>
          <w:color w:val="auto"/>
        </w:rPr>
        <w:t>(5)</w:t>
      </w: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$417B for 1 year, $507B for 3 years, $478B for 5 years, and $778B for 10 years.</w:t>
      </w:r>
    </w:p>
    <w:p>
      <w:pPr>
        <w:spacing w:after="0" w:line="1" w:lineRule="exact"/>
        <w:rPr>
          <w:rFonts w:ascii="Arial" w:cs="Arial" w:eastAsia="Arial" w:hAnsi="Arial"/>
          <w:sz w:val="9"/>
          <w:szCs w:val="9"/>
          <w:i w:val="1"/>
          <w:iCs w:val="1"/>
          <w:color w:val="auto"/>
        </w:rPr>
      </w:pPr>
    </w:p>
    <w:p>
      <w:pPr>
        <w:ind w:right="100" w:firstLine="8"/>
        <w:spacing w:after="0" w:line="241" w:lineRule="auto"/>
        <w:tabs>
          <w:tab w:leader="none" w:pos="154" w:val="left"/>
        </w:tabs>
        <w:numPr>
          <w:ilvl w:val="0"/>
          <w:numId w:val="11"/>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six months ended June 30, 2022 and 2021 on a U.S. GAAP basis as well as a non-GAAP basis. The 2022 periods reflect the operating results of OHA, which was acquired at the end of 2021. The non-GAAP basis adjusts for the impact of our consolidated T. Rowe Price investment products, the impact of market movements on the supplemental savings plan liability and related economic hedges, investment income related to certain other investments, acquisition-related amortization and costs, and certain nonrecurring charges and gains.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Q2 2022 vs. Q2 2021</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YTD 2022 vs. YTD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Pr>
          <w:p>
            <w:pPr>
              <w:spacing w:after="0"/>
              <w:rPr>
                <w:sz w:val="16"/>
                <w:szCs w:val="16"/>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8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9"/>
              </w:rPr>
              <w:t>U.S. GAAP basis</w:t>
            </w:r>
          </w:p>
        </w:tc>
        <w:tc>
          <w:tcPr>
            <w:tcW w:w="10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1,496.7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1,787.2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(290.5)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3,158.8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3,475.0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(316.2)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line="217" w:lineRule="exact"/>
              <w:rPr>
                <w:sz w:val="20"/>
                <w:szCs w:val="20"/>
                <w:color w:val="auto"/>
              </w:rPr>
            </w:pPr>
            <w:r>
              <w:rPr>
                <w:rFonts w:ascii="Arial" w:cs="Arial" w:eastAsia="Arial" w:hAnsi="Arial"/>
                <w:sz w:val="16"/>
                <w:szCs w:val="16"/>
                <w:color w:val="auto"/>
              </w:rPr>
              <w:t>Capital allocation-based income</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ind w:left="76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Net 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1,929.3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3,376.0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3,756.1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(380.1)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Net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(289.5)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1,546.0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1,851.3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(305.3)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line="217"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ind w:left="76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spacing w:after="0" w:line="162" w:lineRule="exact"/>
              <w:rPr>
                <w:sz w:val="20"/>
                <w:szCs w:val="20"/>
                <w:color w:val="auto"/>
              </w:rPr>
            </w:pPr>
            <w:r>
              <w:rPr>
                <w:rFonts w:ascii="Arial" w:cs="Arial" w:eastAsia="Arial" w:hAnsi="Arial"/>
                <w:sz w:val="16"/>
                <w:szCs w:val="16"/>
                <w:color w:val="auto"/>
              </w:rPr>
              <w:t>Net income attributable to</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339.6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815.7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907.5</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1,565.1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(657.6)</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T. Rowe Price</w:t>
            </w: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520" w:type="dxa"/>
            <w:vAlign w:val="bottom"/>
            <w:gridSpan w:val="4"/>
            <w:shd w:val="clear" w:color="auto" w:fill="CCEEFF"/>
          </w:tcPr>
          <w:p>
            <w:pPr>
              <w:spacing w:after="0" w:line="163" w:lineRule="exact"/>
              <w:rPr>
                <w:sz w:val="20"/>
                <w:szCs w:val="20"/>
                <w:color w:val="auto"/>
              </w:rPr>
            </w:pPr>
            <w:r>
              <w:rPr>
                <w:rFonts w:ascii="Arial" w:cs="Arial" w:eastAsia="Arial" w:hAnsi="Arial"/>
                <w:sz w:val="16"/>
                <w:szCs w:val="16"/>
                <w:color w:val="auto"/>
              </w:rPr>
              <w:t>Diluted earnings per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share</w:t>
            </w: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spacing w:after="0" w:line="162" w:lineRule="exact"/>
              <w:rPr>
                <w:sz w:val="20"/>
                <w:szCs w:val="20"/>
                <w:color w:val="auto"/>
              </w:rPr>
            </w:pPr>
            <w:r>
              <w:rPr>
                <w:rFonts w:ascii="Arial" w:cs="Arial" w:eastAsia="Arial" w:hAnsi="Arial"/>
                <w:sz w:val="16"/>
                <w:szCs w:val="16"/>
                <w:color w:val="auto"/>
              </w:rPr>
              <w:t>Weighted average common</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spacing w:after="0" w:line="162" w:lineRule="exact"/>
              <w:rPr>
                <w:sz w:val="20"/>
                <w:szCs w:val="20"/>
                <w:color w:val="auto"/>
              </w:rPr>
            </w:pPr>
            <w:r>
              <w:rPr>
                <w:rFonts w:ascii="Arial" w:cs="Arial" w:eastAsia="Arial" w:hAnsi="Arial"/>
                <w:sz w:val="16"/>
                <w:szCs w:val="16"/>
                <w:color w:val="auto"/>
              </w:rPr>
              <w:t>shares outstanding assuming</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229.6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52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dilution</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4"/>
          </w:tcPr>
          <w:p>
            <w:pPr>
              <w:spacing w:after="0" w:line="176"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20"/>
                <w:szCs w:val="20"/>
                <w:b w:val="1"/>
                <w:bCs w:val="1"/>
                <w:color w:val="auto"/>
                <w:vertAlign w:val="superscript"/>
              </w:rPr>
              <w:t>(2)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Net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(418.9)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1,417.7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1,917.5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(499.8)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line="217"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ind w:left="76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spacing w:after="0" w:line="162" w:lineRule="exact"/>
              <w:rPr>
                <w:sz w:val="20"/>
                <w:szCs w:val="20"/>
                <w:color w:val="auto"/>
              </w:rPr>
            </w:pPr>
            <w:r>
              <w:rPr>
                <w:rFonts w:ascii="Arial" w:cs="Arial" w:eastAsia="Arial" w:hAnsi="Arial"/>
                <w:sz w:val="16"/>
                <w:szCs w:val="16"/>
                <w:color w:val="auto"/>
              </w:rPr>
              <w:t>Net income attributable to</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417.7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779.0</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(361.3)</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1,034.6</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1,491.0</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(456.4)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T. Rowe Price</w:t>
            </w: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520" w:type="dxa"/>
            <w:vAlign w:val="bottom"/>
            <w:gridSpan w:val="4"/>
            <w:shd w:val="clear" w:color="auto" w:fill="CCEEFF"/>
          </w:tcPr>
          <w:p>
            <w:pPr>
              <w:spacing w:after="0" w:line="163" w:lineRule="exact"/>
              <w:rPr>
                <w:sz w:val="20"/>
                <w:szCs w:val="20"/>
                <w:color w:val="auto"/>
              </w:rPr>
            </w:pPr>
            <w:r>
              <w:rPr>
                <w:rFonts w:ascii="Arial" w:cs="Arial" w:eastAsia="Arial" w:hAnsi="Arial"/>
                <w:sz w:val="16"/>
                <w:szCs w:val="16"/>
                <w:color w:val="auto"/>
              </w:rPr>
              <w:t>Diluted earnings per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share</w:t>
            </w: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7"/>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2080" w:type="dxa"/>
            <w:vAlign w:val="bottom"/>
            <w:tcBorders>
              <w:top w:val="single" w:sz="8" w:color="auto"/>
            </w:tcBorders>
            <w:gridSpan w:val="3"/>
          </w:tcPr>
          <w:p>
            <w:pPr>
              <w:spacing w:after="0" w:line="162" w:lineRule="exact"/>
              <w:rPr>
                <w:sz w:val="20"/>
                <w:szCs w:val="20"/>
                <w:color w:val="auto"/>
              </w:rPr>
            </w:pPr>
            <w:r>
              <w:rPr>
                <w:rFonts w:ascii="Arial" w:cs="Arial" w:eastAsia="Arial" w:hAnsi="Arial"/>
                <w:sz w:val="16"/>
                <w:szCs w:val="16"/>
                <w:color w:val="auto"/>
              </w:rPr>
              <w:t>Average assets under</w:t>
            </w:r>
          </w:p>
        </w:tc>
        <w:tc>
          <w:tcPr>
            <w:tcW w:w="4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1,407.1</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1,585.3</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(178.2)</w:t>
            </w:r>
          </w:p>
        </w:tc>
        <w:tc>
          <w:tcPr>
            <w:tcW w:w="10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top w:val="single" w:sz="8" w:color="CCEEFF"/>
              <w:right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1,483.0</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1,547.1</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6"/>
                <w:szCs w:val="16"/>
                <w:color w:val="auto"/>
              </w:rPr>
              <w:t>management</w:t>
            </w: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Ending assets under management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is not meaningful (n/m).</w:t>
      </w:r>
    </w:p>
    <w:p>
      <w:pPr>
        <w:spacing w:after="0" w:line="26" w:lineRule="exact"/>
        <w:rPr>
          <w:rFonts w:ascii="Arial" w:cs="Arial" w:eastAsia="Arial" w:hAnsi="Arial"/>
          <w:sz w:val="9"/>
          <w:szCs w:val="9"/>
          <w:i w:val="1"/>
          <w:iCs w:val="1"/>
          <w:color w:val="auto"/>
        </w:rPr>
      </w:pPr>
    </w:p>
    <w:p>
      <w:pPr>
        <w:ind w:left="140" w:hanging="132"/>
        <w:spacing w:after="0" w:line="229"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June 30,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administrative, distribution, and servicing fees; and capital allocation-based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net revenues were $1,513.0 million in the second quarter of 2022 compared with $1,929.3 million in the second quarter of 2021.</w:t>
      </w:r>
    </w:p>
    <w:p>
      <w:pPr>
        <w:spacing w:after="0" w:line="2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Capital allocation income will fluctuate quarter-to-quarter to reflect the adjustment made to accrued carried interest for the change in value of the affiliated funds as if the funds’ underlying investments were realized as of June 30, 2022, regardless of whether the funds’ underlying investments have been realized.</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$844.4 million in the second quarter of 2022 compared with $971.2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2021. On a non-GAAP basis, operating expenses were $947.3 million, a 1.7% increase over the comparable 2021 period. Our non-GAAP operating expenses exclude the impact of the supplemental savings plan, consolidated sponsored products, the remeasurement of the contingent consideration liability, amortization of certain acquisition-related assets, and other acquisition-related costs. See our non-GAAP reconciliations later in this Management’s Discussion and Analysis section. Our operating expenses in the second quarter of 2022 include OHA's operating expenses as a result of the acquisition at the end of 2021. OHA's operating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expenses primarily impact compensation expense; technology, occupancy, and facility costs; and general, administrative and other costs.</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increase in our non-GAAP operating expenses was primarily attributable to higher salaries and benefits, the addition of OHA operating expenses, and higher costs related to the ongoing investment in the firm's technology capabilities. These increases were mostly offset by lower distribution and servicing costs due to lower average assets under management. The second quarter of 2022 non-GAAP operating expenses includes compensation-related expenses associated with capital allocation-based income.</w:t>
      </w:r>
    </w:p>
    <w:p>
      <w:pPr>
        <w:spacing w:after="0" w:line="2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2022 was 44.2%, compared to 49.7% earned in the 2021 quarter. The decrease in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margin for the second quarter of 2022 compared to the 2021 period was primarily driven by larger decreases in net revenues, primarily investment advisory fee revenue, as compared to the decreases in operating expenses, primarily due to the decrease in the supplemental savings plan liability, in the second quarter of 2022. Further, the impacts of capital allocation-based income and carried interest-related compensation are reflected in the operating margin for the second quarter of 2022.</w:t>
      </w:r>
    </w:p>
    <w:p>
      <w:pPr>
        <w:spacing w:after="0" w:line="20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$1.46 for the second quarter of 2022 as compared to $3.46 for the second quarter of 2021.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lower operating income and by net investment losses recognized in the second quarter of 2022 as compared to net investment gains in the second quarter of 2021, as market performance in the second quarter of 2022 was outpaced by the strong market returns in 2021.</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 non-GAAP basis, diluted earnings per share was $1.79 for the second quarter of 2022 as compared to $3.31 for the second quarter of 2021. Similar to our U.S. GAAP diluted earnings, the decrease is largely attributable to lower operating income compared to the 2021 period and net investment losses on our cash investment strategy recognized in the second quarter of 2022 as compared to net investment gains in the second quarter of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June 30, 2022</w:t>
      </w:r>
    </w:p>
    <w:p>
      <w:pPr>
        <w:spacing w:after="0" w:line="2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administrative, distribution, and servicing fees; and 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net revenues were $3,376.0 million in the six months ended June 30, 2022 compared with $3,756.1 million in the six months ended June 30, 2021.</w:t>
      </w:r>
    </w:p>
    <w:p>
      <w:pPr>
        <w:spacing w:after="0" w:line="2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$1,830.0 million in the six months ended June 30, 2022 compared with $1,904.8 million in the 2021 period. On a</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basis, our operating expenses for the six months ended June 30, 2022 increased 7.9% to $1,986.4 million compared to the 2021 period. Our non-GAAP operating expenses exclude the impact of the supplemental savings plan, consolidated sponsored products, the remeasurement of the contingent consideration liability, amortization of certain acquisition-related assets, and other acquisition-related costs. See our non-GAAP reconciliations later in this Management’s Discussion and Analysis section. Our operating expenses for the six months ended June 30, 2022 include OHA's operating expenses as a result of the acquisition at the end of 2021. OHA's operating expenses primarily impact compensation expense; technology, occupancy, and facility costs; and general, administrative and other costs.</w:t>
      </w:r>
    </w:p>
    <w:p>
      <w:pPr>
        <w:spacing w:after="0" w:line="21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increase in our non-GAAP operating expenses for the six months ended June 30, 2022 compared with the 2021 period was primarily due to higher compensation expenses, including increased salaries and benefits. The addition of OHA operating expenses and higher technology and facility costs also contributed to the increase. These increases were partially offset by lower distribution and servicing costs due to lower average assets under management.</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updated our forecasted 2022 non-GAAP operating expenses from a range of 10% to 14% to a range of 4% to 7% to reflect lower market-related expenses and a slower pace of hiring. The addition of a full-year of OHA's operating expenses, since the acquisition at end of 2021, is driving most of the 2022 forecasted expense growth. We could elect to further adjust our expense growth should unforeseen circumstances arise, including significant market movements.</w:t>
      </w:r>
    </w:p>
    <w:p>
      <w:pPr>
        <w:spacing w:after="0" w:line="20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six months ended June 30, 2022 was 45.8%, compared to 49.3% earned in the 2021 period. The decrease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margin for the six months ended June 30, 2022 compared to the 2021 period was primarily driven by larger decreases in net revenues, primarily investment advisory fee revenue, as compared to the decreases in operating expenses, primarily the decrease in the supplemental savings plan liability, for the six</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28" w:name="page29"/>
    <w:bookmarkEnd w:id="28"/>
    <w:p>
      <w:pPr>
        <w:ind w:right="20"/>
        <w:spacing w:after="0" w:line="287" w:lineRule="auto"/>
        <w:rPr>
          <w:sz w:val="20"/>
          <w:szCs w:val="20"/>
          <w:color w:val="auto"/>
        </w:rPr>
      </w:pPr>
      <w:r>
        <w:rPr>
          <w:rFonts w:ascii="Arial" w:cs="Arial" w:eastAsia="Arial" w:hAnsi="Arial"/>
          <w:sz w:val="18"/>
          <w:szCs w:val="18"/>
          <w:color w:val="auto"/>
        </w:rPr>
        <w:t>months ended June 30, 2022. Further, the impacts of capital allocation-based income and carried interest-related compensation are reflected in the operating margin for the six months ended June 30, 2022.</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$3.88 for the six months ended June 30, 2022 as compared to $6.63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41.5% decrease was primarily driven by net investment losses recognized in the six months ended June 30, 2022 as compared to net investment gains in the six months ended June 30, 2021, as the market performance in the second quarter of 2022 was outpaced by the strong market returns in 2021, and by lower operating income.</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a non-GAAP basis, diluted earnings per share was $4.42 for the six months ended June 30, 2022 as compared to $6.32 for the 2021 period. The decrease in adjusted diluted earnings per share was primarily due to lower operating income compared to 2021 period and net investment losses on our cash investment strategy recognized in the six months ended June 30, 2022 as compared to net investment gains in the six months ended June 30, 2021. See our non-GAAP reconciliations later in this Management’s Discussion and Analysis section.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Q2 2022 vs. Q2 2021</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YTD 2022 vs. YTD 2021</w:t>
            </w:r>
          </w:p>
        </w:tc>
        <w:tc>
          <w:tcPr>
            <w:tcW w:w="0" w:type="dxa"/>
            <w:vAlign w:val="bottom"/>
          </w:tcPr>
          <w:p>
            <w:pPr>
              <w:spacing w:after="0"/>
              <w:rPr>
                <w:sz w:val="1"/>
                <w:szCs w:val="1"/>
                <w:color w:val="auto"/>
              </w:rPr>
            </w:pPr>
          </w:p>
        </w:tc>
      </w:tr>
      <w:tr>
        <w:trPr>
          <w:trHeight w:val="195"/>
        </w:trPr>
        <w:tc>
          <w:tcPr>
            <w:tcW w:w="2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6/30/2021</w:t>
            </w: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7"/>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40"/>
              <w:spacing w:after="0"/>
              <w:rPr>
                <w:sz w:val="20"/>
                <w:szCs w:val="20"/>
                <w:color w:val="auto"/>
              </w:rPr>
            </w:pPr>
            <w:r>
              <w:rPr>
                <w:rFonts w:ascii="Arial" w:cs="Arial" w:eastAsia="Arial" w:hAnsi="Arial"/>
                <w:sz w:val="16"/>
                <w:szCs w:val="16"/>
                <w:color w:val="auto"/>
              </w:rPr>
              <w:t>U.S. mutual funds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876.2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1,097.5</w:t>
            </w:r>
          </w:p>
        </w:tc>
        <w:tc>
          <w:tcPr>
            <w:tcW w:w="100" w:type="dxa"/>
            <w:vAlign w:val="bottom"/>
          </w:tcPr>
          <w:p>
            <w:pPr>
              <w:spacing w:after="0"/>
              <w:rPr>
                <w:sz w:val="18"/>
                <w:szCs w:val="18"/>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(221.3)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1,852.7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2,147.7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(295.0)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Subadvised funds, separate</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accounts, collective investment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trusts, and other investment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620.5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1,306.1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1,496.7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3,158.8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43"/>
        </w:trPr>
        <w:tc>
          <w:tcPr>
            <w:tcW w:w="25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b w:val="1"/>
                <w:bCs w:val="1"/>
                <w:color w:val="auto"/>
              </w:rPr>
              <w:t>Administrative, distribution,</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 servicing fees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40"/>
              <w:spacing w:after="0"/>
              <w:rPr>
                <w:sz w:val="20"/>
                <w:szCs w:val="20"/>
                <w:color w:val="auto"/>
              </w:rPr>
            </w:pPr>
            <w:r>
              <w:rPr>
                <w:rFonts w:ascii="Arial" w:cs="Arial" w:eastAsia="Arial" w:hAnsi="Arial"/>
                <w:sz w:val="16"/>
                <w:szCs w:val="16"/>
                <w:color w:val="auto"/>
              </w:rPr>
              <w:t>Administrative fees</w:t>
            </w:r>
          </w:p>
        </w:tc>
        <w:tc>
          <w:tcPr>
            <w:tcW w:w="1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249.6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and servicing fees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299.1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143"/>
        </w:trPr>
        <w:tc>
          <w:tcPr>
            <w:tcW w:w="25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b w:val="1"/>
                <w:bCs w:val="1"/>
                <w:color w:val="auto"/>
              </w:rPr>
              <w:t>Capital allocation-based</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CCEEFF"/>
          </w:tcPr>
          <w:p>
            <w:pPr>
              <w:spacing w:after="0"/>
              <w:rPr>
                <w:sz w:val="12"/>
                <w:szCs w:val="12"/>
                <w:color w:val="auto"/>
              </w:rPr>
            </w:pPr>
          </w:p>
        </w:tc>
        <w:tc>
          <w:tcPr>
            <w:tcW w:w="1180" w:type="dxa"/>
            <w:vAlign w:val="bottom"/>
            <w:tcBorders>
              <w:right w:val="single" w:sz="8" w:color="auto"/>
            </w:tcBorders>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income</w:t>
            </w:r>
            <w:r>
              <w:rPr>
                <w:rFonts w:ascii="Arial" w:cs="Arial" w:eastAsia="Arial" w:hAnsi="Arial"/>
                <w:sz w:val="21"/>
                <w:szCs w:val="21"/>
                <w:b w:val="1"/>
                <w:bCs w:val="1"/>
                <w:color w:val="auto"/>
                <w:vertAlign w:val="superscript"/>
              </w:rPr>
              <w:t>(1)</w:t>
            </w: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1,513.0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1,929.3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(416.3)</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3,376.0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3,756.1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(380.1)</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for capital allocation-based income is not meaningful (n/m)</w:t>
      </w:r>
      <w:r>
        <w:rPr>
          <w:rFonts w:ascii="Arial" w:cs="Arial" w:eastAsia="Arial" w:hAnsi="Arial"/>
          <w:sz w:val="17"/>
          <w:szCs w:val="17"/>
          <w:i w:val="1"/>
          <w:iCs w:val="1"/>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5"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Investment advisory revenues earned in the second quarter of 2022 decreased over the comparable 2021 quarter as average assets under management decreased $178.2 billion, or 11.2%, to $1,407.1 billion. For the six months ended June 30, 2022, investment advisory revenues decreased over the comparable 2021 period as average assets under management decreased $64.1 billion, or 4.1%, to $1,483.0 billion.</w:t>
      </w:r>
    </w:p>
    <w:p>
      <w:pPr>
        <w:spacing w:after="0" w:line="189"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In the second quarter of 2022, we did not waive a significant level of money market investment advisory fees. For the six months ended June 30, 2022, we voluntarily waived $ 9.3 million, or less than 1%, of our investment advisory fees. At June 30, 2022, combined net assets of the investment portfolios in which we waived fees for the six months ended June 30, 2022 were $23.6 billion. For the six months ended June 30, 2021, we waived money market investment advisory fees of $29.3 million.</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total average annualized effective fee rate earned during the second quarter of 2022 was 42.7 basis points, compared with 45.2 basis points earned during the second quarter of 2021 and 43.2 basis points earned during the first quarter of 2022. The total average annualized effective fee rate earned during the six months ended June 30, 2022 was 43.0 basis points, compared with 45.3 basis points during the six months ended June 30, 2021. The total average annualized effective fee rate has declined in comparison to the first quarter of 2022 and the second quarter and year-to-date periods of 2021 due to transfers to lower fee vehicles and an asset class mix shift to lower fee strategies due to market volatility, offset slightly by a reduction in money market fee waivers. Further, in comparison to second quarter and year-to-date period of 2021, the annualized effective fee rate was also impacted by the July 2021 target date fee reductions, partially offset by a higher-than-average effective fee rate earned on the firm's alternative asset class.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U.S. mutual funds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Investment advisory revenues earned in the second quarter of 2022 from our U.S. mutual funds were $876.2 million, a decrease of 20.2% from the comparable 2021 quarter. Average assets under management in these funds for the second quarter of 2022 decreased 16.2% from the 2021 quarter to $711.1 billion. The annualized effective fee rate of 49.4 basis points for the second quarter of 2022 decreased from 51.9 basis points in the second quarter 2021 primarily due to the July 2021 fee reductions in our target-date products and a shift in assets to lower fee asset classes within the complex over the last twelve months.</w:t>
      </w:r>
    </w:p>
    <w:p>
      <w:pPr>
        <w:spacing w:after="0" w:line="2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six months ended June 30, 2022, investment advisory revenues earned from the firm's U.S. mutual funds were $1,852.7 million, a decrease of 13.7% from the 2021 period. Average assets under management in these funds for the six months ended June 30, 2022 decreased 9.3% from the 2021 period to $754.3 billion. The annualized effective fee rate of 49.5 basis points for the six months ended June 30, 2022 decreased from 52.1 basis points in the six months ended June 30, 2021, primarily due to the July 2021 fee reductions in our target-date products and a shift in assets to lower fee asset classes within the complex over the last twelve months.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Subadvised funds, separate accounts, collective investment trusts and other investment products (other portfolios)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Investment advisory revenues earned in the second quarter of 2022 from these other portfolios were $620.5 million, a decrease of 10.0% from the comparable 2021 quarter. Average assets under management for these products decreased 5.6% from the 2021 quarter to $696.0 billion. Investment advisory revenues and average assets under management in Q2 2022 reflect OHA's revenue and related average assets under management. The annualized effective fee rate of 35.8 basis points for the second quarter of 2022 decreased from 37.5 basis points in the second quarter of 2021. The decrease was primarily due to the July 2021 fee reductions in our target-date products and a shift in assets to lower fee vehicles and asset classes within the complex over the last twelve months. These fee pressures were partially offset by the higher-than-average fee rate earned on our alternative asset class.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six months ended June 30, 2022, investment advisory revenues earned from subadvised and separate accounts, as well as collective investment trusts and other investment products, were $1,306.1 million, a decrease of 1.6% from the 2021 period. Average assets under management for these products increased 1.8% from the 2021 period to $ 728.7 billion. The annualized effective fee rate of 36.1 basis points for the six months ended June 30, 2022 decreased from 37.4 basis points for the six months ended June 30, 2021. Our annualized effective fee rate for our other portfolios decreased primarily due to the July 2021 fee reductions in our target-date products and a shift in assets to lower fee vehicles and asset classes within the complex over the last twelve months. These fee pressures were partially offset by the higher-than-average fee rate earned on our alternative asset class.</w:t>
      </w:r>
    </w:p>
    <w:p>
      <w:pPr>
        <w:spacing w:after="0" w:line="21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2022 were $142.6 million, an increase of $.5 million, or .4%,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2021 quarter. For the six months ended June 30, 2022, these fees were $299.1 million, an increase of $18.0 million, or 6.4%, from the 2021 period. The increase in both periods was primarily due to higher transfer agent servicing activities provided to the T. Rowe Price mutual funds for retail shareholders and higher trustee services revenue. These increases were partially offset by lower 12b-1 revenue earned primarily on the Advisor and R share classes of the U.S. mutual funds as a result of lower assets under management in these share classes. The decrease in 12b-1 revenue is offset entirely by a decrease in the costs paid to third-party intermediaries that source these assets and are reported in distribution and servicing expense.</w:t>
      </w: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2022 reduced net revenues by $126.3 million. The second quarter of 2022 amount</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$113.0 million in market-related reductions of accrued carried interest from investments in affiliated private investment funds and $13.3 million in non-cash amortization associated with the difference in the closing date fair value and carrying value of investments acquired as part of the OHA acquisition.</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the six months ended June 30, 2022, capital allocation-based income reduced net revenues by $81.9 million. The six months ended June 30, 2022 amount represents $55.4 million in market-related reductions of accrued carried interest from investments in affiliated private investment funds and $26.5 million in non-cash amortization associated with the difference in the closing date fair value and carrying value of investments acquired as part of the OHA acquisition.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7" w:lineRule="exact"/>
        <w:rPr>
          <w:sz w:val="20"/>
          <w:szCs w:val="20"/>
          <w:color w:val="auto"/>
        </w:rPr>
      </w:pPr>
    </w:p>
    <w:p>
      <w:pPr>
        <w:ind w:right="980"/>
        <w:spacing w:after="0" w:line="266" w:lineRule="auto"/>
        <w:rPr>
          <w:sz w:val="20"/>
          <w:szCs w:val="20"/>
          <w:color w:val="auto"/>
        </w:rPr>
      </w:pPr>
      <w:r>
        <w:rPr>
          <w:rFonts w:ascii="Arial" w:cs="Arial" w:eastAsia="Arial" w:hAnsi="Arial"/>
          <w:sz w:val="18"/>
          <w:szCs w:val="18"/>
          <w:color w:val="auto"/>
        </w:rPr>
        <w:t>T. Rowe Price investment products. The corresponding expenses recognized by these products, and consolidated in our financial statements, were also eliminated from operating expenses. For the second quarter, we eliminated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0" w:name="page31"/>
    <w:bookmarkEnd w:id="30"/>
    <w:p>
      <w:pPr>
        <w:ind w:right="260"/>
        <w:spacing w:after="0" w:line="287" w:lineRule="auto"/>
        <w:rPr>
          <w:sz w:val="20"/>
          <w:szCs w:val="20"/>
          <w:color w:val="auto"/>
        </w:rPr>
      </w:pPr>
      <w:r>
        <w:rPr>
          <w:rFonts w:ascii="Arial" w:cs="Arial" w:eastAsia="Arial" w:hAnsi="Arial"/>
          <w:sz w:val="18"/>
          <w:szCs w:val="18"/>
          <w:color w:val="auto"/>
        </w:rPr>
        <w:t>net revenue of $.6 million in 2022 and $1.1 million in 2021. For the six months ended June 30, we eliminated net revenue of $1.5 million in 2022 and $2.4 million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Q2 2022 vs. Q2 2021</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4"/>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YTD 2022 vs. YTD 2021</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820" w:type="dxa"/>
            <w:vAlign w:val="bottom"/>
          </w:tcPr>
          <w:p>
            <w:pPr>
              <w:jc w:val="right"/>
              <w:ind w:right="81"/>
              <w:spacing w:after="0"/>
              <w:rPr>
                <w:sz w:val="20"/>
                <w:szCs w:val="20"/>
                <w:color w:val="auto"/>
              </w:rPr>
            </w:pPr>
            <w:r>
              <w:rPr>
                <w:rFonts w:ascii="Arial" w:cs="Arial" w:eastAsia="Arial" w:hAnsi="Arial"/>
                <w:sz w:val="14"/>
                <w:szCs w:val="14"/>
                <w:b w:val="1"/>
                <w:bCs w:val="1"/>
                <w:color w:val="auto"/>
              </w:rPr>
              <w:t>6/30/2022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6/30/2021</w:t>
            </w:r>
          </w:p>
        </w:tc>
        <w:tc>
          <w:tcPr>
            <w:tcW w:w="1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righ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1"/>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3"/>
        </w:trPr>
        <w:tc>
          <w:tcPr>
            <w:tcW w:w="286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Compensation and related costs,</w:t>
            </w: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excluding acquisition-related retention</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agreements and supplemental savings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544.6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566.1</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1,163.6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1,127.4</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w:t>
            </w: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Acquisition-related retention</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ind w:left="68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agreements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Supplemental savings plan</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ind w:left="68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compensation and related costs</w:t>
            </w: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463.4</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603.8</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(140.4)</w:t>
            </w:r>
          </w:p>
        </w:tc>
        <w:tc>
          <w:tcPr>
            <w:tcW w:w="1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1,045.0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1,187.3</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(142.3)</w:t>
            </w: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and servicing</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Advertising and promotion</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163"/>
        </w:trPr>
        <w:tc>
          <w:tcPr>
            <w:tcW w:w="28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Product and recordkeeping related</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76.2 %</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85.9 %</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Technology, occupancy, and facility</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12.6 %</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268.2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13.4 %</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costs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administrative, and other</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49"/>
        </w:trPr>
        <w:tc>
          <w:tcPr>
            <w:tcW w:w="286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1,830.0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1,904.8</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i w:val="1"/>
          <w:iCs w:val="1"/>
          <w:color w:val="auto"/>
        </w:rPr>
        <w:t>The impact of the market on the supplemental savings plan liability drives the expense recognized each period.</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u w:val="single" w:color="auto"/>
          <w:color w:val="auto"/>
        </w:rPr>
        <w:t>Compensation and related costs, excluding non-cash amortization of certain acquisition-related retention arrangements and supplemental savings plan</w:t>
      </w:r>
      <w:r>
        <w:rPr>
          <w:rFonts w:ascii="Arial" w:cs="Arial" w:eastAsia="Arial" w:hAnsi="Arial"/>
          <w:sz w:val="18"/>
          <w:szCs w:val="18"/>
          <w:i w:val="1"/>
          <w:iCs w:val="1"/>
          <w:color w:val="auto"/>
        </w:rPr>
        <w:t xml:space="preserve"> </w:t>
      </w:r>
      <w:r>
        <w:rPr>
          <w:rFonts w:ascii="Arial" w:cs="Arial" w:eastAsia="Arial" w:hAnsi="Arial"/>
          <w:sz w:val="18"/>
          <w:szCs w:val="18"/>
          <w:color w:val="auto"/>
        </w:rPr>
        <w:t>were $544.6 million in the second quarter of 2022, a decrease of $21.5 million, or 3.8%, compared to the 2021 quarter.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2022, these costs were $ 1,163.6 million, an increase of $ 36.2 million, or 3.2%, compared to the 2021 period. Both the second quarter and six months ended June 30, 2022 periods include OHA’s compensation and related costs and carried interest-related compensation. Further, both the second quarter and six months ended June 30, 2022 periods were impacted by a lower interim bonus accrual and an increase in salaries and benefits. The firm employed 7,771 associates at June 30, 2022, an increase of 3.2% from the end of 2021.</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$75.7 million for the second quarter of 2022, a decrease of 18.3% from the $92.7 million recognized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2021 quarter. For the six months ended June 30, 2022, these costs were $161.6 million, a decrease of 9.4% over the $178.3 million recognized in the comparable 2021 period. The decrease in both periods was primarily driven by lower average assets under management in certain share classes of the U.S. mutual funds that earn 12(b)-1 fees. Additionally, lower AUM in our international products, including our Japanese Investment Trusts (ITMs), and certain SICAV share classes contributed to lower distribution costs.</w:t>
      </w:r>
    </w:p>
    <w:p>
      <w:pPr>
        <w:spacing w:after="0" w:line="2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costs in this expense category primarily include amounts paid to third-party intermediaries that source the assets of certain share classes of our U.S. mutual funds and our international products, such as our Japanese ITMs and SICAVs. These costs are offset entirely by the revenue we earn and report in net revenues: 12b-1 revenue recognized in administrative, distribution, and servicing fees for the Advisor and R share classes of the U.S. mutual funds and investment advisory fee revenue for our international products.</w:t>
      </w:r>
    </w:p>
    <w:p>
      <w:pPr>
        <w:spacing w:after="0" w:line="20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u w:val="single" w:color="auto"/>
          <w:color w:val="auto"/>
        </w:rPr>
        <w:t>Advertising and promotion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$21.4 million in the second quarter of 2022, an increase of $ 1.0 million, or 4.9%,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$20.4 million recognized in the 2021 quarter. For the six months ended June 30, 2022, these costs were $44.8 million, an increase of $5.5 million, or 14.0%, compared to the 2021 period. The increase in both periods was driven primarily by an increase in sponsorships and promotion-related costs. Increased media spend also contributed to the higher advertising and promotion costs for the six months ended June 30, 2022 as compared to the six months ended June 30, 2021.</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$76.3 million in the second quarter of 2022, an increase of $33.0 million, or 76.2%,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$ 43.3 million in the 2021 quarter. For the six months ended June 30, 2022, these costs were $156.7 million, an increase of $72.4 million, or 85.9%, compared to the 2021 period. Substantially all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ind w:right="120"/>
        <w:spacing w:after="0" w:line="243" w:lineRule="auto"/>
        <w:rPr>
          <w:sz w:val="20"/>
          <w:szCs w:val="20"/>
          <w:color w:val="auto"/>
        </w:rPr>
      </w:pPr>
      <w:r>
        <w:rPr>
          <w:rFonts w:ascii="Arial" w:cs="Arial" w:eastAsia="Arial" w:hAnsi="Arial"/>
          <w:sz w:val="18"/>
          <w:szCs w:val="18"/>
          <w:color w:val="auto"/>
        </w:rPr>
        <w:t>the increase in both the second quarter and year to date 2022 was driven by the recordkeeping costs incurred as part of our expanded relationship with Fidelity National Information Services, Inc. (“FIS”) that began in August 2021. The costs incurred from the FIS arrangement were partially offset by a reduction in compensation expenses as a result of the approximately 800 associates who transitioned to FIS in August 2021.</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$134.3 million in the second quarter of 2022, an increase of $15.0 million, or 12.6%,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$119.3 million recognized in the 2021 quarter. For the six months ended June 30, 2022, these costs were $268.2 million, an increase of $31.6 million, or 13.4%, compared to the 2021 period. The increase in both periods was primarily due to the ongoing investment in our technology capabilities, including hosted solution licenses, depreciation, and increased office facility costs.</w:t>
      </w:r>
    </w:p>
    <w:p>
      <w:pPr>
        <w:spacing w:after="0" w:line="2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General, administrative, and other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$73.3 million in the second quarter of 2022, a decrease of $18.4 million, or 20.1%,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$91.7 million recognized in the 2021 quarter. The decrease was primarily related to the favorable impact of the change in fair value of the contingent consideration liability of $50.3 million, partially offset by $27.2 million in acquisition-related amortization and other acquisition-related costs. Higher travel, information services and other nonrecurring administrative costs further offset the decrease in general, administrative and other expenses in the second quarter of 2022 compared to 2021.</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the six months ended June 30, 2022, these costs were $153.7 million, a decrease of $25.3 million, or 14.1%, compared to the 2021 period. The decrease was primarily related to the favorable impact of the change in fair value of the contingent consideration liability of $95.8 million and lower legal fees. This decrease was partially offset by $54.3 million in acquisition-related amortization and other acquisition-related costs as well as higher travel, information services and other nonrecurring administrative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Non-operating loss for the second quarter of 2022 was $279.9 million as compared to non-operating income of $143.9 million in the 2021 quarter. For the six months ended June 30, 2022, non-operating loss was $478.4 million, a decrease of $724.4 million from non-operating income of $ 246.0 million in the comparable 2021 period. The following table details the components of non-operating income (loss) for both the second quarter and six months ended June 30, 2022 and 2021.</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4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17"/>
                <w:szCs w:val="17"/>
                <w:color w:val="auto"/>
              </w:rPr>
            </w:pPr>
          </w:p>
        </w:tc>
        <w:tc>
          <w:tcPr>
            <w:tcW w:w="2000" w:type="dxa"/>
            <w:vAlign w:val="bottom"/>
            <w:gridSpan w:val="4"/>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6/30/2021</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and discretionary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recognized upon deconsolidation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55"/>
        </w:trPr>
        <w:tc>
          <w:tcPr>
            <w:tcW w:w="6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net gains (losses) from non-consolidated T. Rowe Price investment</w:t>
            </w:r>
          </w:p>
        </w:tc>
        <w:tc>
          <w:tcPr>
            <w:tcW w:w="2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(162.2)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(262.3)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122.8</w:t>
            </w:r>
          </w:p>
        </w:tc>
        <w:tc>
          <w:tcPr>
            <w:tcW w:w="0" w:type="dxa"/>
            <w:vAlign w:val="bottom"/>
          </w:tcPr>
          <w:p>
            <w:pPr>
              <w:spacing w:after="0"/>
              <w:rPr>
                <w:sz w:val="1"/>
                <w:szCs w:val="1"/>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products</w:t>
            </w: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investment income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 on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156.3</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Net gains (losses) on consolidated sponsored investment portfolios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including foreign currency gains and losses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significant investment portfolio gains in both the second quarter and six months ended June 30, 2021 outperformed the investment portfolio losses in both the second quarter and six months ended June 30, 2022 as the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right="100"/>
        <w:spacing w:after="0" w:line="262" w:lineRule="auto"/>
        <w:rPr>
          <w:sz w:val="20"/>
          <w:szCs w:val="20"/>
          <w:color w:val="auto"/>
        </w:rPr>
      </w:pPr>
      <w:r>
        <w:rPr>
          <w:rFonts w:ascii="Arial" w:cs="Arial" w:eastAsia="Arial" w:hAnsi="Arial"/>
          <w:sz w:val="18"/>
          <w:szCs w:val="18"/>
          <w:color w:val="auto"/>
        </w:rPr>
        <w:t>continued Russian invasion of Ukraine, elevated inflation and a more aggressive pace of the Federal Reserve interest rate increases heavily influenced the global economy and markets resulting in further lower valuations at the end of the second quarter 2022. The cash and discretionary investment portfolio also experienced net investment losses of $30.6 million during the second quarter of 2022 and $54.4 million during the six months ended June 30,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the net investment income of the underlying portfolios included in the consolidated</w:t>
      </w:r>
    </w:p>
    <w:p>
      <w:pPr>
        <w:spacing w:after="0" w:line="27"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T. Rowe Price investment products and not just the net investment income related to our interest. The table below shows the impact that the consolidated T. Rowe Price investment products had on the individual lines of our unaudited condensed consolidated statements of income and the portion attributable to our interest: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7"/>
                <w:szCs w:val="17"/>
                <w:color w:val="auto"/>
              </w:rPr>
            </w:pPr>
          </w:p>
        </w:tc>
        <w:tc>
          <w:tcPr>
            <w:tcW w:w="2260" w:type="dxa"/>
            <w:vAlign w:val="bottom"/>
            <w:gridSpan w:val="4"/>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6/30/2021</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(loss) reflected in non-operating income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7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income (loss) attributable to our interest in the consolidated 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Rowe Price investment products</w:t>
            </w:r>
          </w:p>
        </w:tc>
        <w:tc>
          <w:tcPr>
            <w:tcW w:w="2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720" w:type="dxa"/>
            <w:vAlign w:val="bottom"/>
          </w:tcPr>
          <w:p>
            <w:pPr>
              <w:ind w:left="20"/>
              <w:spacing w:after="0" w:line="183" w:lineRule="exact"/>
              <w:rPr>
                <w:sz w:val="20"/>
                <w:szCs w:val="20"/>
                <w:color w:val="auto"/>
              </w:rPr>
            </w:pPr>
            <w:r>
              <w:rPr>
                <w:rFonts w:ascii="Arial" w:cs="Arial" w:eastAsia="Arial" w:hAnsi="Arial"/>
                <w:sz w:val="18"/>
                <w:szCs w:val="18"/>
                <w:color w:val="auto"/>
              </w:rPr>
              <w:t>Net income (loss) attributable to redeemable non-controlling interests</w:t>
            </w: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5"/>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(unrelated third-party investors)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reconciles the statutory federal income tax rate to our effective tax rate on a U.S. GAAP basis for both the three- and six-months ended June 30, 2022 and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shd w:val="clear" w:color="auto" w:fill="CCEEFF"/>
          </w:tcPr>
          <w:p>
            <w:pPr>
              <w:spacing w:after="0"/>
              <w:rPr>
                <w:sz w:val="17"/>
                <w:szCs w:val="17"/>
                <w:color w:val="auto"/>
              </w:rPr>
            </w:pPr>
          </w:p>
        </w:tc>
        <w:tc>
          <w:tcPr>
            <w:tcW w:w="3260" w:type="dxa"/>
            <w:vAlign w:val="bottom"/>
            <w:gridSpan w:val="4"/>
            <w:shd w:val="clear" w:color="auto" w:fill="CCEEFF"/>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3"/>
            <w:shd w:val="clear" w:color="auto" w:fill="CCEEFF"/>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32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top w:val="single" w:sz="8" w:color="auto"/>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6/30/2021</w:t>
            </w: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320" w:type="dxa"/>
            <w:vAlign w:val="bottom"/>
          </w:tcPr>
          <w:p>
            <w:pPr>
              <w:ind w:left="20"/>
              <w:spacing w:after="0" w:line="230" w:lineRule="exact"/>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520" w:type="dxa"/>
            <w:vAlign w:val="bottom"/>
          </w:tcPr>
          <w:p>
            <w:pPr>
              <w:jc w:val="right"/>
              <w:ind w:right="155"/>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3.7</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losses attributable to redeemable non-controlling interests</w:t>
            </w:r>
          </w:p>
        </w:tc>
        <w:tc>
          <w:tcPr>
            <w:tcW w:w="15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r>
      <w:tr>
        <w:trPr>
          <w:trHeight w:val="229"/>
        </w:trPr>
        <w:tc>
          <w:tcPr>
            <w:tcW w:w="5320" w:type="dxa"/>
            <w:vAlign w:val="bottom"/>
          </w:tcPr>
          <w:p>
            <w:pPr>
              <w:ind w:left="2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5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r>
      <w:tr>
        <w:trPr>
          <w:trHeight w:val="223"/>
        </w:trPr>
        <w:tc>
          <w:tcPr>
            <w:tcW w:w="53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23.4 %</w:t>
            </w:r>
          </w:p>
        </w:tc>
      </w:tr>
      <w:tr>
        <w:trPr>
          <w:trHeight w:val="21"/>
        </w:trPr>
        <w:tc>
          <w:tcPr>
            <w:tcW w:w="5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2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U.S. GAAP effective tax rate for the second quarter of 2022 was 26.0%, compared with 23.5% in the 2021 quarter. For the six months ended June 30, 2022, our U.S. GAAP effective tax rate was 24.9%, compared with 23.4% in the 2021 period. The increase in the U.S. GAAP effective tax rate in 2022 from 2021 was primarily due to net losses attributable to redeemable non-controlling interests held in our consolidated investment products and lower discrete tax benefits associated with the settlement of stock-based awards. These increases were partially offset by the favorable impacts of the reduction in the effective state tax rate due to the full phase-in of the 2018 Maryland state tax legislation and the remeasurement of the contingent consideration liability.</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non-GAAP tax rate primarily adjusts for the impact of the consolidated investment products, including the net income attributable to the redeemable non-controlling interests. Our non-GAAP effective tax rate was 23.9% in the second quarter of 2022 compared with 23.4% in second quarter of 2021 and 24.1% for the six months ended June 30, 2022 compared to 23.5% in the 2021 period. The increase in the non-GAAP effective tax rate was primarily attributable to lower discrete tax benefits associated with the settlement of stock-based awards compared to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ind w:right="100"/>
        <w:spacing w:after="0" w:line="287" w:lineRule="auto"/>
        <w:rPr>
          <w:sz w:val="20"/>
          <w:szCs w:val="20"/>
          <w:color w:val="auto"/>
        </w:rPr>
      </w:pPr>
      <w:r>
        <w:rPr>
          <w:rFonts w:ascii="Arial" w:cs="Arial" w:eastAsia="Arial" w:hAnsi="Arial"/>
          <w:sz w:val="18"/>
          <w:szCs w:val="18"/>
          <w:color w:val="auto"/>
        </w:rPr>
        <w:t>second quarter of 2021. The non-GAAP effective tax rate for the six months ended June 30, 2022 continues to be favorably impacted by the complete phase-in benefit of the 2018 Maryland state tax legislation.</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timing of option exercises as well as the remeasurement of the contingent consideration liability. Our U.S. GAAP rate will also be impacted by changes in the proportion of net income that is attributable to our redeemable non-controlling interests and non-controlling interests reflected in permanent equity.</w:t>
      </w:r>
    </w:p>
    <w:p>
      <w:pPr>
        <w:spacing w:after="0" w:line="20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We currently estimate that our effective tax rate for the full year 2022, on a U.S. GAAP basis, will be in the range of 23% to 26%. On a non-GAAP basis, the range is </w:t>
      </w:r>
      <w:r>
        <w:rPr>
          <w:rFonts w:ascii="Arial" w:cs="Arial" w:eastAsia="Arial" w:hAnsi="Arial"/>
          <w:sz w:val="17"/>
          <w:szCs w:val="17"/>
          <w:color w:val="auto"/>
        </w:rPr>
        <w:t>23% to 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6" w:lineRule="exact"/>
        <w:rPr>
          <w:sz w:val="20"/>
          <w:szCs w:val="20"/>
          <w:color w:val="auto"/>
        </w:rPr>
      </w:pPr>
    </w:p>
    <w:p>
      <w:pPr>
        <w:ind w:right="3220"/>
        <w:spacing w:after="0" w:line="287" w:lineRule="auto"/>
        <w:rPr>
          <w:sz w:val="20"/>
          <w:szCs w:val="20"/>
          <w:color w:val="auto"/>
        </w:rPr>
      </w:pPr>
      <w:r>
        <w:rPr>
          <w:rFonts w:ascii="Arial" w:cs="Arial" w:eastAsia="Arial" w:hAnsi="Arial"/>
          <w:sz w:val="18"/>
          <w:szCs w:val="18"/>
          <w:color w:val="auto"/>
        </w:rPr>
        <w:t>The following schedules reconcile certain U.S. GAAP financial measures for the three months ended June 30, 2022 and 2021.</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Three months ended 6/30/2022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Investment amortization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(Net Revenues)</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120"/>
              <w:spacing w:after="0" w:line="162" w:lineRule="exact"/>
              <w:rPr>
                <w:sz w:val="20"/>
                <w:szCs w:val="20"/>
                <w:color w:val="auto"/>
              </w:rPr>
            </w:pPr>
            <w:r>
              <w:rPr>
                <w:rFonts w:ascii="Arial" w:cs="Arial" w:eastAsia="Arial" w:hAnsi="Arial"/>
                <w:sz w:val="14"/>
                <w:szCs w:val="14"/>
                <w:color w:val="auto"/>
              </w:rPr>
              <w:t>Compensation arrangements amortization</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 admin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Intangible assets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 6/30/2021</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958.1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931.8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998.6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779.0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for the six months ended June 30, 2022 and 2021.</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320"/>
              <w:spacing w:after="0"/>
              <w:rPr>
                <w:sz w:val="20"/>
                <w:szCs w:val="20"/>
                <w:color w:val="auto"/>
              </w:rPr>
            </w:pPr>
            <w:r>
              <w:rPr>
                <w:rFonts w:ascii="Arial" w:cs="Arial" w:eastAsia="Arial" w:hAnsi="Arial"/>
                <w:sz w:val="14"/>
                <w:szCs w:val="14"/>
                <w:b w:val="1"/>
                <w:bCs w:val="1"/>
                <w:color w:val="auto"/>
              </w:rPr>
              <w:t>Six months ended 6/30/2022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1,546.0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Investment amortization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(Net Revenues)</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120"/>
              <w:spacing w:after="0" w:line="162" w:lineRule="exact"/>
              <w:rPr>
                <w:sz w:val="20"/>
                <w:szCs w:val="20"/>
                <w:color w:val="auto"/>
              </w:rPr>
            </w:pPr>
            <w:r>
              <w:rPr>
                <w:rFonts w:ascii="Arial" w:cs="Arial" w:eastAsia="Arial" w:hAnsi="Arial"/>
                <w:sz w:val="14"/>
                <w:szCs w:val="14"/>
                <w:color w:val="auto"/>
              </w:rPr>
              <w:t>Compensation arrangements amortization</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 admin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Intangible assets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320"/>
              <w:spacing w:after="0"/>
              <w:rPr>
                <w:sz w:val="20"/>
                <w:szCs w:val="20"/>
                <w:color w:val="auto"/>
              </w:rPr>
            </w:pPr>
            <w:r>
              <w:rPr>
                <w:rFonts w:ascii="Arial" w:cs="Arial" w:eastAsia="Arial" w:hAnsi="Arial"/>
                <w:sz w:val="14"/>
                <w:szCs w:val="14"/>
                <w:b w:val="1"/>
                <w:bCs w:val="1"/>
                <w:color w:val="auto"/>
              </w:rPr>
              <w:t>Six months ended 6/30/2021</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1,565.1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1,841.0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1,917.5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1,491.0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6" w:right="399" w:bottom="1440" w:gutter="0" w:footer="0" w:header="0"/>
        </w:sectPr>
      </w:pPr>
    </w:p>
    <w:bookmarkStart w:id="35" w:name="page36"/>
    <w:bookmarkEnd w:id="35"/>
    <w:p>
      <w:pPr>
        <w:ind w:left="340" w:hanging="332"/>
        <w:spacing w:after="0" w:line="241"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 Management believes adjusting for these charges helps the reader's ability to understand our core operating results and to increase comparability period to period.</w:t>
      </w:r>
    </w:p>
    <w:p>
      <w:pPr>
        <w:spacing w:after="0" w:line="217" w:lineRule="exact"/>
        <w:rPr>
          <w:rFonts w:ascii="Arial" w:cs="Arial" w:eastAsia="Arial" w:hAnsi="Arial"/>
          <w:sz w:val="22"/>
          <w:szCs w:val="22"/>
          <w:color w:val="auto"/>
          <w:vertAlign w:val="superscript"/>
        </w:rPr>
      </w:pPr>
    </w:p>
    <w:p>
      <w:pPr>
        <w:ind w:left="340" w:right="20" w:hanging="332"/>
        <w:spacing w:after="0" w:line="235" w:lineRule="auto"/>
        <w:tabs>
          <w:tab w:leader="none" w:pos="322"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the transactions costs incurred related to the acquisition of OHA. Management believes adjusting for these charges helps the reader's ability to understand our core operating results and to increase comparability period to period.</w:t>
      </w:r>
    </w:p>
    <w:p>
      <w:pPr>
        <w:spacing w:after="0" w:line="217" w:lineRule="exact"/>
        <w:rPr>
          <w:rFonts w:ascii="Arial" w:cs="Arial" w:eastAsia="Arial" w:hAnsi="Arial"/>
          <w:sz w:val="21"/>
          <w:szCs w:val="21"/>
          <w:color w:val="auto"/>
          <w:vertAlign w:val="superscript"/>
        </w:rPr>
      </w:pPr>
    </w:p>
    <w:p>
      <w:pPr>
        <w:ind w:left="340" w:hanging="332"/>
        <w:spacing w:after="0" w:line="246"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215" w:lineRule="exact"/>
        <w:rPr>
          <w:rFonts w:ascii="Arial" w:cs="Arial" w:eastAsia="Arial" w:hAnsi="Arial"/>
          <w:sz w:val="22"/>
          <w:szCs w:val="22"/>
          <w:color w:val="auto"/>
          <w:vertAlign w:val="superscript"/>
        </w:rPr>
      </w:pPr>
    </w:p>
    <w:p>
      <w:pPr>
        <w:ind w:left="340" w:right="100" w:hanging="332"/>
        <w:spacing w:after="0" w:line="246"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our U.S. GAAP consolidated statements of income. Specifically, we add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our core operating results.</w:t>
      </w:r>
    </w:p>
    <w:p>
      <w:pPr>
        <w:spacing w:after="0" w:line="215" w:lineRule="exact"/>
        <w:rPr>
          <w:rFonts w:ascii="Arial" w:cs="Arial" w:eastAsia="Arial" w:hAnsi="Arial"/>
          <w:sz w:val="22"/>
          <w:szCs w:val="22"/>
          <w:color w:val="auto"/>
          <w:vertAlign w:val="superscript"/>
        </w:rPr>
      </w:pPr>
    </w:p>
    <w:p>
      <w:pPr>
        <w:ind w:left="340" w:right="40" w:hanging="332"/>
        <w:spacing w:after="0" w:line="246"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our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our core operations. Management believes adjusting for these non-operating income (loss) items helps the reader’s ability to understand our core operating results and increases comparability to prior years. Additionally, management does not emphasize the impact of the portion of non-operating income (loss) removed when managing and evaluating our performance.</w:t>
      </w:r>
    </w:p>
    <w:p>
      <w:pPr>
        <w:spacing w:after="0" w:line="228" w:lineRule="exact"/>
        <w:rPr>
          <w:rFonts w:ascii="Arial" w:cs="Arial" w:eastAsia="Arial" w:hAnsi="Arial"/>
          <w:sz w:val="22"/>
          <w:szCs w:val="22"/>
          <w:color w:val="auto"/>
          <w:vertAlign w:val="superscript"/>
        </w:rPr>
      </w:pPr>
    </w:p>
    <w:p>
      <w:pPr>
        <w:ind w:left="340" w:right="100" w:hanging="332"/>
        <w:spacing w:after="0" w:line="234"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24.1% for 2022 and 23.5% for 2021. As such, the non-GAAP effective tax rate for three months ended June 30, 2022 and 2021 was 23.9% and 23.4%, respectively. We estimate that our effective tax rate for the full-year 2022 on a non-GAAP basis will be in the range of 23% to 25%.</w:t>
      </w:r>
    </w:p>
    <w:p>
      <w:pPr>
        <w:spacing w:after="0" w:line="231" w:lineRule="exact"/>
        <w:rPr>
          <w:rFonts w:ascii="Arial" w:cs="Arial" w:eastAsia="Arial" w:hAnsi="Arial"/>
          <w:sz w:val="22"/>
          <w:szCs w:val="22"/>
          <w:color w:val="auto"/>
          <w:vertAlign w:val="superscript"/>
        </w:rPr>
      </w:pPr>
    </w:p>
    <w:p>
      <w:pPr>
        <w:ind w:left="340" w:right="20" w:hanging="332"/>
        <w:spacing w:after="0" w:line="229"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divided by the weighted-average common shares outstanding assuming dilution. The calculation of adjusted net income allocated to common stockholders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jc w:val="right"/>
              <w:ind w:right="44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6/30/2022</w:t>
            </w: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6/30/2022</w:t>
            </w: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6/30/2021</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1,034.6</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1,491.0</w:t>
            </w:r>
          </w:p>
        </w:tc>
        <w:tc>
          <w:tcPr>
            <w:tcW w:w="0" w:type="dxa"/>
            <w:vAlign w:val="bottom"/>
          </w:tcPr>
          <w:p>
            <w:pPr>
              <w:spacing w:after="0"/>
              <w:rPr>
                <w:sz w:val="1"/>
                <w:szCs w:val="1"/>
                <w:color w:val="auto"/>
              </w:rPr>
            </w:pPr>
          </w:p>
        </w:tc>
      </w:tr>
      <w:tr>
        <w:trPr>
          <w:trHeight w:val="162"/>
        </w:trPr>
        <w:tc>
          <w:tcPr>
            <w:tcW w:w="5960" w:type="dxa"/>
            <w:vAlign w:val="bottom"/>
          </w:tcPr>
          <w:p>
            <w:pPr>
              <w:ind w:left="20"/>
              <w:spacing w:after="0" w:line="162" w:lineRule="exact"/>
              <w:rPr>
                <w:sz w:val="20"/>
                <w:szCs w:val="20"/>
                <w:color w:val="auto"/>
              </w:rPr>
            </w:pPr>
            <w:r>
              <w:rPr>
                <w:rFonts w:ascii="Arial" w:cs="Arial" w:eastAsia="Arial" w:hAnsi="Arial"/>
                <w:sz w:val="16"/>
                <w:szCs w:val="16"/>
                <w:color w:val="auto"/>
              </w:rPr>
              <w:t>Less: adjusted net income allocated to outstanding restricted stock and stock</w:t>
            </w:r>
          </w:p>
        </w:tc>
        <w:tc>
          <w:tcPr>
            <w:tcW w:w="2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9.3</w:t>
            </w:r>
          </w:p>
        </w:tc>
        <w:tc>
          <w:tcPr>
            <w:tcW w:w="280" w:type="dxa"/>
            <w:vAlign w:val="bottom"/>
          </w:tcPr>
          <w:p>
            <w:pPr>
              <w:spacing w:after="0"/>
              <w:rPr>
                <w:sz w:val="14"/>
                <w:szCs w:val="14"/>
                <w:color w:val="auto"/>
              </w:rPr>
            </w:pPr>
          </w:p>
        </w:tc>
        <w:tc>
          <w:tcPr>
            <w:tcW w:w="1200" w:type="dxa"/>
            <w:vAlign w:val="bottom"/>
            <w:vMerge w:val="restart"/>
          </w:tcPr>
          <w:p>
            <w:pPr>
              <w:jc w:val="right"/>
              <w:ind w:right="1"/>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6"/>
                <w:szCs w:val="16"/>
                <w:color w:val="auto"/>
              </w:rPr>
              <w:t>23.3</w:t>
            </w:r>
          </w:p>
        </w:tc>
        <w:tc>
          <w:tcPr>
            <w:tcW w:w="30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5"/>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 holders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408.4</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1,011.3</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1,450.9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6/30/2022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1,523.1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2,077.2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discretionary investment portfolio is comprised of short duration bond funds, which typically yield higher than money market rates, and asset allocation products. Cash and discretionary investments experienced market losses of $30.6 million and $54.4 million in the three- and six- months ended June 30, 2022 compared to investment gains of $17.8 million and $31.5 million in the three- and six- months ended June 30, 2021. Our subsidiaries outside the United States hold cash and discretionary investments of $923.8 million at June 30, 2022 and $764.2 million at December 31, 2021. Given the availability of our financial resources and cash expected to be generated through future operations, we do not maintain an available external source of additional liquidity.</w:t>
      </w:r>
    </w:p>
    <w:p>
      <w:pPr>
        <w:spacing w:after="0" w:line="20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Price’s interests in cash and investments relate to where they are presented on the unaudited condensed consolidated balance sheet as of June 30,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260"/>
              <w:spacing w:after="0" w:line="145" w:lineRule="exact"/>
              <w:rPr>
                <w:sz w:val="20"/>
                <w:szCs w:val="20"/>
                <w:color w:val="auto"/>
              </w:rPr>
            </w:pPr>
            <w:r>
              <w:rPr>
                <w:rFonts w:ascii="Arial" w:cs="Arial" w:eastAsia="Arial" w:hAnsi="Arial"/>
                <w:sz w:val="14"/>
                <w:szCs w:val="14"/>
                <w:b w:val="1"/>
                <w:bCs w:val="1"/>
                <w:color w:val="auto"/>
              </w:rPr>
              <w:t>consolidated T.</w:t>
            </w: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b w:val="1"/>
                <w:bCs w:val="1"/>
                <w:color w:val="auto"/>
              </w:rPr>
              <w:t>Rowe Price</w:t>
            </w: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80"/>
              <w:spacing w:after="0" w:line="158" w:lineRule="exact"/>
              <w:rPr>
                <w:sz w:val="20"/>
                <w:szCs w:val="20"/>
                <w:color w:val="auto"/>
              </w:rPr>
            </w:pPr>
            <w:r>
              <w:rPr>
                <w:rFonts w:ascii="Arial" w:cs="Arial" w:eastAsia="Arial" w:hAnsi="Arial"/>
                <w:sz w:val="14"/>
                <w:szCs w:val="14"/>
                <w:b w:val="1"/>
                <w:bCs w:val="1"/>
                <w:color w:val="auto"/>
              </w:rPr>
              <w:t>Cash and cash</w:t>
            </w:r>
          </w:p>
        </w:tc>
        <w:tc>
          <w:tcPr>
            <w:tcW w:w="2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Investments</w:t>
            </w:r>
          </w:p>
        </w:tc>
        <w:tc>
          <w:tcPr>
            <w:tcW w:w="1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60"/>
              <w:spacing w:after="0" w:line="158" w:lineRule="exact"/>
              <w:rPr>
                <w:sz w:val="20"/>
                <w:szCs w:val="20"/>
                <w:color w:val="auto"/>
              </w:rPr>
            </w:pPr>
            <w:r>
              <w:rPr>
                <w:rFonts w:ascii="Arial" w:cs="Arial" w:eastAsia="Arial" w:hAnsi="Arial"/>
                <w:sz w:val="14"/>
                <w:szCs w:val="14"/>
                <w:b w:val="1"/>
                <w:bCs w:val="1"/>
                <w:color w:val="auto"/>
              </w:rPr>
              <w:t>investment</w:t>
            </w:r>
          </w:p>
        </w:tc>
        <w:tc>
          <w:tcPr>
            <w:tcW w:w="2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6/30/2022</w:t>
            </w:r>
          </w:p>
        </w:tc>
        <w:tc>
          <w:tcPr>
            <w:tcW w:w="0" w:type="dxa"/>
            <w:vAlign w:val="bottom"/>
          </w:tcPr>
          <w:p>
            <w:pPr>
              <w:spacing w:after="0"/>
              <w:rPr>
                <w:sz w:val="1"/>
                <w:szCs w:val="1"/>
                <w:color w:val="auto"/>
              </w:rPr>
            </w:pPr>
          </w:p>
        </w:tc>
      </w:tr>
      <w:tr>
        <w:trPr>
          <w:trHeight w:val="189"/>
        </w:trPr>
        <w:tc>
          <w:tcPr>
            <w:tcW w:w="5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equivalents</w:t>
            </w:r>
          </w:p>
        </w:tc>
        <w:tc>
          <w:tcPr>
            <w:tcW w:w="20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2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2,607.3</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0" w:type="dxa"/>
            <w:vAlign w:val="bottom"/>
          </w:tcPr>
          <w:p>
            <w:pPr>
              <w:spacing w:after="0"/>
              <w:rPr>
                <w:sz w:val="1"/>
                <w:szCs w:val="1"/>
                <w:color w:val="auto"/>
              </w:rPr>
            </w:pPr>
          </w:p>
        </w:tc>
      </w:tr>
      <w:tr>
        <w:trPr>
          <w:trHeight w:val="175"/>
        </w:trPr>
        <w:tc>
          <w:tcPr>
            <w:tcW w:w="5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Investments used to hedge the supplemental savings plan</w:t>
            </w:r>
          </w:p>
        </w:tc>
        <w:tc>
          <w:tcPr>
            <w:tcW w:w="16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725.7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liability</w:t>
            </w:r>
          </w:p>
        </w:tc>
        <w:tc>
          <w:tcPr>
            <w:tcW w:w="1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18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w:t>
            </w: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1,515.5</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4,331.0</w:t>
            </w:r>
          </w:p>
        </w:tc>
        <w:tc>
          <w:tcPr>
            <w:tcW w:w="0" w:type="dxa"/>
            <w:vAlign w:val="bottom"/>
          </w:tcPr>
          <w:p>
            <w:pPr>
              <w:spacing w:after="0"/>
              <w:rPr>
                <w:sz w:val="1"/>
                <w:szCs w:val="1"/>
                <w:color w:val="auto"/>
              </w:rPr>
            </w:pPr>
          </w:p>
        </w:tc>
      </w:tr>
      <w:tr>
        <w:trPr>
          <w:trHeight w:val="243"/>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attributable to T. Rowe Price</w:t>
            </w:r>
          </w:p>
        </w:tc>
        <w:tc>
          <w:tcPr>
            <w:tcW w:w="16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CLOs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5,379.2</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156"/>
        </w:trPr>
        <w:tc>
          <w:tcPr>
            <w:tcW w:w="518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As reported on unaudited condensed consolidated balance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2,563.7</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1,264.1</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5,943.8</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sheet at June 30, 2022</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180" w:right="140" w:hanging="172"/>
        <w:spacing w:after="0" w:line="243" w:lineRule="auto"/>
        <w:tabs>
          <w:tab w:leader="none" w:pos="158"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as well as those funds regulated outside the U.S. The $34.1 million and the $665.4 million represent the total value at June 30, 2022 of our interest in the consolidated T. Rowe Price investment products. The total net assets of the T. Rowe Price investment products at June 30, 2022 of $1,264.1 million includes assets of $1,307.2 million, less liabilities of $43.1 million as reflected in our unaudited condensed consolidated balance sheets.</w:t>
      </w:r>
    </w:p>
    <w:p>
      <w:pPr>
        <w:spacing w:after="0" w:line="1" w:lineRule="exact"/>
        <w:rPr>
          <w:rFonts w:ascii="Arial" w:cs="Arial" w:eastAsia="Arial" w:hAnsi="Arial"/>
          <w:sz w:val="18"/>
          <w:szCs w:val="18"/>
          <w:i w:val="1"/>
          <w:iCs w:val="1"/>
          <w:color w:val="auto"/>
          <w:vertAlign w:val="superscript"/>
        </w:rPr>
      </w:pPr>
    </w:p>
    <w:p>
      <w:pPr>
        <w:ind w:left="180" w:right="20" w:hanging="172"/>
        <w:spacing w:after="0" w:line="222" w:lineRule="auto"/>
        <w:tabs>
          <w:tab w:leader="none" w:pos="172"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$208.8 million of non-controlling interests in consolidated entities and represents the portion of these investments, held by third parties, that we cannot sell in order to obtain cash for general operations.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7" w:name="page38"/>
    <w:bookmarkEnd w:id="37"/>
    <w:p>
      <w:pPr>
        <w:jc w:val="both"/>
        <w:ind w:right="260"/>
        <w:spacing w:after="0" w:line="270" w:lineRule="auto"/>
        <w:rPr>
          <w:sz w:val="20"/>
          <w:szCs w:val="20"/>
          <w:color w:val="auto"/>
        </w:rPr>
      </w:pPr>
      <w:r>
        <w:rPr>
          <w:rFonts w:ascii="Arial" w:cs="Arial" w:eastAsia="Arial" w:hAnsi="Arial"/>
          <w:sz w:val="17"/>
          <w:szCs w:val="17"/>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increased our quarterly recurring dividend per common share in February 2022 by 11.1% to $1.20 per common share from $1.08 per common share. Further, we expended $519.6 million in the first half of 2022 to repurchase 3.8 million shares, or 1.6% of our outstanding common stock, at an average price of $137.92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Since the end of 2019, we have returned nearly $6.0 billion to stockholders through stock repurchases, regular quarterly dividends, and a special dividend,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Recurring dividend</w:t>
            </w:r>
          </w:p>
        </w:tc>
        <w:tc>
          <w:tcPr>
            <w:tcW w:w="142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Special dividend</w:t>
            </w:r>
          </w:p>
        </w:tc>
        <w:tc>
          <w:tcPr>
            <w:tcW w:w="156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Stock repurchases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89"/>
        </w:trPr>
        <w:tc>
          <w:tcPr>
            <w:tcW w:w="5280" w:type="dxa"/>
            <w:vAlign w:val="bottom"/>
            <w:vMerge w:val="continue"/>
            <w:shd w:val="clear" w:color="auto" w:fill="CCEEFF"/>
          </w:tcPr>
          <w:p>
            <w:pPr>
              <w:spacing w:after="0"/>
              <w:rPr>
                <w:sz w:val="16"/>
                <w:szCs w:val="16"/>
                <w:color w:val="auto"/>
              </w:rPr>
            </w:pPr>
          </w:p>
        </w:tc>
        <w:tc>
          <w:tcPr>
            <w:tcW w:w="1540" w:type="dxa"/>
            <w:vAlign w:val="bottom"/>
            <w:gridSpan w:val="3"/>
            <w:vMerge w:val="continue"/>
            <w:shd w:val="clear" w:color="auto" w:fill="CCEEFF"/>
          </w:tcPr>
          <w:p>
            <w:pPr>
              <w:spacing w:after="0"/>
              <w:rPr>
                <w:sz w:val="16"/>
                <w:szCs w:val="16"/>
                <w:color w:val="auto"/>
              </w:rPr>
            </w:pPr>
          </w:p>
        </w:tc>
        <w:tc>
          <w:tcPr>
            <w:tcW w:w="1420" w:type="dxa"/>
            <w:vAlign w:val="bottom"/>
            <w:gridSpan w:val="3"/>
            <w:vMerge w:val="continue"/>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1,192.2</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Six months ended 6/30/2022</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1,075.9</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2022 to be about $290 million, of which more than three-quarters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5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summarizes the cash flows for the six months ended June 30, 2022 and 2021, that are attributable to T. Rowe Price, our consolidated T. Rowe Price investment products, and the related eliminations required in preparing the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6/30/2022</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6/30/2021</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7" w:lineRule="exact"/>
              <w:rPr>
                <w:sz w:val="20"/>
                <w:szCs w:val="20"/>
                <w:color w:val="auto"/>
              </w:rPr>
            </w:pPr>
            <w:r>
              <w:rPr>
                <w:rFonts w:ascii="Arial" w:cs="Arial" w:eastAsia="Arial" w:hAnsi="Arial"/>
                <w:sz w:val="14"/>
                <w:szCs w:val="14"/>
                <w:b w:val="1"/>
                <w:bCs w:val="1"/>
                <w:color w:val="auto"/>
              </w:rPr>
              <w:t>Cash flow</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rPr>
              <w:t>attributable to</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Cash flow</w:t>
            </w:r>
          </w:p>
        </w:tc>
        <w:tc>
          <w:tcPr>
            <w:tcW w:w="11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110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112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T. Rowe Price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As</w:t>
            </w:r>
          </w:p>
        </w:tc>
        <w:tc>
          <w:tcPr>
            <w:tcW w:w="96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12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T. Rowe Price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4"/>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5" w:lineRule="exact"/>
              <w:rPr>
                <w:sz w:val="20"/>
                <w:szCs w:val="20"/>
                <w:color w:val="auto"/>
              </w:rPr>
            </w:pPr>
            <w:r>
              <w:rPr>
                <w:rFonts w:ascii="Arial" w:cs="Arial" w:eastAsia="Arial" w:hAnsi="Arial"/>
                <w:sz w:val="14"/>
                <w:szCs w:val="14"/>
                <w:b w:val="1"/>
                <w:bCs w:val="1"/>
                <w:color w:val="auto"/>
              </w:rPr>
              <w:t>investment</w:t>
            </w:r>
          </w:p>
        </w:tc>
        <w:tc>
          <w:tcPr>
            <w:tcW w:w="7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Elims</w:t>
            </w:r>
          </w:p>
        </w:tc>
        <w:tc>
          <w:tcPr>
            <w:tcW w:w="1000" w:type="dxa"/>
            <w:vAlign w:val="bottom"/>
            <w:gridSpan w:val="2"/>
            <w:vMerge w:val="continue"/>
            <w:shd w:val="clear" w:color="auto" w:fill="CCEEFF"/>
          </w:tcPr>
          <w:p>
            <w:pPr>
              <w:spacing w:after="0"/>
              <w:rPr>
                <w:sz w:val="12"/>
                <w:szCs w:val="12"/>
                <w:color w:val="auto"/>
              </w:rPr>
            </w:pPr>
          </w:p>
        </w:tc>
        <w:tc>
          <w:tcPr>
            <w:tcW w:w="96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5"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740" w:type="dxa"/>
            <w:vAlign w:val="bottom"/>
            <w:gridSpan w:val="2"/>
            <w:vMerge w:val="continue"/>
            <w:shd w:val="clear" w:color="auto" w:fill="CCEEFF"/>
          </w:tcPr>
          <w:p>
            <w:pPr>
              <w:spacing w:after="0"/>
              <w:rPr>
                <w:sz w:val="16"/>
                <w:szCs w:val="16"/>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802.2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0" w:type="dxa"/>
            <w:vAlign w:val="bottom"/>
          </w:tcPr>
          <w:p>
            <w:pPr>
              <w:spacing w:after="0"/>
              <w:rPr>
                <w:sz w:val="1"/>
                <w:szCs w:val="1"/>
                <w:color w:val="auto"/>
              </w:rPr>
            </w:pPr>
          </w:p>
        </w:tc>
      </w:tr>
      <w:tr>
        <w:trPr>
          <w:trHeight w:val="184"/>
        </w:trPr>
        <w:tc>
          <w:tcPr>
            <w:tcW w:w="3820" w:type="dxa"/>
            <w:vAlign w:val="bottom"/>
          </w:tcPr>
          <w:p>
            <w:pPr>
              <w:ind w:left="140"/>
              <w:spacing w:after="0" w:line="183" w:lineRule="exact"/>
              <w:rPr>
                <w:sz w:val="20"/>
                <w:szCs w:val="20"/>
                <w:color w:val="auto"/>
              </w:rPr>
            </w:pPr>
            <w:r>
              <w:rPr>
                <w:rFonts w:ascii="Arial" w:cs="Arial" w:eastAsia="Arial" w:hAnsi="Arial"/>
                <w:sz w:val="18"/>
                <w:szCs w:val="18"/>
                <w:color w:val="auto"/>
              </w:rPr>
              <w:t>Adjustments to reconcile net income (loss) to</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82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Depreciation and amortization of property,</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and software</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Amortization of acquired assets and</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106.7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82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Fair value remeasurement of contingent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(gains) losses recognized on</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Net redemptions in T. Rowe Price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220"/>
              <w:spacing w:after="0" w:line="181" w:lineRule="exact"/>
              <w:rPr>
                <w:sz w:val="20"/>
                <w:szCs w:val="20"/>
                <w:color w:val="auto"/>
              </w:rPr>
            </w:pPr>
            <w:r>
              <w:rPr>
                <w:rFonts w:ascii="Arial" w:cs="Arial" w:eastAsia="Arial" w:hAnsi="Arial"/>
                <w:sz w:val="18"/>
                <w:szCs w:val="18"/>
                <w:color w:val="auto"/>
              </w:rPr>
              <w:t>investment products used to economically</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3820" w:type="dxa"/>
            <w:vAlign w:val="bottom"/>
          </w:tcPr>
          <w:p>
            <w:pPr>
              <w:ind w:left="220"/>
              <w:spacing w:after="0"/>
              <w:rPr>
                <w:sz w:val="20"/>
                <w:szCs w:val="20"/>
                <w:color w:val="auto"/>
              </w:rPr>
            </w:pPr>
            <w:r>
              <w:rPr>
                <w:rFonts w:ascii="Arial" w:cs="Arial" w:eastAsia="Arial" w:hAnsi="Arial"/>
                <w:sz w:val="18"/>
                <w:szCs w:val="18"/>
                <w:color w:val="auto"/>
              </w:rPr>
              <w:t>hedge supplemental savings plan liability</w:t>
            </w: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change in trading securities held by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color w:val="auto"/>
              </w:rPr>
              <w:t>consolidated T. Rowe Price investment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changes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cash provided by (used in) operating</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2,025.2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1,802.0</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Net cash provided by (used in) investing</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7"/>
              </w:rPr>
              <w:t>(79.9)</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cash provided by (used in) financing</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(1,065.3)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Effect of exchange rate changes on cash and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20"/>
              <w:spacing w:after="0" w:line="181" w:lineRule="exact"/>
              <w:rPr>
                <w:sz w:val="20"/>
                <w:szCs w:val="20"/>
                <w:color w:val="auto"/>
              </w:rPr>
            </w:pPr>
            <w:r>
              <w:rPr>
                <w:rFonts w:ascii="Arial" w:cs="Arial" w:eastAsia="Arial" w:hAnsi="Arial"/>
                <w:sz w:val="18"/>
                <w:szCs w:val="18"/>
                <w:color w:val="auto"/>
                <w:w w:val="99"/>
              </w:rPr>
              <w:t>cash equivalents of consolidated T. Rowe Price</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products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during period</w:t>
            </w:r>
          </w:p>
        </w:tc>
        <w:tc>
          <w:tcPr>
            <w:tcW w:w="14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Cash and cash equivalents at beginning of</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1,523.1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1,624.2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2,151.7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2,256.5</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year</w:t>
            </w: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2,187.2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activities attributable to T. Rowe Price during the first half of 2022 provided cash flows of $1,659.8 million as compared to $2,025.2 million during the first half of 2021. Operating cash flows attributable to T. Rowe Price decreased $365.4 million, including a $657.6 million decrease in net income from the first half of 2021 and a decrease in timing differences primarily on the cash settlement of our assets and liabilities of $348.3 million. These decreases were partially offset by $658.5 million in higher non-cash adjustments, including unrealized investment gains/losses, depreciation, amortization of acquisition-related assets and retention arrangements, the fair value remeasurement of the contingent consideration liability, stock-based compensation expense, and other noncash items. The non-cash adjustments were primarily driven by $443.9 million in net investment losses in the first half of 2022 compared with $184.9 million in net investment gains in the first half of 2021. Additionally, in 2022, we had net proceeds of $ 3.9 million from certain investment products that economically hedge our supplemental savings plan liability compared to net proceeds of $21.9 million in the same period of 2021. Our interim operating cash flows do not include the cash impact of variable compensation that is accrued throughout the year before being substantially paid out in December. The remaining change in reported cash flows from operating activities was attributable to the net change in trading securities held in our consolidated investment products’ underlying portfolios.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Net cash used in investing activities that are attributable to T. Rowe Price totaled $1.6 million in the first half of 2022 compared with $129.8 million of cash provided by investing activities in the 2021 period. During 2022, net proceeds from the sale of certain of our discretionary investments of $110.2 million were lower compared to $160.1 million during 2021. We also increased the level of seed capital provided to the T. Rowe Price consolidated investment products by $69.3 million. We eliminate our seed capital in those T. Rowe Price investment products we consolidate in preparing our unaudited condensed consolidated statement of cash flows. Partially offsetting these decreases were increased property, equipment and software expenditures of $1.0 million. The remaining $30.7 million change in reported cash flows from investing activities is related to the net cash removed from our balance sheet from consolidating and deconsolidating investment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cash used in financing activities attributable to T. Rowe Price were $1,065.3 million in the first half of 2022 compared with $791.8 million in the 2021 period. During the first half of 2022, we used $519.6 million to repurchase 3.8 million shares compared to $308.9 million to repurchase 1.9 million shares in the first half of 2021. During the first half of 2022, there was a $51.1 million increase in dividends paid in 2022 as a result of the 11.1% increase in our quarterly dividend per share. In addition, $6.5 million in net distributions to non-controlling interests in consolidated entities increased net cash used in financing activities. The remaining change in reported cash flows from financing activities is primarily attributable to $65.7 million in net redemptions from redeemable non-controlling interest holders of our consolidated investment products during the first half of 2022 as compared to $299.1 million in net subscriptions received from redeemable non-controlling interest holders of our consolidated investment products during the first half of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2021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tax rate; the timing and expense related to the integration of OHA with and into our business; and our expectations regarding financial markets, future transactions, dividends, stock repurchases, investments, new products and services, capital expenditures, changes in our effective fee rate, the impact of the coronavirus pandemic,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2021.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performance fees, capital allocation-based income,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outbreak. The ability to attract and retain investors’ assets under our management is dependent on investor sentiment and confidence;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including our establishment of T. Rowe Price Investment Management as a separate registered investment adviser;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2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including the integration of OHA with and into our business;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0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our market risks from those provided in Item 7A of the Form 10-K Annual Report for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June 30, 2022. Based on that evaluation, our principal executive and principal financial officers have concluded that our disclosure controls and procedures as of June 30, 2022,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2022, and has concluded that there was no change during the second quarter of 2022 that has materially affected, or is reasonably likely to materially affect, our internal control over financial reporting.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condensed consolidated financial statements in Part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2022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3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7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Month</w:t>
            </w:r>
          </w:p>
        </w:tc>
        <w:tc>
          <w:tcPr>
            <w:tcW w:w="1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3740" w:type="dxa"/>
            <w:vAlign w:val="bottom"/>
            <w:gridSpan w:val="2"/>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April</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36,029</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13,383,640</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May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12,458,640</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rPr>
              <w:t>June</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115.78</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18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11,758,640</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second quarter of 2022, 10,117 were related to shares surrendered in connection with employee stock option exercises and no shares were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5420" w:type="dxa"/>
            <w:vAlign w:val="bottom"/>
            <w:vMerge w:val="restart"/>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00" w:type="dxa"/>
            <w:vAlign w:val="bottom"/>
            <w:vMerge w:val="restart"/>
            <w:shd w:val="clear" w:color="auto" w:fill="CCEEFF"/>
          </w:tcPr>
          <w:p>
            <w:pPr>
              <w:spacing w:after="0"/>
              <w:rPr>
                <w:sz w:val="12"/>
                <w:szCs w:val="12"/>
                <w:color w:val="auto"/>
              </w:rPr>
            </w:pPr>
          </w:p>
        </w:tc>
        <w:tc>
          <w:tcPr>
            <w:tcW w:w="1780" w:type="dxa"/>
            <w:vAlign w:val="bottom"/>
            <w:vMerge w:val="restart"/>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4/1/2022</w:t>
            </w:r>
          </w:p>
        </w:tc>
        <w:tc>
          <w:tcPr>
            <w:tcW w:w="100" w:type="dxa"/>
            <w:vAlign w:val="bottom"/>
            <w:shd w:val="clear" w:color="auto" w:fill="CCEEFF"/>
          </w:tcPr>
          <w:p>
            <w:pPr>
              <w:spacing w:after="0"/>
              <w:rPr>
                <w:sz w:val="12"/>
                <w:szCs w:val="12"/>
                <w:color w:val="auto"/>
              </w:rPr>
            </w:pPr>
          </w:p>
        </w:tc>
        <w:tc>
          <w:tcPr>
            <w:tcW w:w="2020" w:type="dxa"/>
            <w:vAlign w:val="bottom"/>
            <w:gridSpan w:val="2"/>
            <w:vMerge w:val="continue"/>
            <w:shd w:val="clear" w:color="auto" w:fill="CCEEFF"/>
          </w:tcPr>
          <w:p>
            <w:pPr>
              <w:spacing w:after="0"/>
              <w:rPr>
                <w:sz w:val="12"/>
                <w:szCs w:val="12"/>
                <w:color w:val="auto"/>
              </w:rPr>
            </w:pPr>
          </w:p>
        </w:tc>
        <w:tc>
          <w:tcPr>
            <w:tcW w:w="17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89"/>
        </w:trPr>
        <w:tc>
          <w:tcPr>
            <w:tcW w:w="5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at 6/30/2022</w:t>
            </w:r>
          </w:p>
        </w:tc>
        <w:tc>
          <w:tcPr>
            <w:tcW w:w="0" w:type="dxa"/>
            <w:vAlign w:val="bottom"/>
          </w:tcPr>
          <w:p>
            <w:pPr>
              <w:spacing w:after="0"/>
              <w:rPr>
                <w:sz w:val="1"/>
                <w:szCs w:val="1"/>
                <w:color w:val="auto"/>
              </w:rPr>
            </w:pPr>
          </w:p>
        </w:tc>
      </w:tr>
      <w:tr>
        <w:trPr>
          <w:trHeight w:val="22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March 2020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13,418,640</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(1,660,000)</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11,758,640</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July 28, 2022, we issued an earnings release reporting our results of operations for the second quarter of 2022.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ectPr>
          <w:pgSz w:w="11900" w:h="16838" w:orient="portrait"/>
          <w:cols w:equalWidth="0" w:num="1">
            <w:col w:w="11200"/>
          </w:cols>
          <w:pgMar w:left="320" w:top="890" w:right="379" w:bottom="1440" w:gutter="0" w:footer="0" w:header="0"/>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80"/>
        <w:spacing w:after="0" w:line="256" w:lineRule="auto"/>
        <w:rPr>
          <w:rFonts w:ascii="Arial" w:cs="Arial" w:eastAsia="Arial" w:hAnsi="Arial"/>
          <w:sz w:val="18"/>
          <w:szCs w:val="18"/>
          <w:color w:val="auto"/>
        </w:rPr>
      </w:pPr>
      <w:hyperlink r:id="rId78">
        <w:r>
          <w:rPr>
            <w:rFonts w:ascii="Arial" w:cs="Arial" w:eastAsia="Arial" w:hAnsi="Arial"/>
            <w:sz w:val="18"/>
            <w:szCs w:val="18"/>
            <w:color w:val="auto"/>
          </w:rPr>
          <w:t>Charter of T. Rowe Price Group, Inc., as reflected by Articles of Restatement dated June 20, 2018. (Incorporated by</w:t>
        </w:r>
      </w:hyperlink>
      <w:r>
        <w:rPr>
          <w:rFonts w:ascii="Arial" w:cs="Arial" w:eastAsia="Arial" w:hAnsi="Arial"/>
          <w:sz w:val="18"/>
          <w:szCs w:val="18"/>
          <w:color w:val="auto"/>
        </w:rPr>
        <w:t xml:space="preserve"> </w:t>
      </w:r>
      <w:hyperlink r:id="rId78">
        <w:r>
          <w:rPr>
            <w:rFonts w:ascii="Arial" w:cs="Arial" w:eastAsia="Arial" w:hAnsi="Arial"/>
            <w:sz w:val="18"/>
            <w:szCs w:val="18"/>
            <w:color w:val="auto"/>
          </w:rPr>
          <w:t>reference from Form 10-Q Quarterly Report filed on July 25, 2018.)</w:t>
        </w:r>
      </w:hyperlink>
    </w:p>
    <w:p>
      <w:pPr>
        <w:spacing w:after="0" w:line="31" w:lineRule="exact"/>
        <w:rPr>
          <w:sz w:val="20"/>
          <w:szCs w:val="20"/>
          <w:color w:val="auto"/>
        </w:rPr>
      </w:pPr>
    </w:p>
    <w:p>
      <w:pPr>
        <w:ind w:right="40"/>
        <w:spacing w:after="0" w:line="256" w:lineRule="auto"/>
        <w:rPr>
          <w:rFonts w:ascii="Arial" w:cs="Arial" w:eastAsia="Arial" w:hAnsi="Arial"/>
          <w:sz w:val="18"/>
          <w:szCs w:val="18"/>
          <w:color w:val="auto"/>
        </w:rPr>
      </w:pPr>
      <w:hyperlink r:id="rId79">
        <w:r>
          <w:rPr>
            <w:rFonts w:ascii="Arial" w:cs="Arial" w:eastAsia="Arial" w:hAnsi="Arial"/>
            <w:sz w:val="18"/>
            <w:szCs w:val="18"/>
            <w:color w:val="auto"/>
          </w:rPr>
          <w:t>Amended and Restated By-Laws of T. Rowe Price Group, Inc. as of February 9, 2021. (Incorporated by reference from</w:t>
        </w:r>
      </w:hyperlink>
      <w:r>
        <w:rPr>
          <w:rFonts w:ascii="Arial" w:cs="Arial" w:eastAsia="Arial" w:hAnsi="Arial"/>
          <w:sz w:val="18"/>
          <w:szCs w:val="18"/>
          <w:color w:val="auto"/>
        </w:rPr>
        <w:t xml:space="preserve"> </w:t>
      </w:r>
      <w:hyperlink r:id="rId79">
        <w:r>
          <w:rPr>
            <w:rFonts w:ascii="Arial" w:cs="Arial" w:eastAsia="Arial" w:hAnsi="Arial"/>
            <w:sz w:val="18"/>
            <w:szCs w:val="18"/>
            <w:color w:val="auto"/>
          </w:rPr>
          <w:t>Form 10-K Annual Report filed on February 11, 2021.)</w:t>
        </w:r>
      </w:hyperlink>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Earnings release issued July 28, 2022, reporting our results of operations for the second quarter of 2022.</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series of unaudited XBRL-formatted documents are collectively included herewith as Exhibit 101. The financial</w:t>
      </w:r>
    </w:p>
    <w:p>
      <w:pPr>
        <w:spacing w:after="0" w:line="33" w:lineRule="exact"/>
        <w:rPr>
          <w:sz w:val="20"/>
          <w:szCs w:val="20"/>
          <w:color w:val="auto"/>
        </w:rPr>
      </w:pPr>
    </w:p>
    <w:p>
      <w:pPr>
        <w:sectPr>
          <w:pgSz w:w="11900" w:h="16838" w:orient="portrait"/>
          <w:cols w:equalWidth="0" w:num="2">
            <w:col w:w="1020" w:space="720"/>
            <w:col w:w="9460"/>
          </w:cols>
          <w:pgMar w:left="320" w:top="890" w:right="37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7"/>
          <w:szCs w:val="17"/>
          <w:color w:val="auto"/>
        </w:rPr>
        <w:t>information is extracted from T. Rowe Price Group’s unaudited condensed consolidated interim financial statements and notes that are included in this Form 10-Q Report.</w:t>
      </w:r>
    </w:p>
    <w:p>
      <w:pPr>
        <w:spacing w:after="0" w:line="6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1020" w:space="720"/>
            <w:col w:w="9460"/>
          </w:cols>
          <w:pgMar w:left="320" w:top="890" w:right="3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43" w:name="page44"/>
    <w:bookmarkEnd w:id="4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28,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120"/>
          </w:cols>
          <w:pgMar w:left="320" w:top="890" w:right="459" w:bottom="1440" w:gutter="0" w:footer="0" w:header="0"/>
        </w:sectPr>
      </w:pPr>
    </w:p>
    <w:bookmarkStart w:id="44" w:name="page45"/>
    <w:bookmarkEnd w:id="44"/>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8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890" w:right="3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7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No. 333-217483, and No. 333-238319.</w:t>
      </w:r>
    </w:p>
    <w:p>
      <w:pPr>
        <w:spacing w:after="0" w:line="18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28, 2022 related to our review of interim financial information.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890" w:right="339" w:bottom="1440" w:gutter="0" w:footer="0" w:header="0"/>
          <w:type w:val="continuous"/>
        </w:sectPr>
      </w:pPr>
    </w:p>
    <w:bookmarkStart w:id="45" w:name="page46"/>
    <w:bookmarkEnd w:id="45"/>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June 30, 2022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85" w:right="359" w:bottom="1440" w:gutter="0" w:footer="0" w:header="0"/>
        </w:sectPr>
      </w:pPr>
    </w:p>
    <w:bookmarkStart w:id="46" w:name="page47"/>
    <w:bookmarkEnd w:id="46"/>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June 30, 2022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47" w:name="page48"/>
    <w:bookmarkEnd w:id="47"/>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2022, of T. Rowe Price Group, Inc., that:</w:t>
      </w:r>
    </w:p>
    <w:p>
      <w:pPr>
        <w:spacing w:after="0" w:line="31" w:lineRule="exact"/>
        <w:rPr>
          <w:sz w:val="20"/>
          <w:szCs w:val="20"/>
          <w:color w:val="auto"/>
        </w:rPr>
      </w:pPr>
    </w:p>
    <w:p>
      <w:pPr>
        <w:ind w:right="620" w:firstLine="8"/>
        <w:spacing w:after="0" w:line="287"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firstLine="8"/>
        <w:spacing w:after="0" w:line="287"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160"/>
          </w:cols>
          <w:pgMar w:left="320" w:top="985" w:right="41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863590" cy="548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SECOND QUARTER 2022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BALTIMORE (July 28, 2022) - T. Rowe Price Group, Inc. (NASDAQ-GS: TROW) today reported its results for the second quarter of 2022.</w:t>
      </w:r>
    </w:p>
    <w:p>
      <w:pPr>
        <w:spacing w:after="0" w:line="13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Quarter end assets under management of $1.31 trillion</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outflows of $14.7 billion</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$1.5 billion, including negative capital allocation-based income of $126.3 million</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(EPS) of $1.46; Adjusted non-GAAP diluted EPS of $1.79</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Returned $476.6 million to stockholders in Q2 2022</w:t>
      </w:r>
      <w:r>
        <w:rPr>
          <w:rFonts w:ascii="Arial" w:cs="Arial" w:eastAsia="Arial" w:hAnsi="Arial"/>
          <w:sz w:val="18"/>
          <w:szCs w:val="18"/>
          <w:color w:val="auto"/>
        </w:rPr>
        <w:t>,</w:t>
      </w:r>
      <w:r>
        <w:rPr>
          <w:rFonts w:ascii="Arial" w:cs="Arial" w:eastAsia="Arial" w:hAnsi="Arial"/>
          <w:sz w:val="18"/>
          <w:szCs w:val="18"/>
          <w:b w:val="1"/>
          <w:bCs w:val="1"/>
          <w:color w:val="auto"/>
        </w:rPr>
        <w:t xml:space="preserve"> including $199.4 million of share repurchases</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3"/>
        </w:numPr>
        <w:rPr>
          <w:rFonts w:ascii="Arial" w:cs="Arial" w:eastAsia="Arial" w:hAnsi="Arial"/>
          <w:sz w:val="22"/>
          <w:szCs w:val="22"/>
          <w:b w:val="1"/>
          <w:bCs w:val="1"/>
          <w:color w:val="40AEFF"/>
        </w:rPr>
      </w:pPr>
      <w:r>
        <w:rPr>
          <w:rFonts w:ascii="Arial" w:cs="Arial" w:eastAsia="Arial" w:hAnsi="Arial"/>
          <w:sz w:val="18"/>
          <w:szCs w:val="18"/>
          <w:b w:val="1"/>
          <w:bCs w:val="1"/>
          <w:color w:val="auto"/>
        </w:rPr>
        <w:t>Solid investment performance over longer time horizons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gridSpan w:val="4"/>
            <w:shd w:val="clear" w:color="auto" w:fill="CCEEFF"/>
          </w:tcPr>
          <w:p>
            <w:pPr>
              <w:jc w:val="right"/>
              <w:ind w:right="24"/>
              <w:spacing w:after="0"/>
              <w:rPr>
                <w:sz w:val="20"/>
                <w:szCs w:val="20"/>
                <w:color w:val="auto"/>
              </w:rPr>
            </w:pPr>
            <w:r>
              <w:rPr>
                <w:rFonts w:ascii="Arial" w:cs="Arial" w:eastAsia="Arial" w:hAnsi="Arial"/>
                <w:sz w:val="14"/>
                <w:szCs w:val="14"/>
                <w:color w:val="auto"/>
              </w:rPr>
              <w:t>Three months ended</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(in millions, except per-share data)</w:t>
            </w:r>
          </w:p>
        </w:tc>
        <w:tc>
          <w:tcPr>
            <w:tcW w:w="140" w:type="dxa"/>
            <w:vAlign w:val="bottom"/>
          </w:tcPr>
          <w:p>
            <w:pPr>
              <w:spacing w:after="0"/>
              <w:rPr>
                <w:sz w:val="20"/>
                <w:szCs w:val="20"/>
                <w:color w:val="auto"/>
              </w:rPr>
            </w:pPr>
          </w:p>
        </w:tc>
        <w:tc>
          <w:tcPr>
            <w:tcW w:w="960" w:type="dxa"/>
            <w:vAlign w:val="bottom"/>
          </w:tcPr>
          <w:p>
            <w:pPr>
              <w:jc w:val="right"/>
              <w:ind w:right="104"/>
              <w:spacing w:after="0"/>
              <w:rPr>
                <w:sz w:val="20"/>
                <w:szCs w:val="20"/>
                <w:color w:val="auto"/>
              </w:rPr>
            </w:pPr>
            <w:r>
              <w:rPr>
                <w:rFonts w:ascii="Arial" w:cs="Arial" w:eastAsia="Arial" w:hAnsi="Arial"/>
                <w:sz w:val="14"/>
                <w:szCs w:val="14"/>
                <w:color w:val="auto"/>
              </w:rPr>
              <w:t>6/30/2022</w:t>
            </w:r>
            <w:r>
              <w:rPr>
                <w:rFonts w:ascii="Arial" w:cs="Arial" w:eastAsia="Arial" w:hAnsi="Arial"/>
                <w:sz w:val="9"/>
                <w:szCs w:val="9"/>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44"/>
              <w:spacing w:after="0"/>
              <w:rPr>
                <w:sz w:val="20"/>
                <w:szCs w:val="20"/>
                <w:color w:val="auto"/>
              </w:rPr>
            </w:pPr>
            <w:r>
              <w:rPr>
                <w:rFonts w:ascii="Arial" w:cs="Arial" w:eastAsia="Arial" w:hAnsi="Arial"/>
                <w:sz w:val="14"/>
                <w:szCs w:val="14"/>
                <w:color w:val="auto"/>
              </w:rPr>
              <w:t>6/30/2021</w:t>
            </w:r>
          </w:p>
        </w:tc>
        <w:tc>
          <w:tcPr>
            <w:tcW w:w="80" w:type="dxa"/>
            <w:vAlign w:val="bottom"/>
          </w:tcPr>
          <w:p>
            <w:pPr>
              <w:spacing w:after="0"/>
              <w:rPr>
                <w:sz w:val="20"/>
                <w:szCs w:val="20"/>
                <w:color w:val="auto"/>
              </w:rPr>
            </w:pPr>
          </w:p>
        </w:tc>
        <w:tc>
          <w:tcPr>
            <w:tcW w:w="1280" w:type="dxa"/>
            <w:vAlign w:val="bottom"/>
            <w:tcBorders>
              <w:right w:val="single" w:sz="8" w:color="auto"/>
            </w:tcBorders>
            <w:gridSpan w:val="2"/>
          </w:tcPr>
          <w:p>
            <w:pPr>
              <w:ind w:left="260"/>
              <w:spacing w:after="0"/>
              <w:rPr>
                <w:sz w:val="20"/>
                <w:szCs w:val="20"/>
                <w:color w:val="auto"/>
              </w:rPr>
            </w:pPr>
            <w:r>
              <w:rPr>
                <w:rFonts w:ascii="Arial" w:cs="Arial" w:eastAsia="Arial" w:hAnsi="Arial"/>
                <w:sz w:val="14"/>
                <w:szCs w:val="14"/>
                <w:color w:val="auto"/>
              </w:rPr>
              <w:t>% change</w:t>
            </w:r>
          </w:p>
        </w:tc>
        <w:tc>
          <w:tcPr>
            <w:tcW w:w="120" w:type="dxa"/>
            <w:vAlign w:val="bottom"/>
          </w:tcPr>
          <w:p>
            <w:pPr>
              <w:spacing w:after="0"/>
              <w:rPr>
                <w:sz w:val="20"/>
                <w:szCs w:val="20"/>
                <w:color w:val="auto"/>
              </w:rPr>
            </w:pPr>
          </w:p>
        </w:tc>
        <w:tc>
          <w:tcPr>
            <w:tcW w:w="960" w:type="dxa"/>
            <w:vAlign w:val="bottom"/>
          </w:tcPr>
          <w:p>
            <w:pPr>
              <w:jc w:val="right"/>
              <w:ind w:right="104"/>
              <w:spacing w:after="0"/>
              <w:rPr>
                <w:sz w:val="20"/>
                <w:szCs w:val="20"/>
                <w:color w:val="auto"/>
              </w:rPr>
            </w:pPr>
            <w:r>
              <w:rPr>
                <w:rFonts w:ascii="Arial" w:cs="Arial" w:eastAsia="Arial" w:hAnsi="Arial"/>
                <w:sz w:val="14"/>
                <w:szCs w:val="14"/>
                <w:color w:val="auto"/>
              </w:rPr>
              <w:t>3/31/2022</w:t>
            </w:r>
            <w:r>
              <w:rPr>
                <w:rFonts w:ascii="Arial" w:cs="Arial" w:eastAsia="Arial" w:hAnsi="Arial"/>
                <w:sz w:val="9"/>
                <w:szCs w:val="9"/>
                <w:color w:val="auto"/>
              </w:rPr>
              <w:t>(1)</w:t>
            </w:r>
          </w:p>
        </w:tc>
        <w:tc>
          <w:tcPr>
            <w:tcW w:w="100" w:type="dxa"/>
            <w:vAlign w:val="bottom"/>
          </w:tcPr>
          <w:p>
            <w:pPr>
              <w:spacing w:after="0"/>
              <w:rPr>
                <w:sz w:val="20"/>
                <w:szCs w:val="20"/>
                <w:color w:val="auto"/>
              </w:rPr>
            </w:pPr>
          </w:p>
        </w:tc>
        <w:tc>
          <w:tcPr>
            <w:tcW w:w="1180" w:type="dxa"/>
            <w:vAlign w:val="bottom"/>
            <w:tcBorders>
              <w:right w:val="single" w:sz="8" w:color="auto"/>
            </w:tcBorders>
          </w:tcPr>
          <w:p>
            <w:pPr>
              <w:jc w:val="right"/>
              <w:ind w:right="204"/>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2"/>
        </w:trPr>
        <w:tc>
          <w:tcPr>
            <w:tcW w:w="5240" w:type="dxa"/>
            <w:vAlign w:val="bottom"/>
            <w:tcBorders>
              <w:top w:val="single" w:sz="8" w:color="CCEEFF"/>
              <w:left w:val="single" w:sz="8" w:color="auto"/>
            </w:tcBorders>
            <w:gridSpan w:val="6"/>
          </w:tcPr>
          <w:p>
            <w:pPr>
              <w:ind w:left="40"/>
              <w:spacing w:after="0" w:line="162" w:lineRule="exact"/>
              <w:rPr>
                <w:sz w:val="20"/>
                <w:szCs w:val="20"/>
                <w:color w:val="auto"/>
              </w:rPr>
            </w:pPr>
            <w:r>
              <w:rPr>
                <w:rFonts w:ascii="Arial" w:cs="Arial" w:eastAsia="Arial" w:hAnsi="Arial"/>
                <w:sz w:val="15"/>
                <w:szCs w:val="15"/>
                <w:b w:val="1"/>
                <w:bCs w:val="1"/>
                <w:color w:val="auto"/>
              </w:rPr>
              <w:t>U.S. GAAP basis</w:t>
            </w: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CCEEFF"/>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Investment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1,787.2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1,662.1</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1"/>
        </w:trPr>
        <w:tc>
          <w:tcPr>
            <w:tcW w:w="524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Capital allocation-based income</w:t>
            </w:r>
            <w:r>
              <w:rPr>
                <w:rFonts w:ascii="Arial" w:cs="Arial" w:eastAsia="Arial" w:hAnsi="Arial"/>
                <w:sz w:val="9"/>
                <w:szCs w:val="9"/>
                <w:color w:val="auto"/>
              </w:rPr>
              <w:t>(2)(3)</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(126.3)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80" w:type="dxa"/>
            <w:vAlign w:val="bottom"/>
            <w:tcBorders>
              <w:right w:val="single" w:sz="8" w:color="auto"/>
            </w:tcBorders>
            <w:gridSpan w:val="2"/>
          </w:tcPr>
          <w:p>
            <w:pPr>
              <w:ind w:left="880"/>
              <w:spacing w:after="0"/>
              <w:rPr>
                <w:sz w:val="20"/>
                <w:szCs w:val="20"/>
                <w:color w:val="auto"/>
              </w:rPr>
            </w:pPr>
            <w:r>
              <w:rPr>
                <w:rFonts w:ascii="Arial" w:cs="Arial" w:eastAsia="Arial" w:hAnsi="Arial"/>
                <w:sz w:val="15"/>
                <w:szCs w:val="15"/>
                <w:color w:val="auto"/>
              </w:rPr>
              <w:t>n/m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44.4</w:t>
            </w:r>
          </w:p>
        </w:tc>
        <w:tc>
          <w:tcPr>
            <w:tcW w:w="100" w:type="dxa"/>
            <w:vAlign w:val="bottom"/>
          </w:tcPr>
          <w:p>
            <w:pPr>
              <w:spacing w:after="0"/>
              <w:rPr>
                <w:sz w:val="17"/>
                <w:szCs w:val="17"/>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4"/>
        </w:trPr>
        <w:tc>
          <w:tcPr>
            <w:tcW w:w="52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1,929.3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1,863.0</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201"/>
        </w:trPr>
        <w:tc>
          <w:tcPr>
            <w:tcW w:w="524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844.4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971.2</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(13.1)%</w:t>
            </w:r>
          </w:p>
        </w:tc>
        <w:tc>
          <w:tcPr>
            <w:tcW w:w="1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985.6</w:t>
            </w:r>
          </w:p>
        </w:tc>
        <w:tc>
          <w:tcPr>
            <w:tcW w:w="100" w:type="dxa"/>
            <w:vAlign w:val="bottom"/>
          </w:tcPr>
          <w:p>
            <w:pPr>
              <w:spacing w:after="0"/>
              <w:rPr>
                <w:sz w:val="17"/>
                <w:szCs w:val="17"/>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204"/>
        </w:trPr>
        <w:tc>
          <w:tcPr>
            <w:tcW w:w="52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958.1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(30.2)%</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877.4</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201"/>
        </w:trPr>
        <w:tc>
          <w:tcPr>
            <w:tcW w:w="524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Non-operating income (loss)</w:t>
            </w:r>
            <w:r>
              <w:rPr>
                <w:rFonts w:ascii="Arial" w:cs="Arial" w:eastAsia="Arial" w:hAnsi="Arial"/>
                <w:sz w:val="9"/>
                <w:szCs w:val="9"/>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(279.9)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143.9</w:t>
            </w:r>
          </w:p>
        </w:tc>
        <w:tc>
          <w:tcPr>
            <w:tcW w:w="80" w:type="dxa"/>
            <w:vAlign w:val="bottom"/>
          </w:tcPr>
          <w:p>
            <w:pPr>
              <w:spacing w:after="0"/>
              <w:rPr>
                <w:sz w:val="17"/>
                <w:szCs w:val="17"/>
                <w:color w:val="auto"/>
              </w:rPr>
            </w:pPr>
          </w:p>
        </w:tc>
        <w:tc>
          <w:tcPr>
            <w:tcW w:w="1280" w:type="dxa"/>
            <w:vAlign w:val="bottom"/>
            <w:tcBorders>
              <w:right w:val="single" w:sz="8" w:color="auto"/>
            </w:tcBorders>
            <w:gridSpan w:val="2"/>
          </w:tcPr>
          <w:p>
            <w:pPr>
              <w:ind w:left="880"/>
              <w:spacing w:after="0"/>
              <w:rPr>
                <w:sz w:val="20"/>
                <w:szCs w:val="20"/>
                <w:color w:val="auto"/>
              </w:rPr>
            </w:pPr>
            <w:r>
              <w:rPr>
                <w:rFonts w:ascii="Arial" w:cs="Arial" w:eastAsia="Arial" w:hAnsi="Arial"/>
                <w:sz w:val="15"/>
                <w:szCs w:val="15"/>
                <w:color w:val="auto"/>
              </w:rPr>
              <w:t>n/m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(198.5)</w:t>
            </w:r>
          </w:p>
        </w:tc>
        <w:tc>
          <w:tcPr>
            <w:tcW w:w="100" w:type="dxa"/>
            <w:vAlign w:val="bottom"/>
          </w:tcPr>
          <w:p>
            <w:pPr>
              <w:spacing w:after="0"/>
              <w:rPr>
                <w:sz w:val="17"/>
                <w:szCs w:val="17"/>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4"/>
        </w:trPr>
        <w:tc>
          <w:tcPr>
            <w:tcW w:w="52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Net income attributable to T. Rowe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815.7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(58.4)%</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567.9</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201"/>
        </w:trPr>
        <w:tc>
          <w:tcPr>
            <w:tcW w:w="524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3.46</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(57.8)%</w:t>
            </w:r>
          </w:p>
        </w:tc>
        <w:tc>
          <w:tcPr>
            <w:tcW w:w="1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2.41</w:t>
            </w:r>
          </w:p>
        </w:tc>
        <w:tc>
          <w:tcPr>
            <w:tcW w:w="100" w:type="dxa"/>
            <w:vAlign w:val="bottom"/>
          </w:tcPr>
          <w:p>
            <w:pPr>
              <w:spacing w:after="0"/>
              <w:rPr>
                <w:sz w:val="17"/>
                <w:szCs w:val="17"/>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204"/>
        </w:trPr>
        <w:tc>
          <w:tcPr>
            <w:tcW w:w="52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 assuming dilution</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229.8</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2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Adjusted non-GAAP basis</w:t>
            </w:r>
            <w:r>
              <w:rPr>
                <w:rFonts w:ascii="Arial" w:cs="Arial" w:eastAsia="Arial" w:hAnsi="Arial"/>
                <w:sz w:val="9"/>
                <w:szCs w:val="9"/>
                <w:b w:val="1"/>
                <w:bCs w:val="1"/>
                <w:color w:val="auto"/>
              </w:rPr>
              <w:t>(4)</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24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947.3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931.8</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1.7 %</w:t>
            </w:r>
          </w:p>
        </w:tc>
        <w:tc>
          <w:tcPr>
            <w:tcW w:w="12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1,039.1</w:t>
            </w:r>
          </w:p>
        </w:tc>
        <w:tc>
          <w:tcPr>
            <w:tcW w:w="100" w:type="dxa"/>
            <w:vAlign w:val="bottom"/>
          </w:tcPr>
          <w:p>
            <w:pPr>
              <w:spacing w:after="0"/>
              <w:rPr>
                <w:sz w:val="17"/>
                <w:szCs w:val="17"/>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4"/>
        </w:trPr>
        <w:tc>
          <w:tcPr>
            <w:tcW w:w="52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(41.9)%</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838.0</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01"/>
        </w:trPr>
        <w:tc>
          <w:tcPr>
            <w:tcW w:w="5240" w:type="dxa"/>
            <w:vAlign w:val="bottom"/>
            <w:tcBorders>
              <w:left w:val="single" w:sz="8" w:color="auto"/>
            </w:tcBorders>
            <w:gridSpan w:val="6"/>
          </w:tcPr>
          <w:p>
            <w:pPr>
              <w:ind w:left="40"/>
              <w:spacing w:after="0"/>
              <w:rPr>
                <w:sz w:val="20"/>
                <w:szCs w:val="20"/>
                <w:color w:val="auto"/>
              </w:rPr>
            </w:pPr>
            <w:r>
              <w:rPr>
                <w:rFonts w:ascii="Arial" w:cs="Arial" w:eastAsia="Arial" w:hAnsi="Arial"/>
                <w:sz w:val="14"/>
                <w:szCs w:val="14"/>
                <w:color w:val="auto"/>
              </w:rPr>
              <w:t>Non-operating income (loss)</w:t>
            </w:r>
            <w:r>
              <w:rPr>
                <w:rFonts w:ascii="Arial" w:cs="Arial" w:eastAsia="Arial" w:hAnsi="Arial"/>
                <w:sz w:val="9"/>
                <w:szCs w:val="9"/>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17.8</w:t>
            </w:r>
          </w:p>
        </w:tc>
        <w:tc>
          <w:tcPr>
            <w:tcW w:w="80" w:type="dxa"/>
            <w:vAlign w:val="bottom"/>
          </w:tcPr>
          <w:p>
            <w:pPr>
              <w:spacing w:after="0"/>
              <w:rPr>
                <w:sz w:val="17"/>
                <w:szCs w:val="17"/>
                <w:color w:val="auto"/>
              </w:rPr>
            </w:pPr>
          </w:p>
        </w:tc>
        <w:tc>
          <w:tcPr>
            <w:tcW w:w="1280" w:type="dxa"/>
            <w:vAlign w:val="bottom"/>
            <w:tcBorders>
              <w:right w:val="single" w:sz="8" w:color="auto"/>
            </w:tcBorders>
            <w:gridSpan w:val="2"/>
          </w:tcPr>
          <w:p>
            <w:pPr>
              <w:ind w:left="880"/>
              <w:spacing w:after="0"/>
              <w:rPr>
                <w:sz w:val="20"/>
                <w:szCs w:val="20"/>
                <w:color w:val="auto"/>
              </w:rPr>
            </w:pPr>
            <w:r>
              <w:rPr>
                <w:rFonts w:ascii="Arial" w:cs="Arial" w:eastAsia="Arial" w:hAnsi="Arial"/>
                <w:sz w:val="15"/>
                <w:szCs w:val="15"/>
                <w:color w:val="auto"/>
              </w:rPr>
              <w:t>n/m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7"/>
                <w:szCs w:val="17"/>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4"/>
        </w:trPr>
        <w:tc>
          <w:tcPr>
            <w:tcW w:w="524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color w:val="auto"/>
              </w:rPr>
              <w:t>Net income attributable to T. Rowe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779.0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(46.4)%</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616.9</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w:t>
            </w:r>
          </w:p>
        </w:tc>
        <w:tc>
          <w:tcPr>
            <w:tcW w:w="0" w:type="dxa"/>
            <w:vAlign w:val="bottom"/>
          </w:tcPr>
          <w:p>
            <w:pPr>
              <w:spacing w:after="0"/>
              <w:rPr>
                <w:sz w:val="1"/>
                <w:szCs w:val="1"/>
                <w:color w:val="auto"/>
              </w:rPr>
            </w:pPr>
          </w:p>
        </w:tc>
      </w:tr>
      <w:tr>
        <w:trPr>
          <w:trHeight w:val="237"/>
        </w:trPr>
        <w:tc>
          <w:tcPr>
            <w:tcW w:w="5240" w:type="dxa"/>
            <w:vAlign w:val="bottom"/>
            <w:tcBorders>
              <w:left w:val="single" w:sz="8" w:color="auto"/>
              <w:bottom w:val="single" w:sz="8" w:color="CCEEFF"/>
            </w:tcBorders>
            <w:gridSpan w:val="6"/>
          </w:tcPr>
          <w:p>
            <w:pPr>
              <w:ind w:left="40"/>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1.79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rPr>
              <w:t>3.31</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(45.9)%</w:t>
            </w:r>
          </w:p>
        </w:tc>
        <w:tc>
          <w:tcPr>
            <w:tcW w:w="120" w:type="dxa"/>
            <w:vAlign w:val="bottom"/>
            <w:tcBorders>
              <w:bottom w:val="single" w:sz="8" w:color="CCEEFF"/>
              <w:right w:val="single" w:sz="8" w:color="auto"/>
            </w:tcBorders>
          </w:tcPr>
          <w:p>
            <w:pPr>
              <w:spacing w:after="0"/>
              <w:rPr>
                <w:sz w:val="20"/>
                <w:szCs w:val="20"/>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rPr>
              <w:t>2.62</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121"/>
        </w:trPr>
        <w:tc>
          <w:tcPr>
            <w:tcW w:w="1920" w:type="dxa"/>
            <w:vAlign w:val="bottom"/>
            <w:tcBorders>
              <w:left w:val="single" w:sz="8" w:color="auto"/>
            </w:tcBorders>
            <w:gridSpan w:val="4"/>
            <w:vMerge w:val="restart"/>
          </w:tcPr>
          <w:p>
            <w:pPr>
              <w:ind w:left="40"/>
              <w:spacing w:after="0"/>
              <w:rPr>
                <w:sz w:val="20"/>
                <w:szCs w:val="20"/>
                <w:color w:val="auto"/>
              </w:rPr>
            </w:pPr>
            <w:r>
              <w:rPr>
                <w:rFonts w:ascii="Arial" w:cs="Arial" w:eastAsia="Arial" w:hAnsi="Arial"/>
                <w:sz w:val="14"/>
                <w:szCs w:val="14"/>
                <w:b w:val="1"/>
                <w:bCs w:val="1"/>
                <w:color w:val="auto"/>
              </w:rPr>
              <w:t>Assets under Management</w:t>
            </w:r>
          </w:p>
        </w:tc>
        <w:tc>
          <w:tcPr>
            <w:tcW w:w="1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b w:val="1"/>
                <w:bCs w:val="1"/>
                <w:color w:val="auto"/>
                <w:w w:val="72"/>
              </w:rPr>
              <w:t>(5)</w:t>
            </w:r>
          </w:p>
        </w:tc>
        <w:tc>
          <w:tcPr>
            <w:tcW w:w="3220" w:type="dxa"/>
            <w:vAlign w:val="bottom"/>
            <w:vMerge w:val="restart"/>
          </w:tcPr>
          <w:p>
            <w:pPr>
              <w:ind w:left="4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20" w:type="dxa"/>
            <w:vAlign w:val="bottom"/>
            <w:tcBorders>
              <w:left w:val="single" w:sz="8" w:color="auto"/>
            </w:tcBorders>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shd w:val="clear" w:color="auto" w:fill="CCEEFF"/>
          </w:tcPr>
          <w:p>
            <w:pPr>
              <w:spacing w:after="0"/>
              <w:rPr>
                <w:sz w:val="17"/>
                <w:szCs w:val="17"/>
                <w:color w:val="auto"/>
              </w:rPr>
            </w:pPr>
          </w:p>
        </w:tc>
        <w:tc>
          <w:tcPr>
            <w:tcW w:w="5200" w:type="dxa"/>
            <w:vAlign w:val="bottom"/>
            <w:gridSpan w:val="5"/>
            <w:shd w:val="clear" w:color="auto" w:fill="CCEEFF"/>
          </w:tcPr>
          <w:p>
            <w:pPr>
              <w:ind w:left="100"/>
              <w:spacing w:after="0"/>
              <w:rPr>
                <w:sz w:val="20"/>
                <w:szCs w:val="20"/>
                <w:color w:val="auto"/>
              </w:rPr>
            </w:pPr>
            <w:r>
              <w:rPr>
                <w:rFonts w:ascii="Arial" w:cs="Arial" w:eastAsia="Arial" w:hAnsi="Arial"/>
                <w:sz w:val="14"/>
                <w:szCs w:val="14"/>
                <w:color w:val="auto"/>
              </w:rPr>
              <w:t>Average assets under management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1,559.9</w:t>
            </w:r>
          </w:p>
        </w:tc>
        <w:tc>
          <w:tcPr>
            <w:tcW w:w="100" w:type="dxa"/>
            <w:vAlign w:val="bottom"/>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236"/>
        </w:trPr>
        <w:tc>
          <w:tcPr>
            <w:tcW w:w="40" w:type="dxa"/>
            <w:vAlign w:val="bottom"/>
            <w:tcBorders>
              <w:left w:val="single" w:sz="8" w:color="auto"/>
              <w:bottom w:val="single" w:sz="8" w:color="CCEEFF"/>
            </w:tcBorders>
          </w:tcPr>
          <w:p>
            <w:pPr>
              <w:spacing w:after="0"/>
              <w:rPr>
                <w:sz w:val="20"/>
                <w:szCs w:val="20"/>
                <w:color w:val="auto"/>
              </w:rPr>
            </w:pPr>
          </w:p>
        </w:tc>
        <w:tc>
          <w:tcPr>
            <w:tcW w:w="5200" w:type="dxa"/>
            <w:vAlign w:val="bottom"/>
            <w:tcBorders>
              <w:bottom w:val="single" w:sz="8" w:color="CCEEFF"/>
            </w:tcBorders>
            <w:gridSpan w:val="5"/>
          </w:tcPr>
          <w:p>
            <w:pPr>
              <w:ind w:left="100"/>
              <w:spacing w:after="0"/>
              <w:rPr>
                <w:sz w:val="20"/>
                <w:szCs w:val="20"/>
                <w:color w:val="auto"/>
              </w:rPr>
            </w:pPr>
            <w:r>
              <w:rPr>
                <w:rFonts w:ascii="Arial" w:cs="Arial" w:eastAsia="Arial" w:hAnsi="Arial"/>
                <w:sz w:val="14"/>
                <w:szCs w:val="14"/>
                <w:color w:val="auto"/>
              </w:rPr>
              <w:t>Ending assets under management</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1,309.7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rPr>
              <w:t>1,623.1</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(19.3)%</w:t>
            </w:r>
          </w:p>
        </w:tc>
        <w:tc>
          <w:tcPr>
            <w:tcW w:w="120" w:type="dxa"/>
            <w:vAlign w:val="bottom"/>
            <w:tcBorders>
              <w:bottom w:val="single" w:sz="8" w:color="CCEEFF"/>
              <w:right w:val="single" w:sz="8" w:color="auto"/>
            </w:tcBorders>
          </w:tcPr>
          <w:p>
            <w:pPr>
              <w:spacing w:after="0"/>
              <w:rPr>
                <w:sz w:val="20"/>
                <w:szCs w:val="20"/>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rPr>
              <w:t>1,551.8</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01"/>
        </w:trPr>
        <w:tc>
          <w:tcPr>
            <w:tcW w:w="5240" w:type="dxa"/>
            <w:vAlign w:val="bottom"/>
            <w:tcBorders>
              <w:left w:val="single" w:sz="8" w:color="auto"/>
              <w:bottom w:val="single" w:sz="8" w:color="auto"/>
            </w:tcBorders>
            <w:gridSpan w:val="6"/>
          </w:tcPr>
          <w:p>
            <w:pPr>
              <w:ind w:left="40"/>
              <w:spacing w:after="0"/>
              <w:rPr>
                <w:sz w:val="20"/>
                <w:szCs w:val="20"/>
                <w:color w:val="auto"/>
              </w:rPr>
            </w:pPr>
            <w:r>
              <w:rPr>
                <w:rFonts w:ascii="Arial" w:cs="Arial" w:eastAsia="Arial" w:hAnsi="Arial"/>
                <w:sz w:val="14"/>
                <w:szCs w:val="14"/>
                <w:color w:val="auto"/>
              </w:rPr>
              <w:t>Investment advisory effective fee rate (in bps)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45.2</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(5.5)%</w:t>
            </w:r>
          </w:p>
        </w:tc>
        <w:tc>
          <w:tcPr>
            <w:tcW w:w="1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43.2</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firm's Q1 and Q2 2022 operating results include the results of OHA following its acquisition on December 29, 2021.</w:t>
      </w:r>
    </w:p>
    <w:p>
      <w:pPr>
        <w:ind w:left="180" w:right="240" w:hanging="172"/>
        <w:spacing w:after="0" w:line="217" w:lineRule="auto"/>
        <w:tabs>
          <w:tab w:leader="none" w:pos="153"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Capital allocation-based income fluctuates period to period as it reflects the adjustment to accrued carried interest for the change in value of the underlying investments. The realization of accrued carried interest occurs over a number of years.</w:t>
      </w:r>
    </w:p>
    <w:p>
      <w:pPr>
        <w:ind w:left="140" w:hanging="132"/>
        <w:spacing w:after="0" w:line="204" w:lineRule="auto"/>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is not meaningful (n/m).</w:t>
      </w:r>
    </w:p>
    <w:p>
      <w:pPr>
        <w:ind w:left="180" w:right="20" w:hanging="172"/>
        <w:spacing w:after="0" w:line="227" w:lineRule="auto"/>
        <w:tabs>
          <w:tab w:leader="none" w:pos="153"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Adjusts the U.S. GAAP basis for the impact of consolidated T. Rowe Price investment products, the impact of market movements on the supplemental savings plan liability and related economic hedges, investment income related to certain other investments, acquisition-related amortization and costs, and certain nonrecurring charges and gains, if any. The firm believes the non-GAAP financial measures provide relevant and meaningful information to investors about its core operating results. See the reconciliation to the comparable U.S. GAAP measures at the end of this earnings release.</w:t>
      </w:r>
    </w:p>
    <w:p>
      <w:pPr>
        <w:spacing w:after="0" w:line="1" w:lineRule="exact"/>
        <w:rPr>
          <w:rFonts w:ascii="Arial" w:cs="Arial" w:eastAsia="Arial" w:hAnsi="Arial"/>
          <w:sz w:val="16"/>
          <w:szCs w:val="16"/>
          <w:i w:val="1"/>
          <w:iCs w:val="1"/>
          <w:color w:val="auto"/>
          <w:vertAlign w:val="superscript"/>
        </w:rPr>
      </w:pPr>
    </w:p>
    <w:p>
      <w:pPr>
        <w:ind w:left="140" w:hanging="132"/>
        <w:spacing w:after="0" w:line="211" w:lineRule="auto"/>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Assets under management for the 2021 period do not include the acquired fee-basis assets under management related to the OHA acquisition.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Management Commentary</w:t>
      </w:r>
    </w:p>
    <w:p>
      <w:pPr>
        <w:spacing w:after="0" w:line="77" w:lineRule="exact"/>
        <w:rPr>
          <w:sz w:val="20"/>
          <w:szCs w:val="20"/>
          <w:color w:val="auto"/>
        </w:rPr>
      </w:pPr>
    </w:p>
    <w:p>
      <w:pPr>
        <w:spacing w:after="0" w:line="320" w:lineRule="auto"/>
        <w:rPr>
          <w:sz w:val="20"/>
          <w:szCs w:val="20"/>
          <w:color w:val="auto"/>
        </w:rPr>
      </w:pPr>
      <w:r>
        <w:rPr>
          <w:rFonts w:ascii="Arial" w:cs="Arial" w:eastAsia="Arial" w:hAnsi="Arial"/>
          <w:sz w:val="18"/>
          <w:szCs w:val="18"/>
          <w:color w:val="auto"/>
        </w:rPr>
        <w:t>Rob Sharps, chief executive officer and president, commented, “Global equity markets suffered their biggest quarterly decline since the start of the pandemic, as fears grew that central banks would tip the global economy into recession in their fight against the highest inflation in four decades. The Federal Reserve raised official short-term interest rates at the most aggressive pace since 1994, while the European Central Bank announced plans for its first rate increase in 11 years as cuts in oil and gas imports from Russia pushed up energy prices dramatically. Sharply higher rates took an especially large toll on the stocks of rapidly-growing companies by making future earnings less attractive, sending the tech-heavy Nasdaq Composite down 22.5% in the quarter, while major bond indices were once again down.</w:t>
      </w:r>
    </w:p>
    <w:p>
      <w:pPr>
        <w:spacing w:after="0" w:line="207" w:lineRule="exact"/>
        <w:rPr>
          <w:sz w:val="20"/>
          <w:szCs w:val="20"/>
          <w:color w:val="auto"/>
        </w:rPr>
      </w:pPr>
    </w:p>
    <w:p>
      <w:pPr>
        <w:ind w:right="40"/>
        <w:spacing w:after="0" w:line="319" w:lineRule="auto"/>
        <w:rPr>
          <w:sz w:val="20"/>
          <w:szCs w:val="20"/>
          <w:color w:val="auto"/>
        </w:rPr>
      </w:pPr>
      <w:r>
        <w:rPr>
          <w:rFonts w:ascii="Arial" w:cs="Arial" w:eastAsia="Arial" w:hAnsi="Arial"/>
          <w:sz w:val="18"/>
          <w:szCs w:val="18"/>
          <w:color w:val="auto"/>
        </w:rPr>
        <w:t>“Our net revenues of $1.5 billion were down 21.6% over the second quarter of 2021 due to the declining markets’ impact on our average assets under management and capital allocation-based income. Diluted U.S. GAAP EPS was $1.46, while diluted non-GAAP EPS was $1.79. Expenses, which now include OHA, were down 13% on a U.S. GAAP basis, while on a non-GAAP basis were up 1.7% from the second quarter of 2021. We are committed to continuing our investments in initiatives to drive long-term growth, but we are taking steps to reduce the pace of hiring to slow the rate of expense growth in response to these market conditions. Our balance sheet remains strong with $2.6 billion of cash and discretionary investments, and we repurchased 1.7 million shares which combined with our regular quarterly dividend returned $476.6 million to stockholders in the second quarter.</w:t>
      </w:r>
    </w:p>
    <w:p>
      <w:pPr>
        <w:spacing w:after="0" w:line="248" w:lineRule="exact"/>
        <w:rPr>
          <w:sz w:val="20"/>
          <w:szCs w:val="20"/>
          <w:color w:val="auto"/>
        </w:rPr>
      </w:pPr>
    </w:p>
    <w:p>
      <w:pPr>
        <w:ind w:right="340"/>
        <w:spacing w:after="0" w:line="351" w:lineRule="auto"/>
        <w:rPr>
          <w:sz w:val="20"/>
          <w:szCs w:val="20"/>
          <w:color w:val="auto"/>
        </w:rPr>
      </w:pPr>
      <w:r>
        <w:rPr>
          <w:rFonts w:ascii="Arial" w:cs="Arial" w:eastAsia="Arial" w:hAnsi="Arial"/>
          <w:sz w:val="18"/>
          <w:szCs w:val="18"/>
          <w:color w:val="auto"/>
        </w:rPr>
        <w:t>“Delivering outstanding investment performance remains our top priority. While many of our strategies continue to produce strong results, especially over longer time periods, several of our large equity strategies had challenged performance. We have experienced periods of softer performance in the past and we expect our disciplined investment process and focus on fundamentals will deliver the results our clients expect and deserve. Longer-term performance in our target date franchise remains strong.</w:t>
      </w:r>
    </w:p>
    <w:p>
      <w:pPr>
        <w:spacing w:after="0" w:line="220" w:lineRule="exact"/>
        <w:rPr>
          <w:sz w:val="20"/>
          <w:szCs w:val="20"/>
          <w:color w:val="auto"/>
        </w:rPr>
      </w:pPr>
    </w:p>
    <w:p>
      <w:pPr>
        <w:ind w:right="80"/>
        <w:spacing w:after="0" w:line="326" w:lineRule="auto"/>
        <w:rPr>
          <w:sz w:val="20"/>
          <w:szCs w:val="20"/>
          <w:color w:val="auto"/>
        </w:rPr>
      </w:pPr>
      <w:r>
        <w:rPr>
          <w:rFonts w:ascii="Arial" w:cs="Arial" w:eastAsia="Arial" w:hAnsi="Arial"/>
          <w:sz w:val="18"/>
          <w:szCs w:val="18"/>
          <w:color w:val="auto"/>
        </w:rPr>
        <w:t>“We had net outflows of $14.7 billion which continues to be largely driven by outflows from growth-oriented equity strategies. Second quarter outflows in multi-asset of $2.1 billion were driven by a client’s model-driven reallocation impacting our risk-based target allocation products, while target date products had net inflows. Fixed income and alternatives also had net inflows for the quarter. We expect net outflows to persist until we see a more constructive equity environment, improved performance in certain strategies, less overall market volatility, and more traction from strategic growth investment.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focus on our strategic priorities to position the business for long-term success. Highlights from Q2 include:</w:t>
      </w:r>
    </w:p>
    <w:p>
      <w:pPr>
        <w:spacing w:after="0" w:line="347" w:lineRule="exact"/>
        <w:rPr>
          <w:sz w:val="20"/>
          <w:szCs w:val="20"/>
          <w:color w:val="auto"/>
        </w:rPr>
      </w:pPr>
    </w:p>
    <w:p>
      <w:pPr>
        <w:ind w:left="660" w:right="420" w:hanging="328"/>
        <w:spacing w:after="0" w:line="299"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18"/>
          <w:szCs w:val="18"/>
          <w:color w:val="auto"/>
        </w:rPr>
        <w:t>We hired a new chief operating officer who will oversee operations and technology, functions which are essential to enabling our strategic priorities.</w:t>
      </w:r>
    </w:p>
    <w:p>
      <w:pPr>
        <w:spacing w:after="0" w:line="36" w:lineRule="exact"/>
        <w:rPr>
          <w:rFonts w:ascii="Arial" w:cs="Arial" w:eastAsia="Arial" w:hAnsi="Arial"/>
          <w:sz w:val="20"/>
          <w:szCs w:val="20"/>
          <w:color w:val="auto"/>
        </w:rPr>
      </w:pPr>
    </w:p>
    <w:p>
      <w:pPr>
        <w:ind w:left="660" w:right="260" w:hanging="328"/>
        <w:spacing w:after="0" w:line="294"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also hired a new head of environmental, social, and governance (ESG) enablement who will oversee the firm’s corporate ESG positioning, global ESG product development, regulatory engagement, and client reporting.</w:t>
      </w:r>
    </w:p>
    <w:p>
      <w:pPr>
        <w:spacing w:after="0" w:line="17" w:lineRule="exact"/>
        <w:rPr>
          <w:rFonts w:ascii="Arial" w:cs="Arial" w:eastAsia="Arial" w:hAnsi="Arial"/>
          <w:sz w:val="22"/>
          <w:szCs w:val="22"/>
          <w:color w:val="auto"/>
        </w:rPr>
      </w:pPr>
    </w:p>
    <w:p>
      <w:pPr>
        <w:ind w:left="660" w:right="240" w:hanging="328"/>
        <w:spacing w:after="0" w:line="302"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18"/>
          <w:szCs w:val="18"/>
          <w:color w:val="auto"/>
        </w:rPr>
        <w:t>We joined the Net Zero Asset Managers Initiative which supports the goal of net zero greenhouse gas emission by 2050 or sooner and demonstrates our commitment to providing investment products for those clients who have net zero ambitions.</w:t>
      </w:r>
    </w:p>
    <w:p>
      <w:pPr>
        <w:spacing w:after="0" w:line="17" w:lineRule="exact"/>
        <w:rPr>
          <w:rFonts w:ascii="Arial" w:cs="Arial" w:eastAsia="Arial" w:hAnsi="Arial"/>
          <w:sz w:val="20"/>
          <w:szCs w:val="20"/>
          <w:color w:val="auto"/>
        </w:rPr>
      </w:pPr>
    </w:p>
    <w:p>
      <w:pPr>
        <w:ind w:left="660" w:right="140" w:hanging="328"/>
        <w:spacing w:after="0" w:line="323"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18"/>
          <w:szCs w:val="18"/>
          <w:color w:val="auto"/>
        </w:rPr>
        <w:t>Our individual investor business was ranked number one in customer satisfaction and highest on all seven factors in the J.D. Power 2022 U.S. Self-Directed Investor Satisfaction Study.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66" w:right="339" w:bottom="1440" w:gutter="0" w:footer="0" w:header="0"/>
        </w:sectPr>
      </w:pPr>
    </w:p>
    <w:bookmarkStart w:id="50" w:name="page51"/>
    <w:bookmarkEnd w:id="50"/>
    <w:p>
      <w:pPr>
        <w:ind w:right="200"/>
        <w:spacing w:after="0" w:line="350" w:lineRule="auto"/>
        <w:rPr>
          <w:sz w:val="20"/>
          <w:szCs w:val="20"/>
          <w:color w:val="auto"/>
        </w:rPr>
      </w:pPr>
      <w:r>
        <w:rPr>
          <w:rFonts w:ascii="Arial" w:cs="Arial" w:eastAsia="Arial" w:hAnsi="Arial"/>
          <w:sz w:val="18"/>
          <w:szCs w:val="18"/>
          <w:color w:val="auto"/>
        </w:rPr>
        <w:t>“While markets are challenged, I remain confident in our associates’ ability to deliver exceptional value to our global clients. I’d like to thank our associates for their enduring commitment to our clients and to each other.”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104" w:lineRule="exact"/>
        <w:rPr>
          <w:sz w:val="20"/>
          <w:szCs w:val="20"/>
          <w:color w:val="auto"/>
        </w:rPr>
      </w:pPr>
    </w:p>
    <w:p>
      <w:pPr>
        <w:ind w:right="40"/>
        <w:spacing w:after="0" w:line="377" w:lineRule="auto"/>
        <w:rPr>
          <w:sz w:val="20"/>
          <w:szCs w:val="20"/>
          <w:color w:val="auto"/>
        </w:rPr>
      </w:pPr>
      <w:r>
        <w:rPr>
          <w:rFonts w:ascii="Arial" w:cs="Arial" w:eastAsia="Arial" w:hAnsi="Arial"/>
          <w:sz w:val="18"/>
          <w:szCs w:val="18"/>
          <w:color w:val="auto"/>
        </w:rPr>
        <w:t>During Q2 2022, assets under management (AUM) decreased $242.1 billion to $1.31 trillion. Market depreciation, along with net distributions not reinvested, of $227.4 billion and net cash outflows of $14.7 billion reduced the firm's AUM during Q2 2022. Clients transferred $2.9 billion in net assets from the U.S. mutual funds to collective investment trusts and other investment products, of which $1.6 billion transferred into the retirement date trusts. The components of the change in AUM, by vehicle and asset class, are shown in the tables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auto"/>
            </w:tcBorders>
            <w:gridSpan w:val="6"/>
            <w:shd w:val="clear" w:color="auto" w:fill="CCEEFF"/>
          </w:tcPr>
          <w:p>
            <w:pPr>
              <w:ind w:left="340"/>
              <w:spacing w:after="0"/>
              <w:rPr>
                <w:sz w:val="20"/>
                <w:szCs w:val="20"/>
                <w:color w:val="auto"/>
              </w:rPr>
            </w:pPr>
            <w:r>
              <w:rPr>
                <w:rFonts w:ascii="Arial" w:cs="Arial" w:eastAsia="Arial" w:hAnsi="Arial"/>
                <w:sz w:val="14"/>
                <w:szCs w:val="14"/>
                <w:color w:val="auto"/>
              </w:rPr>
              <w:t>Three months ended 6/30/2022</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2" w:lineRule="exact"/>
              <w:rPr>
                <w:sz w:val="20"/>
                <w:szCs w:val="20"/>
                <w:color w:val="auto"/>
              </w:rPr>
            </w:pPr>
            <w:r>
              <w:rPr>
                <w:rFonts w:ascii="Arial" w:cs="Arial" w:eastAsia="Arial" w:hAnsi="Arial"/>
                <w:sz w:val="14"/>
                <w:szCs w:val="14"/>
                <w:color w:val="auto"/>
              </w:rPr>
              <w:t>Subadvised funds</w:t>
            </w:r>
          </w:p>
        </w:tc>
        <w:tc>
          <w:tcPr>
            <w:tcW w:w="20" w:type="dxa"/>
            <w:vAlign w:val="bottom"/>
          </w:tcPr>
          <w:p>
            <w:pPr>
              <w:spacing w:after="0"/>
              <w:rPr>
                <w:sz w:val="12"/>
                <w:szCs w:val="12"/>
                <w:color w:val="auto"/>
              </w:rPr>
            </w:pPr>
          </w:p>
        </w:tc>
        <w:tc>
          <w:tcPr>
            <w:tcW w:w="1520" w:type="dxa"/>
            <w:vAlign w:val="bottom"/>
            <w:gridSpan w:val="3"/>
          </w:tcPr>
          <w:p>
            <w:pPr>
              <w:jc w:val="center"/>
              <w:ind w:right="80"/>
              <w:spacing w:after="0" w:line="142" w:lineRule="exact"/>
              <w:rPr>
                <w:sz w:val="20"/>
                <w:szCs w:val="20"/>
                <w:color w:val="auto"/>
              </w:rPr>
            </w:pPr>
            <w:r>
              <w:rPr>
                <w:rFonts w:ascii="Arial" w:cs="Arial" w:eastAsia="Arial" w:hAnsi="Arial"/>
                <w:sz w:val="14"/>
                <w:szCs w:val="14"/>
                <w:color w:val="auto"/>
              </w:rPr>
              <w:t>Collective investment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4"/>
            <w:vMerge w:val="restart"/>
          </w:tcPr>
          <w:p>
            <w:pPr>
              <w:ind w:left="100"/>
              <w:spacing w:after="0"/>
              <w:rPr>
                <w:sz w:val="20"/>
                <w:szCs w:val="20"/>
                <w:color w:val="auto"/>
              </w:rPr>
            </w:pPr>
            <w:r>
              <w:rPr>
                <w:rFonts w:ascii="Arial" w:cs="Arial" w:eastAsia="Arial" w:hAnsi="Arial"/>
                <w:sz w:val="14"/>
                <w:szCs w:val="14"/>
                <w:color w:val="auto"/>
              </w:rPr>
              <w:t>U.S. mutual funds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rPr>
              <w:t>and separate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39" w:lineRule="exact"/>
              <w:rPr>
                <w:sz w:val="20"/>
                <w:szCs w:val="20"/>
                <w:color w:val="auto"/>
              </w:rPr>
            </w:pPr>
            <w:r>
              <w:rPr>
                <w:rFonts w:ascii="Arial" w:cs="Arial" w:eastAsia="Arial" w:hAnsi="Arial"/>
                <w:sz w:val="14"/>
                <w:szCs w:val="14"/>
                <w:color w:val="auto"/>
              </w:rPr>
              <w:t>trusts and other</w:t>
            </w:r>
          </w:p>
        </w:tc>
        <w:tc>
          <w:tcPr>
            <w:tcW w:w="340" w:type="dxa"/>
            <w:vAlign w:val="bottom"/>
          </w:tcPr>
          <w:p>
            <w:pPr>
              <w:spacing w:after="0"/>
              <w:rPr>
                <w:sz w:val="12"/>
                <w:szCs w:val="12"/>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4"/>
        </w:trPr>
        <w:tc>
          <w:tcPr>
            <w:tcW w:w="3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accounts</w:t>
            </w:r>
          </w:p>
        </w:tc>
        <w:tc>
          <w:tcPr>
            <w:tcW w:w="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color w:val="auto"/>
              </w:rPr>
              <w:t>investment products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398.0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1,551.8</w:t>
            </w:r>
          </w:p>
        </w:tc>
        <w:tc>
          <w:tcPr>
            <w:tcW w:w="0" w:type="dxa"/>
            <w:vAlign w:val="bottom"/>
          </w:tcPr>
          <w:p>
            <w:pPr>
              <w:spacing w:after="0"/>
              <w:rPr>
                <w:sz w:val="1"/>
                <w:szCs w:val="1"/>
                <w:color w:val="auto"/>
              </w:rPr>
            </w:pPr>
          </w:p>
        </w:tc>
      </w:tr>
      <w:tr>
        <w:trPr>
          <w:trHeight w:val="75"/>
        </w:trPr>
        <w:tc>
          <w:tcPr>
            <w:tcW w:w="3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before client transfers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Client transfers</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after client transfers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Net market depreciation and losses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(227.2)</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3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June 30, 2022</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332.8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4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52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400" w:type="dxa"/>
            <w:vAlign w:val="bottom"/>
            <w:tcBorders>
              <w:bottom w:val="single" w:sz="8" w:color="auto"/>
            </w:tcBorders>
            <w:gridSpan w:val="11"/>
            <w:shd w:val="clear" w:color="auto" w:fill="CCEEFF"/>
          </w:tcPr>
          <w:p>
            <w:pPr>
              <w:ind w:left="1080"/>
              <w:spacing w:after="0"/>
              <w:rPr>
                <w:sz w:val="20"/>
                <w:szCs w:val="20"/>
                <w:color w:val="auto"/>
              </w:rPr>
            </w:pPr>
            <w:r>
              <w:rPr>
                <w:rFonts w:ascii="Arial" w:cs="Arial" w:eastAsia="Arial" w:hAnsi="Arial"/>
                <w:sz w:val="14"/>
                <w:szCs w:val="14"/>
                <w:color w:val="auto"/>
              </w:rPr>
              <w:t>Three months ended 6/30/2022</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200"/>
              <w:spacing w:after="0" w:line="151" w:lineRule="exact"/>
              <w:rPr>
                <w:sz w:val="20"/>
                <w:szCs w:val="20"/>
                <w:color w:val="auto"/>
              </w:rPr>
            </w:pPr>
            <w:r>
              <w:rPr>
                <w:rFonts w:ascii="Arial" w:cs="Arial" w:eastAsia="Arial" w:hAnsi="Arial"/>
                <w:sz w:val="14"/>
                <w:szCs w:val="14"/>
                <w:color w:val="auto"/>
              </w:rPr>
              <w:t>Fixed income,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color w:val="auto"/>
              </w:rPr>
              <w:t>Equity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220"/>
              <w:spacing w:after="0" w:line="145" w:lineRule="exact"/>
              <w:rPr>
                <w:sz w:val="20"/>
                <w:szCs w:val="20"/>
                <w:color w:val="auto"/>
              </w:rPr>
            </w:pPr>
            <w:r>
              <w:rPr>
                <w:rFonts w:ascii="Arial" w:cs="Arial" w:eastAsia="Arial" w:hAnsi="Arial"/>
                <w:sz w:val="14"/>
                <w:szCs w:val="14"/>
                <w:color w:val="auto"/>
              </w:rPr>
              <w:t>including money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7"/>
              </w:rPr>
              <w:t>Multi-asset</w:t>
            </w:r>
            <w:r>
              <w:rPr>
                <w:rFonts w:ascii="Arial" w:cs="Arial" w:eastAsia="Arial" w:hAnsi="Arial"/>
                <w:sz w:val="18"/>
                <w:szCs w:val="18"/>
                <w:color w:val="auto"/>
                <w:w w:val="97"/>
                <w:vertAlign w:val="superscript"/>
              </w:rPr>
              <w:t>(1)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Alternatives</w:t>
            </w:r>
            <w:r>
              <w:rPr>
                <w:rFonts w:ascii="Arial" w:cs="Arial" w:eastAsia="Arial" w:hAnsi="Arial"/>
                <w:sz w:val="18"/>
                <w:szCs w:val="18"/>
                <w:color w:val="auto"/>
                <w:vertAlign w:val="superscript"/>
              </w:rPr>
              <w:t>(2)</w:t>
            </w:r>
          </w:p>
        </w:tc>
        <w:tc>
          <w:tcPr>
            <w:tcW w:w="340" w:type="dxa"/>
            <w:vAlign w:val="bottom"/>
          </w:tcPr>
          <w:p>
            <w:pPr>
              <w:spacing w:after="0"/>
              <w:rPr>
                <w:sz w:val="12"/>
                <w:szCs w:val="12"/>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3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color w:val="auto"/>
              </w:rPr>
              <w:t>market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1,551.8</w:t>
            </w:r>
          </w:p>
        </w:tc>
        <w:tc>
          <w:tcPr>
            <w:tcW w:w="0" w:type="dxa"/>
            <w:vAlign w:val="bottom"/>
          </w:tcPr>
          <w:p>
            <w:pPr>
              <w:spacing w:after="0"/>
              <w:rPr>
                <w:sz w:val="1"/>
                <w:szCs w:val="1"/>
                <w:color w:val="auto"/>
              </w:rPr>
            </w:pPr>
          </w:p>
        </w:tc>
      </w:tr>
      <w:tr>
        <w:trPr>
          <w:trHeight w:val="75"/>
        </w:trPr>
        <w:tc>
          <w:tcPr>
            <w:tcW w:w="3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market depreciation and losses</w:t>
            </w:r>
            <w:r>
              <w:rPr>
                <w:rFonts w:ascii="Arial" w:cs="Arial" w:eastAsia="Arial" w:hAnsi="Arial"/>
                <w:sz w:val="21"/>
                <w:szCs w:val="21"/>
                <w:color w:val="auto"/>
                <w:vertAlign w:val="superscript"/>
              </w:rPr>
              <w:t>(3)</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(7.3)</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142"/>
        </w:trPr>
        <w:tc>
          <w:tcPr>
            <w:tcW w:w="3740" w:type="dxa"/>
            <w:vAlign w:val="bottom"/>
          </w:tcPr>
          <w:p>
            <w:pPr>
              <w:ind w:left="20"/>
              <w:spacing w:after="0" w:line="142" w:lineRule="exact"/>
              <w:rPr>
                <w:sz w:val="20"/>
                <w:szCs w:val="20"/>
                <w:color w:val="auto"/>
              </w:rPr>
            </w:pPr>
            <w:r>
              <w:rPr>
                <w:rFonts w:ascii="Arial" w:cs="Arial" w:eastAsia="Arial" w:hAnsi="Arial"/>
                <w:sz w:val="16"/>
                <w:szCs w:val="16"/>
                <w:color w:val="auto"/>
              </w:rPr>
              <w:t>Assets under management at</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699.6</w:t>
            </w:r>
          </w:p>
        </w:tc>
        <w:tc>
          <w:tcPr>
            <w:tcW w:w="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171.1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395.9</w:t>
            </w:r>
          </w:p>
        </w:tc>
        <w:tc>
          <w:tcPr>
            <w:tcW w:w="8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12"/>
                <w:szCs w:val="12"/>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1,309.7</w:t>
            </w:r>
          </w:p>
        </w:tc>
        <w:tc>
          <w:tcPr>
            <w:tcW w:w="0" w:type="dxa"/>
            <w:vAlign w:val="bottom"/>
          </w:tcPr>
          <w:p>
            <w:pPr>
              <w:spacing w:after="0"/>
              <w:rPr>
                <w:sz w:val="1"/>
                <w:szCs w:val="1"/>
                <w:color w:val="auto"/>
              </w:rPr>
            </w:pP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color w:val="auto"/>
              </w:rPr>
              <w:t>June 30, 2022</w:t>
            </w:r>
          </w:p>
        </w:tc>
        <w:tc>
          <w:tcPr>
            <w:tcW w:w="3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AUM of the multi-asset portfolios have been aggregated and presented in this category and not reported in the equity and fixed income columns.</w:t>
      </w:r>
    </w:p>
    <w:p>
      <w:pPr>
        <w:ind w:left="180" w:right="380" w:hanging="172"/>
        <w:spacing w:after="0" w:line="229" w:lineRule="auto"/>
        <w:tabs>
          <w:tab w:leader="none" w:pos="140" w:val="left"/>
        </w:tabs>
        <w:numPr>
          <w:ilvl w:val="0"/>
          <w:numId w:val="26"/>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w:t>
      </w:r>
    </w:p>
    <w:p>
      <w:pPr>
        <w:ind w:left="140" w:hanging="132"/>
        <w:spacing w:after="0" w:line="200" w:lineRule="auto"/>
        <w:tabs>
          <w:tab w:leader="none" w:pos="14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distributions reinvested and not reinvested.</w:t>
      </w:r>
    </w:p>
    <w:p>
      <w:pPr>
        <w:spacing w:after="0" w:line="200" w:lineRule="exact"/>
        <w:rPr>
          <w:sz w:val="20"/>
          <w:szCs w:val="20"/>
          <w:color w:val="auto"/>
        </w:rPr>
      </w:pPr>
    </w:p>
    <w:p>
      <w:pPr>
        <w:spacing w:after="0" w:line="322" w:lineRule="exact"/>
        <w:rPr>
          <w:sz w:val="20"/>
          <w:szCs w:val="20"/>
          <w:color w:val="auto"/>
        </w:rPr>
      </w:pPr>
    </w:p>
    <w:p>
      <w:pPr>
        <w:jc w:val="both"/>
        <w:ind w:right="40"/>
        <w:spacing w:after="0" w:line="412" w:lineRule="auto"/>
        <w:rPr>
          <w:sz w:val="20"/>
          <w:szCs w:val="20"/>
          <w:color w:val="auto"/>
        </w:rPr>
      </w:pPr>
      <w:r>
        <w:rPr>
          <w:rFonts w:ascii="Arial" w:cs="Arial" w:eastAsia="Arial" w:hAnsi="Arial"/>
          <w:sz w:val="18"/>
          <w:szCs w:val="18"/>
          <w:color w:val="auto"/>
        </w:rPr>
        <w:t>AUM in the firm's target date retirement products, which are reported as part of the multi-asset column in the table above, were $327.1 billion at June 30, 2022, compared with $375.2 billion at March 31, 2022. These portfolios experienced net cash inflows of $0.5 billion for Q2 2022.</w:t>
      </w:r>
    </w:p>
    <w:p>
      <w:pPr>
        <w:spacing w:after="0" w:line="167" w:lineRule="exact"/>
        <w:rPr>
          <w:sz w:val="20"/>
          <w:szCs w:val="20"/>
          <w:color w:val="auto"/>
        </w:rPr>
      </w:pPr>
    </w:p>
    <w:p>
      <w:pPr>
        <w:ind w:right="140"/>
        <w:spacing w:after="0" w:line="396" w:lineRule="auto"/>
        <w:rPr>
          <w:sz w:val="20"/>
          <w:szCs w:val="20"/>
          <w:color w:val="auto"/>
        </w:rPr>
      </w:pPr>
      <w:r>
        <w:rPr>
          <w:rFonts w:ascii="Arial" w:cs="Arial" w:eastAsia="Arial" w:hAnsi="Arial"/>
          <w:sz w:val="18"/>
          <w:szCs w:val="18"/>
          <w:color w:val="auto"/>
        </w:rPr>
        <w:t>Investors domiciled outside the United States accounted for 9.4% of the firm's AUM at June 30, 2022, 9.7% at March 31, 2022, and 9.9% at December 31, 2021.</w:t>
      </w:r>
    </w:p>
    <w:p>
      <w:pPr>
        <w:spacing w:after="0" w:line="181" w:lineRule="exact"/>
        <w:rPr>
          <w:sz w:val="20"/>
          <w:szCs w:val="20"/>
          <w:color w:val="auto"/>
        </w:rPr>
      </w:pPr>
    </w:p>
    <w:p>
      <w:pPr>
        <w:ind w:right="80"/>
        <w:spacing w:after="0" w:line="396" w:lineRule="auto"/>
        <w:rPr>
          <w:sz w:val="20"/>
          <w:szCs w:val="20"/>
          <w:color w:val="auto"/>
        </w:rPr>
      </w:pPr>
      <w:r>
        <w:rPr>
          <w:rFonts w:ascii="Arial" w:cs="Arial" w:eastAsia="Arial" w:hAnsi="Arial"/>
          <w:sz w:val="18"/>
          <w:szCs w:val="18"/>
          <w:color w:val="auto"/>
        </w:rPr>
        <w:t>The firm provides participant accounting and plan administration for defined contribution retirement plans that invest in the firm's U.S. mutual funds and collective investment trusts, as well as funds managed outside of the firm's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8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complex. As of June 30, 2022, the firm's assets under administration were $216 billion, of which $133 billion were assets we manage.</w:t>
      </w:r>
    </w:p>
    <w:p>
      <w:pPr>
        <w:spacing w:after="0" w:line="347" w:lineRule="exact"/>
        <w:rPr>
          <w:sz w:val="20"/>
          <w:szCs w:val="20"/>
          <w:color w:val="auto"/>
        </w:rPr>
      </w:pPr>
    </w:p>
    <w:p>
      <w:pPr>
        <w:jc w:val="both"/>
        <w:ind w:right="140"/>
        <w:spacing w:after="0" w:line="365" w:lineRule="auto"/>
        <w:rPr>
          <w:sz w:val="20"/>
          <w:szCs w:val="20"/>
          <w:color w:val="auto"/>
        </w:rPr>
      </w:pPr>
      <w:r>
        <w:rPr>
          <w:rFonts w:ascii="Arial" w:cs="Arial" w:eastAsia="Arial" w:hAnsi="Arial"/>
          <w:sz w:val="18"/>
          <w:szCs w:val="18"/>
          <w:color w:val="auto"/>
        </w:rPr>
        <w:t>In recent years, the firm began offering non-discretionary advisory services through model delivery and multi-asset solutions for providers to implement. The firm records the revenue earned on these services in administrative fees. The assets under advisement in these portfolios, predominantly in the United States, were $7 billion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71" w:lineRule="exact"/>
        <w:rPr>
          <w:sz w:val="20"/>
          <w:szCs w:val="20"/>
          <w:color w:val="auto"/>
        </w:rPr>
      </w:pPr>
    </w:p>
    <w:p>
      <w:pPr>
        <w:ind w:right="80"/>
        <w:spacing w:after="0" w:line="377"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Q2 2022 were $1.5 billion, a decrease of 21.6% from Q2 2021. Average AUM in Q2 2022 were $1.41 trillion, a</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of 11.2% from Q2 2021. The firm did not waive a significant level of money market investment advisory fees in Q2 2022 and does not expect to waive any fees for the remainder of the year. In Q2 2021, the firm voluntarily waived money market investment advisory fees of $14.3 million.</w:t>
      </w:r>
    </w:p>
    <w:p>
      <w:pPr>
        <w:spacing w:after="0" w:line="103" w:lineRule="exact"/>
        <w:rPr>
          <w:sz w:val="20"/>
          <w:szCs w:val="20"/>
          <w:color w:val="auto"/>
        </w:rPr>
      </w:pPr>
    </w:p>
    <w:p>
      <w:pPr>
        <w:ind w:left="660" w:right="240" w:hanging="328"/>
        <w:spacing w:after="0" w:line="374" w:lineRule="auto"/>
        <w:tabs>
          <w:tab w:leader="none" w:pos="656" w:val="left"/>
        </w:tabs>
        <w:numPr>
          <w:ilvl w:val="0"/>
          <w:numId w:val="27"/>
        </w:numPr>
        <w:rPr>
          <w:rFonts w:ascii="Arial" w:cs="Arial" w:eastAsia="Arial" w:hAnsi="Arial"/>
          <w:sz w:val="22"/>
          <w:szCs w:val="22"/>
          <w:color w:val="40AEFF"/>
        </w:rPr>
      </w:pPr>
      <w:r>
        <w:rPr>
          <w:rFonts w:ascii="Arial" w:cs="Arial" w:eastAsia="Arial" w:hAnsi="Arial"/>
          <w:sz w:val="18"/>
          <w:szCs w:val="18"/>
          <w:color w:val="auto"/>
        </w:rPr>
        <w:t>Investment advisory revenues earned in Q2 2022 from the firm's U.S. mutual funds were $876.2 million, a decrease of 20.2% from Q2 2021. Average AUM in these funds decreased 16.2% to $711.1 billion in Q2 2022 from Q2 2021.</w:t>
      </w:r>
    </w:p>
    <w:p>
      <w:pPr>
        <w:spacing w:after="0" w:line="268" w:lineRule="exact"/>
        <w:rPr>
          <w:rFonts w:ascii="Arial" w:cs="Arial" w:eastAsia="Arial" w:hAnsi="Arial"/>
          <w:sz w:val="22"/>
          <w:szCs w:val="22"/>
          <w:color w:val="40AEFF"/>
        </w:rPr>
      </w:pPr>
    </w:p>
    <w:p>
      <w:pPr>
        <w:ind w:left="660" w:right="160" w:hanging="328"/>
        <w:spacing w:after="0" w:line="356" w:lineRule="auto"/>
        <w:tabs>
          <w:tab w:leader="none" w:pos="656" w:val="left"/>
        </w:tabs>
        <w:numPr>
          <w:ilvl w:val="0"/>
          <w:numId w:val="27"/>
        </w:numPr>
        <w:rPr>
          <w:rFonts w:ascii="Arial" w:cs="Arial" w:eastAsia="Arial" w:hAnsi="Arial"/>
          <w:sz w:val="22"/>
          <w:szCs w:val="22"/>
          <w:color w:val="40AEFF"/>
        </w:rPr>
      </w:pPr>
      <w:r>
        <w:rPr>
          <w:rFonts w:ascii="Arial" w:cs="Arial" w:eastAsia="Arial" w:hAnsi="Arial"/>
          <w:sz w:val="18"/>
          <w:szCs w:val="18"/>
          <w:color w:val="auto"/>
        </w:rPr>
        <w:t>Investment advisory revenues earned in Q2 2022 from subadvised funds, separate accounts, collective investment trusts and other investment products were $620.5 million, a decrease of 10.0% from Q2 2021. Average AUM for these products decreased 5.6% to $696.0 billion in Q2 2022 from Q2 2021. Investment advisory revenues and average AUM in Q2 2022 reflect OHA's revenue and related average AUM.</w:t>
      </w:r>
    </w:p>
    <w:p>
      <w:pPr>
        <w:spacing w:after="0" w:line="256" w:lineRule="exact"/>
        <w:rPr>
          <w:rFonts w:ascii="Arial" w:cs="Arial" w:eastAsia="Arial" w:hAnsi="Arial"/>
          <w:sz w:val="22"/>
          <w:szCs w:val="22"/>
          <w:color w:val="40AEFF"/>
        </w:rPr>
      </w:pPr>
    </w:p>
    <w:p>
      <w:pPr>
        <w:ind w:left="660" w:hanging="328"/>
        <w:spacing w:after="0" w:line="360" w:lineRule="auto"/>
        <w:tabs>
          <w:tab w:leader="none" w:pos="656" w:val="left"/>
        </w:tabs>
        <w:numPr>
          <w:ilvl w:val="0"/>
          <w:numId w:val="27"/>
        </w:numPr>
        <w:rPr>
          <w:rFonts w:ascii="Arial" w:cs="Arial" w:eastAsia="Arial" w:hAnsi="Arial"/>
          <w:sz w:val="22"/>
          <w:szCs w:val="22"/>
          <w:color w:val="40AEFF"/>
        </w:rPr>
      </w:pPr>
      <w:r>
        <w:rPr>
          <w:rFonts w:ascii="Arial" w:cs="Arial" w:eastAsia="Arial" w:hAnsi="Arial"/>
          <w:sz w:val="18"/>
          <w:szCs w:val="18"/>
          <w:color w:val="auto"/>
        </w:rPr>
        <w:t>The investment advisory fee annualized effective fee rate of 42.7 basis points in Q2 2022 decreased from 43.2 basis points earned in Q1 2022 and 45.2 basis points earned in Q2 2021. In comparison to Q1 2022, the annualized effective fee rate was primarily impacted by transfers to lower fee vehicles and an asset class mix shift due to market volatility, offset slightly by a reduction in money market fee waivers. Further, in comparison to Q2 2021, the annualized effective fee rate was primarily impacted by the July 2021 target date fee reductions, partially offset by a higher-than-average effective fee rate earned on the firm's alternative asset class. Over time, the firm's effective fee rate can be impacted by market or cash flow related shifts among asset and share classes, price changes in existing products, and asset level changes in products with tiered-fee structures.</w:t>
      </w:r>
    </w:p>
    <w:p>
      <w:pPr>
        <w:spacing w:after="0" w:line="214" w:lineRule="exact"/>
        <w:rPr>
          <w:rFonts w:ascii="Arial" w:cs="Arial" w:eastAsia="Arial" w:hAnsi="Arial"/>
          <w:sz w:val="22"/>
          <w:szCs w:val="22"/>
          <w:color w:val="40AEFF"/>
        </w:rPr>
      </w:pPr>
    </w:p>
    <w:p>
      <w:pPr>
        <w:ind w:left="660" w:right="220" w:hanging="328"/>
        <w:spacing w:after="0" w:line="374" w:lineRule="auto"/>
        <w:tabs>
          <w:tab w:leader="none" w:pos="663" w:val="left"/>
        </w:tabs>
        <w:numPr>
          <w:ilvl w:val="0"/>
          <w:numId w:val="27"/>
        </w:numPr>
        <w:rPr>
          <w:rFonts w:ascii="Arial" w:cs="Arial" w:eastAsia="Arial" w:hAnsi="Arial"/>
          <w:sz w:val="20"/>
          <w:szCs w:val="20"/>
          <w:color w:val="40AEFF"/>
        </w:rPr>
      </w:pPr>
      <w:r>
        <w:rPr>
          <w:rFonts w:ascii="Arial" w:cs="Arial" w:eastAsia="Arial" w:hAnsi="Arial"/>
          <w:sz w:val="18"/>
          <w:szCs w:val="18"/>
          <w:color w:val="auto"/>
        </w:rPr>
        <w:t>Capital allocation-based income in Q2 2022 reduced net revenues by $126.3 million. Capital allocation-based income will fluctuate quarter-to-quarter as it reflects the adjustment to accrued carried interest for the change in value of the affiliated funds' underlying investments assuming the value was realized as of the end of the period, regardless of whether the funds' underlying investments have been realized.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66" w:right="339" w:bottom="1440" w:gutter="0" w:footer="0" w:header="0"/>
        </w:sectPr>
      </w:pPr>
    </w:p>
    <w:bookmarkStart w:id="52" w:name="page53"/>
    <w:bookmarkEnd w:id="52"/>
    <w:p>
      <w:pPr>
        <w:ind w:left="660" w:right="260"/>
        <w:spacing w:after="0" w:line="370" w:lineRule="auto"/>
        <w:rPr>
          <w:sz w:val="20"/>
          <w:szCs w:val="20"/>
          <w:color w:val="auto"/>
        </w:rPr>
      </w:pPr>
      <w:r>
        <w:rPr>
          <w:rFonts w:ascii="Arial" w:cs="Arial" w:eastAsia="Arial" w:hAnsi="Arial"/>
          <w:sz w:val="18"/>
          <w:szCs w:val="18"/>
          <w:color w:val="auto"/>
        </w:rPr>
        <w:t>realization of accrued carried interest occurs over a number of years. The Q2 2022 amount represents $113.0 million in market-related reductions of accrued carried interest from investments in affiliated private investment funds and $13.3 million in non-cash amortization associated with the difference in the closing date fair value and carrying value of investments acquired as part of the OHA acquisition. For a detail of the change in accrued carried interest, which is reported as investments on the condensed consolidated balance sheet, from the end of 2021, including realized carry distributions, see the applicable table at the end of this release.</w:t>
      </w:r>
    </w:p>
    <w:p>
      <w:pPr>
        <w:spacing w:after="0" w:line="23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40AEFF"/>
        </w:rPr>
      </w:pPr>
      <w:r>
        <w:rPr>
          <w:rFonts w:ascii="Arial" w:cs="Arial" w:eastAsia="Arial" w:hAnsi="Arial"/>
          <w:sz w:val="18"/>
          <w:szCs w:val="18"/>
          <w:color w:val="auto"/>
        </w:rPr>
        <w:t>Administrative, distribution, and servicing fees in Q2 2022 were $142.6 million, an increase of 0.4% from</w:t>
      </w:r>
    </w:p>
    <w:p>
      <w:pPr>
        <w:spacing w:after="0" w:line="98" w:lineRule="exact"/>
        <w:rPr>
          <w:rFonts w:ascii="Arial" w:cs="Arial" w:eastAsia="Arial" w:hAnsi="Arial"/>
          <w:sz w:val="22"/>
          <w:szCs w:val="22"/>
          <w:color w:val="40AEFF"/>
        </w:rPr>
      </w:pPr>
    </w:p>
    <w:p>
      <w:pPr>
        <w:ind w:left="660" w:right="280"/>
        <w:spacing w:after="0" w:line="396" w:lineRule="auto"/>
        <w:rPr>
          <w:rFonts w:ascii="Arial" w:cs="Arial" w:eastAsia="Arial" w:hAnsi="Arial"/>
          <w:sz w:val="22"/>
          <w:szCs w:val="22"/>
          <w:color w:val="40AEFF"/>
        </w:rPr>
      </w:pPr>
      <w:r>
        <w:rPr>
          <w:rFonts w:ascii="Arial" w:cs="Arial" w:eastAsia="Arial" w:hAnsi="Arial"/>
          <w:sz w:val="18"/>
          <w:szCs w:val="18"/>
          <w:color w:val="auto"/>
        </w:rPr>
        <w:t>Q2 2021. The increase was primarily attributable to higher transfer agent servicing activities provided to the T. Rowe Price mutual funds, partially offset by lower 12b-1 fees earned from certain share classes of the U.S. mutual funds.</w:t>
      </w:r>
    </w:p>
    <w:p>
      <w:pPr>
        <w:spacing w:after="0" w:line="181" w:lineRule="exact"/>
        <w:rPr>
          <w:sz w:val="20"/>
          <w:szCs w:val="20"/>
          <w:color w:val="auto"/>
        </w:rPr>
      </w:pPr>
    </w:p>
    <w:p>
      <w:pPr>
        <w:spacing w:after="0" w:line="367"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 Q2 2022 were $844.4 million, a decrease of 13.1% compared to Q2 2021 and a decrease of 14.3% compared to Q1</w:t>
      </w:r>
      <w:r>
        <w:rPr>
          <w:rFonts w:ascii="Arial" w:cs="Arial" w:eastAsia="Arial" w:hAnsi="Arial"/>
          <w:sz w:val="18"/>
          <w:szCs w:val="18"/>
          <w:b w:val="1"/>
          <w:bCs w:val="1"/>
          <w:color w:val="auto"/>
        </w:rPr>
        <w:t xml:space="preserve"> </w:t>
      </w:r>
      <w:r>
        <w:rPr>
          <w:rFonts w:ascii="Arial" w:cs="Arial" w:eastAsia="Arial" w:hAnsi="Arial"/>
          <w:sz w:val="18"/>
          <w:szCs w:val="18"/>
          <w:color w:val="auto"/>
        </w:rPr>
        <w:t>2022. On a non-GAAP basis, the firm's operating expenses in Q2 2022 were</w:t>
      </w:r>
    </w:p>
    <w:p>
      <w:pPr>
        <w:spacing w:after="0" w:line="1" w:lineRule="exact"/>
        <w:rPr>
          <w:sz w:val="20"/>
          <w:szCs w:val="20"/>
          <w:color w:val="auto"/>
        </w:rPr>
      </w:pPr>
    </w:p>
    <w:p>
      <w:pPr>
        <w:ind w:right="120"/>
        <w:spacing w:after="0" w:line="369" w:lineRule="auto"/>
        <w:rPr>
          <w:sz w:val="20"/>
          <w:szCs w:val="20"/>
          <w:color w:val="auto"/>
        </w:rPr>
      </w:pPr>
      <w:r>
        <w:rPr>
          <w:rFonts w:ascii="Arial" w:cs="Arial" w:eastAsia="Arial" w:hAnsi="Arial"/>
          <w:sz w:val="18"/>
          <w:szCs w:val="18"/>
          <w:color w:val="auto"/>
        </w:rPr>
        <w:t>$947.3 million, a 1.7% increase over Q2 2021 and a decrease of 8.8% compared to Q1 2022. The firm's non-GAAP operating expenses exclude the impact of the supplemental savings plan, consolidated sponsored products, the remeasurement of the contingent consideration liability, amortization of certain acquisition-related assets, and other acquisition-related costs. The firm's 2022 operating expenses include OHA's operating expenses as a result of the acquisition at the end of 2021. OHA's operating expenses primarily impact compensation expense; technology, occupancy, and facility costs; and general, administrative and other costs.</w:t>
      </w:r>
    </w:p>
    <w:p>
      <w:pPr>
        <w:spacing w:after="0" w:line="218" w:lineRule="exact"/>
        <w:rPr>
          <w:sz w:val="20"/>
          <w:szCs w:val="20"/>
          <w:color w:val="auto"/>
        </w:rPr>
      </w:pPr>
    </w:p>
    <w:p>
      <w:pPr>
        <w:ind w:right="240"/>
        <w:spacing w:after="0" w:line="369" w:lineRule="auto"/>
        <w:rPr>
          <w:sz w:val="20"/>
          <w:szCs w:val="20"/>
          <w:color w:val="auto"/>
        </w:rPr>
      </w:pPr>
      <w:r>
        <w:rPr>
          <w:rFonts w:ascii="Arial" w:cs="Arial" w:eastAsia="Arial" w:hAnsi="Arial"/>
          <w:sz w:val="18"/>
          <w:szCs w:val="18"/>
          <w:color w:val="auto"/>
        </w:rPr>
        <w:t>The increase in the firm's non-GAAP operating expenses compared to the 2021 quarter was primarily attributable to salaries and benefits, the addition of OHA operating expenses, and higher costs related to the ongoing investment in the firm's technology capabilities. These increases were mostly offset by lower distribution and servicing costs and a lower interim bonus accrual. Q2 2022 operating expenses include the accrued carried interest compensation associated with capital allocation-based income. This accrued carried interest compensation is reported in non-controlling interest in the condensed consolidated balance sheet.</w:t>
      </w:r>
    </w:p>
    <w:p>
      <w:pPr>
        <w:spacing w:after="0" w:line="258" w:lineRule="exact"/>
        <w:rPr>
          <w:sz w:val="20"/>
          <w:szCs w:val="20"/>
          <w:color w:val="auto"/>
        </w:rPr>
      </w:pPr>
    </w:p>
    <w:p>
      <w:pPr>
        <w:ind w:left="660" w:right="100" w:hanging="328"/>
        <w:spacing w:after="0" w:line="357" w:lineRule="auto"/>
        <w:tabs>
          <w:tab w:leader="none" w:pos="656" w:val="left"/>
        </w:tabs>
        <w:numPr>
          <w:ilvl w:val="0"/>
          <w:numId w:val="29"/>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on a U.S. GAAP basis were $463.4 million in Q2 2022, a decrease of 23.3%, compared to Q2</w:t>
      </w:r>
      <w:r>
        <w:rPr>
          <w:rFonts w:ascii="Arial" w:cs="Arial" w:eastAsia="Arial" w:hAnsi="Arial"/>
          <w:sz w:val="18"/>
          <w:szCs w:val="18"/>
          <w:b w:val="1"/>
          <w:bCs w:val="1"/>
          <w:color w:val="auto"/>
        </w:rPr>
        <w:t xml:space="preserve"> </w:t>
      </w:r>
      <w:r>
        <w:rPr>
          <w:rFonts w:ascii="Arial" w:cs="Arial" w:eastAsia="Arial" w:hAnsi="Arial"/>
          <w:sz w:val="18"/>
          <w:szCs w:val="18"/>
          <w:color w:val="auto"/>
        </w:rPr>
        <w:t>2021. Compensation and related costs, excluding the impact of the supplemental savings plan and non-cash amortization of certain acquisition-related retention arrangements, were $544.6 million in Q2 2022, a decrease of 3.8% compared to Q2 2021. The second quarter of 2022 includes higher salaries and benefits from increased average headcount and inclusion of OHA and a lower interim bonus accrual. The firm employed 7,771 associates at June 30, 2022, an increase of 3.2% from the end of 2021.</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066" w:right="379" w:bottom="1440" w:gutter="0" w:footer="0" w:header="0"/>
        </w:sectPr>
      </w:pPr>
    </w:p>
    <w:bookmarkStart w:id="53" w:name="page54"/>
    <w:bookmarkEnd w:id="53"/>
    <w:p>
      <w:pPr>
        <w:ind w:left="660" w:hanging="328"/>
        <w:spacing w:after="0"/>
        <w:tabs>
          <w:tab w:leader="none" w:pos="660" w:val="left"/>
        </w:tabs>
        <w:numPr>
          <w:ilvl w:val="0"/>
          <w:numId w:val="30"/>
        </w:numPr>
        <w:rPr>
          <w:rFonts w:ascii="Arial" w:cs="Arial" w:eastAsia="Arial" w:hAnsi="Arial"/>
          <w:sz w:val="22"/>
          <w:szCs w:val="22"/>
          <w:color w:val="40AEFF"/>
        </w:rPr>
      </w:pPr>
      <w:r>
        <w:rPr>
          <w:rFonts w:ascii="Arial" w:cs="Arial" w:eastAsia="Arial" w:hAnsi="Arial"/>
          <w:sz w:val="18"/>
          <w:szCs w:val="18"/>
          <w:b w:val="1"/>
          <w:bCs w:val="1"/>
          <w:color w:val="auto"/>
        </w:rPr>
        <w:t xml:space="preserve">Distribution and servicing costs </w:t>
      </w:r>
      <w:r>
        <w:rPr>
          <w:rFonts w:ascii="Arial" w:cs="Arial" w:eastAsia="Arial" w:hAnsi="Arial"/>
          <w:sz w:val="18"/>
          <w:szCs w:val="18"/>
          <w:color w:val="auto"/>
        </w:rPr>
        <w:t>were $75.7 million in Q2 2022, a decrease of 18.3% from the</w:t>
      </w:r>
    </w:p>
    <w:p>
      <w:pPr>
        <w:spacing w:after="0" w:line="90" w:lineRule="exact"/>
        <w:rPr>
          <w:rFonts w:ascii="Arial" w:cs="Arial" w:eastAsia="Arial" w:hAnsi="Arial"/>
          <w:sz w:val="22"/>
          <w:szCs w:val="22"/>
          <w:color w:val="40AEFF"/>
        </w:rPr>
      </w:pPr>
    </w:p>
    <w:p>
      <w:pPr>
        <w:ind w:left="660" w:right="300"/>
        <w:spacing w:after="0" w:line="372" w:lineRule="auto"/>
        <w:rPr>
          <w:rFonts w:ascii="Arial" w:cs="Arial" w:eastAsia="Arial" w:hAnsi="Arial"/>
          <w:sz w:val="22"/>
          <w:szCs w:val="22"/>
          <w:color w:val="40AEFF"/>
        </w:rPr>
      </w:pPr>
      <w:r>
        <w:rPr>
          <w:rFonts w:ascii="Arial" w:cs="Arial" w:eastAsia="Arial" w:hAnsi="Arial"/>
          <w:sz w:val="18"/>
          <w:szCs w:val="18"/>
          <w:color w:val="auto"/>
        </w:rPr>
        <w:t>$92.7 million recognized in Q2 2021. The decrease was primarily driven from lower average AUM of certain share classes of the U.S. mutual funds and lower AUM-based distribution costs in the firm's international products, including the Japanese Investment Trusts (ITMs) and certain SICAV share classes. These distribution costs are offset entirely in net revenues. For the ITMs and SICAVs, the related revenue is recognized in investment advisory revenues.</w:t>
      </w:r>
    </w:p>
    <w:p>
      <w:pPr>
        <w:spacing w:after="0" w:line="255" w:lineRule="exact"/>
        <w:rPr>
          <w:rFonts w:ascii="Arial" w:cs="Arial" w:eastAsia="Arial" w:hAnsi="Arial"/>
          <w:sz w:val="22"/>
          <w:szCs w:val="22"/>
          <w:color w:val="40AEFF"/>
        </w:rPr>
      </w:pPr>
    </w:p>
    <w:p>
      <w:pPr>
        <w:ind w:left="660" w:right="620" w:hanging="328"/>
        <w:spacing w:after="0" w:line="359" w:lineRule="auto"/>
        <w:tabs>
          <w:tab w:leader="none" w:pos="656" w:val="left"/>
        </w:tabs>
        <w:numPr>
          <w:ilvl w:val="0"/>
          <w:numId w:val="30"/>
        </w:numPr>
        <w:rPr>
          <w:rFonts w:ascii="Arial" w:cs="Arial" w:eastAsia="Arial" w:hAnsi="Arial"/>
          <w:sz w:val="22"/>
          <w:szCs w:val="22"/>
          <w:color w:val="40AEFF"/>
        </w:rPr>
      </w:pPr>
      <w:r>
        <w:rPr>
          <w:rFonts w:ascii="Arial" w:cs="Arial" w:eastAsia="Arial" w:hAnsi="Arial"/>
          <w:sz w:val="18"/>
          <w:szCs w:val="18"/>
          <w:b w:val="1"/>
          <w:bCs w:val="1"/>
          <w:color w:val="auto"/>
        </w:rPr>
        <w:t xml:space="preserve">Advertising and promotion expenses </w:t>
      </w:r>
      <w:r>
        <w:rPr>
          <w:rFonts w:ascii="Arial" w:cs="Arial" w:eastAsia="Arial" w:hAnsi="Arial"/>
          <w:sz w:val="18"/>
          <w:szCs w:val="18"/>
          <w:color w:val="auto"/>
        </w:rPr>
        <w:t>were $21.4 million in Q2 2022, an increase of 4.9% from Q2 2021. The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driven by an increase in sponsorships and promotion-related costs during the 2022 quarter.</w:t>
      </w:r>
    </w:p>
    <w:p>
      <w:pPr>
        <w:spacing w:after="0" w:line="243" w:lineRule="exact"/>
        <w:rPr>
          <w:rFonts w:ascii="Arial" w:cs="Arial" w:eastAsia="Arial" w:hAnsi="Arial"/>
          <w:sz w:val="22"/>
          <w:szCs w:val="22"/>
          <w:color w:val="40AEFF"/>
        </w:rPr>
      </w:pPr>
    </w:p>
    <w:p>
      <w:pPr>
        <w:ind w:left="660" w:hanging="328"/>
        <w:spacing w:after="0" w:line="357" w:lineRule="auto"/>
        <w:tabs>
          <w:tab w:leader="none" w:pos="656" w:val="left"/>
        </w:tabs>
        <w:numPr>
          <w:ilvl w:val="0"/>
          <w:numId w:val="30"/>
        </w:numPr>
        <w:rPr>
          <w:rFonts w:ascii="Arial" w:cs="Arial" w:eastAsia="Arial" w:hAnsi="Arial"/>
          <w:sz w:val="22"/>
          <w:szCs w:val="22"/>
          <w:color w:val="40AEFF"/>
        </w:rPr>
      </w:pPr>
      <w:r>
        <w:rPr>
          <w:rFonts w:ascii="Arial" w:cs="Arial" w:eastAsia="Arial" w:hAnsi="Arial"/>
          <w:sz w:val="18"/>
          <w:szCs w:val="18"/>
          <w:b w:val="1"/>
          <w:bCs w:val="1"/>
          <w:color w:val="auto"/>
        </w:rPr>
        <w:t xml:space="preserve">Product and recordkeeping related expenses </w:t>
      </w:r>
      <w:r>
        <w:rPr>
          <w:rFonts w:ascii="Arial" w:cs="Arial" w:eastAsia="Arial" w:hAnsi="Arial"/>
          <w:sz w:val="18"/>
          <w:szCs w:val="18"/>
          <w:color w:val="auto"/>
        </w:rPr>
        <w:t>were $76.3 million in Q2 2022, an increase of 76.2% from Q2 2021. Substantially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increase was driven by the recordkeeping costs incurred as part of the expanded relationship with Fidelity National Information Services, Inc. (FIS) that began in August 2021. These recordkeeping costs are being partially offset by lower compensation expenses related to the approximately 800 associates who transitioned to FIS in August 2021. These compensation expenses are recorded as part of compensation and related costs.</w:t>
      </w:r>
    </w:p>
    <w:p>
      <w:pPr>
        <w:spacing w:after="0" w:line="255" w:lineRule="exact"/>
        <w:rPr>
          <w:rFonts w:ascii="Arial" w:cs="Arial" w:eastAsia="Arial" w:hAnsi="Arial"/>
          <w:sz w:val="22"/>
          <w:szCs w:val="22"/>
          <w:color w:val="40AEFF"/>
        </w:rPr>
      </w:pPr>
    </w:p>
    <w:p>
      <w:pPr>
        <w:ind w:left="660" w:right="20" w:hanging="328"/>
        <w:spacing w:after="0" w:line="354" w:lineRule="auto"/>
        <w:tabs>
          <w:tab w:leader="none" w:pos="656" w:val="left"/>
        </w:tabs>
        <w:numPr>
          <w:ilvl w:val="0"/>
          <w:numId w:val="30"/>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$134.3 million in Q2 2022, an increase of 12.6% from Q2 2021. The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ongoing investment in the firm's technology capabilities, including hosted solution licenses, related depreciation, and increased office facility costs.</w:t>
      </w:r>
    </w:p>
    <w:p>
      <w:pPr>
        <w:spacing w:after="0" w:line="258" w:lineRule="exact"/>
        <w:rPr>
          <w:rFonts w:ascii="Arial" w:cs="Arial" w:eastAsia="Arial" w:hAnsi="Arial"/>
          <w:sz w:val="22"/>
          <w:szCs w:val="22"/>
          <w:color w:val="40AEFF"/>
        </w:rPr>
      </w:pPr>
    </w:p>
    <w:p>
      <w:pPr>
        <w:ind w:left="660" w:right="40" w:hanging="328"/>
        <w:spacing w:after="0" w:line="360" w:lineRule="auto"/>
        <w:tabs>
          <w:tab w:leader="none" w:pos="656" w:val="left"/>
        </w:tabs>
        <w:numPr>
          <w:ilvl w:val="0"/>
          <w:numId w:val="30"/>
        </w:numPr>
        <w:rPr>
          <w:rFonts w:ascii="Arial" w:cs="Arial" w:eastAsia="Arial" w:hAnsi="Arial"/>
          <w:sz w:val="22"/>
          <w:szCs w:val="22"/>
          <w:color w:val="40AEFF"/>
        </w:rPr>
      </w:pPr>
      <w:r>
        <w:rPr>
          <w:rFonts w:ascii="Arial" w:cs="Arial" w:eastAsia="Arial" w:hAnsi="Arial"/>
          <w:sz w:val="18"/>
          <w:szCs w:val="18"/>
          <w:b w:val="1"/>
          <w:bCs w:val="1"/>
          <w:color w:val="auto"/>
        </w:rPr>
        <w:t xml:space="preserve">General, administrative, and other costs </w:t>
      </w:r>
      <w:r>
        <w:rPr>
          <w:rFonts w:ascii="Arial" w:cs="Arial" w:eastAsia="Arial" w:hAnsi="Arial"/>
          <w:sz w:val="18"/>
          <w:szCs w:val="18"/>
          <w:color w:val="auto"/>
        </w:rPr>
        <w:t>were $73.3 million in Q2 2022, a decrease of 20.1% compared to the $91.7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Q2 2021. The decrease was primarily related to the favorable impact of the change in fair value of the contingent consideration liability. These decreases were partially offset by $27.2 million in acquisition-related amortization and other acquisition-related costs. Higher travel, information services, and other nonrecurring administrative costs further offset the decrease in Q2 2022 costs as compared to Q2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firm updated its forecasted 2022 non-GAAP operating expenses from a range of 10% to 14% to a range of</w:t>
      </w:r>
    </w:p>
    <w:p>
      <w:pPr>
        <w:spacing w:after="0" w:line="104" w:lineRule="exact"/>
        <w:rPr>
          <w:sz w:val="20"/>
          <w:szCs w:val="20"/>
          <w:color w:val="auto"/>
        </w:rPr>
      </w:pPr>
    </w:p>
    <w:p>
      <w:pPr>
        <w:ind w:right="520"/>
        <w:spacing w:after="0" w:line="386" w:lineRule="auto"/>
        <w:rPr>
          <w:sz w:val="20"/>
          <w:szCs w:val="20"/>
          <w:color w:val="auto"/>
        </w:rPr>
      </w:pPr>
      <w:r>
        <w:rPr>
          <w:rFonts w:ascii="Arial" w:cs="Arial" w:eastAsia="Arial" w:hAnsi="Arial"/>
          <w:sz w:val="18"/>
          <w:szCs w:val="18"/>
          <w:color w:val="auto"/>
        </w:rPr>
        <w:t>4% to 7% to reflect lower market-related expenses and a slower pace of hiring. The addition of OHA's operating expenses, since the acquisition at the end of 2021, is driving most of the 2022 forecasted expense growth. The firm could elect to further adjust its expense growth should unforeseen circumstances arise, including significant market movements.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100" w:right="359" w:bottom="1440" w:gutter="0" w:footer="0" w:header="0"/>
        </w:sectPr>
      </w:pPr>
    </w:p>
    <w:bookmarkStart w:id="54" w:name="page55"/>
    <w:bookmarkEnd w:id="54"/>
    <w:p>
      <w:pPr>
        <w:ind w:right="20"/>
        <w:spacing w:after="0" w:line="377" w:lineRule="auto"/>
        <w:rPr>
          <w:sz w:val="20"/>
          <w:szCs w:val="20"/>
          <w:color w:val="auto"/>
        </w:rPr>
      </w:pPr>
      <w:r>
        <w:rPr>
          <w:rFonts w:ascii="Arial" w:cs="Arial" w:eastAsia="Arial" w:hAnsi="Arial"/>
          <w:sz w:val="18"/>
          <w:szCs w:val="18"/>
          <w:b w:val="1"/>
          <w:bCs w:val="1"/>
          <w:color w:val="auto"/>
        </w:rPr>
        <w:t xml:space="preserve">Non-operating income (loss). </w:t>
      </w:r>
      <w:r>
        <w:rPr>
          <w:rFonts w:ascii="Arial" w:cs="Arial" w:eastAsia="Arial" w:hAnsi="Arial"/>
          <w:sz w:val="18"/>
          <w:szCs w:val="18"/>
          <w:color w:val="auto"/>
        </w:rPr>
        <w:t>Non-operating loss was $279.9 million in Q2 2022, as compared to non-operating income of $143.9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Q2 2021. The firm's consolidated products and the supplemental savings plan hedge portfolio comprised almost 72% of the net losses recognized during Q2 2022. The cash and discretionary investment portfolio also experienced net investment losses of $30.6 million during Q2 2022. The components of non-operating income (loss) for Q2 2022 and Q2 2021 are included in the tables at the end of this release.</w:t>
      </w:r>
    </w:p>
    <w:p>
      <w:pPr>
        <w:spacing w:after="0" w:line="198" w:lineRule="exact"/>
        <w:rPr>
          <w:sz w:val="20"/>
          <w:szCs w:val="20"/>
          <w:color w:val="auto"/>
        </w:rPr>
      </w:pPr>
    </w:p>
    <w:p>
      <w:pPr>
        <w:ind w:right="2240"/>
        <w:spacing w:after="0" w:line="39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following reconciles the statutory federal income tax rate to the firm's effective tax rate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and the first half of 2022 and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shd w:val="clear" w:color="auto" w:fill="CCEEFF"/>
          </w:tcPr>
          <w:p>
            <w:pPr>
              <w:spacing w:after="0"/>
              <w:rPr>
                <w:sz w:val="17"/>
                <w:szCs w:val="17"/>
                <w:color w:val="auto"/>
              </w:rPr>
            </w:pPr>
          </w:p>
        </w:tc>
        <w:tc>
          <w:tcPr>
            <w:tcW w:w="3040" w:type="dxa"/>
            <w:vAlign w:val="bottom"/>
            <w:tcBorders>
              <w:right w:val="single" w:sz="8" w:color="auto"/>
            </w:tcBorders>
            <w:gridSpan w:val="4"/>
            <w:shd w:val="clear" w:color="auto" w:fill="CCEEFF"/>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6/30/2021</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top w:val="single" w:sz="8" w:color="auto"/>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6/30/2021</w:t>
            </w:r>
          </w:p>
        </w:tc>
        <w:tc>
          <w:tcPr>
            <w:tcW w:w="0" w:type="dxa"/>
            <w:vAlign w:val="bottom"/>
          </w:tcPr>
          <w:p>
            <w:pPr>
              <w:spacing w:after="0"/>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line="162" w:lineRule="exact"/>
              <w:rPr>
                <w:sz w:val="20"/>
                <w:szCs w:val="20"/>
                <w:color w:val="auto"/>
              </w:rPr>
            </w:pPr>
            <w:r>
              <w:rPr>
                <w:rFonts w:ascii="Arial" w:cs="Arial" w:eastAsia="Arial" w:hAnsi="Arial"/>
                <w:sz w:val="16"/>
                <w:szCs w:val="16"/>
                <w:color w:val="auto"/>
              </w:rPr>
              <w:t>State income taxes for current year, net of federal income tax</w:t>
            </w:r>
          </w:p>
        </w:tc>
        <w:tc>
          <w:tcPr>
            <w:tcW w:w="1400" w:type="dxa"/>
            <w:vAlign w:val="bottom"/>
            <w:vMerge w:val="restart"/>
          </w:tcPr>
          <w:p>
            <w:pPr>
              <w:jc w:val="right"/>
              <w:ind w:right="12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4"/>
                <w:szCs w:val="14"/>
                <w:color w:val="auto"/>
              </w:rPr>
            </w:pPr>
          </w:p>
        </w:tc>
        <w:tc>
          <w:tcPr>
            <w:tcW w:w="1400" w:type="dxa"/>
            <w:vAlign w:val="bottom"/>
            <w:vMerge w:val="restart"/>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ind w:right="12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4"/>
                <w:szCs w:val="14"/>
                <w:color w:val="auto"/>
              </w:rPr>
            </w:pPr>
          </w:p>
        </w:tc>
        <w:tc>
          <w:tcPr>
            <w:tcW w:w="1500" w:type="dxa"/>
            <w:vAlign w:val="bottom"/>
            <w:vMerge w:val="restart"/>
          </w:tcPr>
          <w:p>
            <w:pPr>
              <w:jc w:val="right"/>
              <w:ind w:right="1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line="216"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(1)</w:t>
            </w: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Net (income) losses attributable to redeemable</w:t>
            </w:r>
          </w:p>
        </w:tc>
        <w:tc>
          <w:tcPr>
            <w:tcW w:w="14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non-controlling interests</w:t>
            </w:r>
            <w:r>
              <w:rPr>
                <w:rFonts w:ascii="Arial" w:cs="Arial" w:eastAsia="Arial" w:hAnsi="Arial"/>
                <w:sz w:val="21"/>
                <w:szCs w:val="21"/>
                <w:color w:val="auto"/>
                <w:vertAlign w:val="superscript"/>
              </w:rPr>
              <w:t>(2)</w:t>
            </w:r>
          </w:p>
        </w:tc>
        <w:tc>
          <w:tcPr>
            <w:tcW w:w="1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line="162" w:lineRule="exact"/>
              <w:rPr>
                <w:sz w:val="20"/>
                <w:szCs w:val="20"/>
                <w:color w:val="auto"/>
              </w:rPr>
            </w:pPr>
            <w:r>
              <w:rPr>
                <w:rFonts w:ascii="Arial" w:cs="Arial" w:eastAsia="Arial" w:hAnsi="Arial"/>
                <w:sz w:val="16"/>
                <w:szCs w:val="16"/>
                <w:color w:val="auto"/>
              </w:rPr>
              <w:t>Net excess tax benefits from stock-based compensation plans</w:t>
            </w:r>
          </w:p>
        </w:tc>
        <w:tc>
          <w:tcPr>
            <w:tcW w:w="1400" w:type="dxa"/>
            <w:vAlign w:val="bottom"/>
            <w:vMerge w:val="restart"/>
          </w:tcPr>
          <w:p>
            <w:pPr>
              <w:jc w:val="right"/>
              <w:ind w:right="8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400" w:type="dxa"/>
            <w:vAlign w:val="bottom"/>
            <w:vMerge w:val="restart"/>
          </w:tcPr>
          <w:p>
            <w:pPr>
              <w:jc w:val="right"/>
              <w:ind w:right="80"/>
              <w:spacing w:after="0"/>
              <w:rPr>
                <w:sz w:val="20"/>
                <w:szCs w:val="20"/>
                <w:color w:val="auto"/>
              </w:rPr>
            </w:pPr>
            <w:r>
              <w:rPr>
                <w:rFonts w:ascii="Arial" w:cs="Arial" w:eastAsia="Arial" w:hAnsi="Arial"/>
                <w:sz w:val="16"/>
                <w:szCs w:val="16"/>
                <w:color w:val="auto"/>
              </w:rPr>
              <w:t>(.6)</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ind w:right="8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500" w:type="dxa"/>
            <w:vAlign w:val="bottom"/>
            <w:vMerge w:val="restart"/>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color w:val="auto"/>
              </w:rPr>
              <w:t>activity</w:t>
            </w: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4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48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26.0 %</w:t>
            </w:r>
          </w:p>
        </w:tc>
        <w:tc>
          <w:tcPr>
            <w:tcW w:w="12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24.9 %</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23.4 %</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26" w:lineRule="exact"/>
        <w:rPr>
          <w:rFonts w:ascii="Arial" w:cs="Arial" w:eastAsia="Arial" w:hAnsi="Arial"/>
          <w:sz w:val="9"/>
          <w:szCs w:val="9"/>
          <w:i w:val="1"/>
          <w:iCs w:val="1"/>
          <w:color w:val="auto"/>
        </w:rPr>
      </w:pPr>
    </w:p>
    <w:p>
      <w:pPr>
        <w:ind w:left="180" w:right="80" w:hanging="172"/>
        <w:spacing w:after="0" w:line="284" w:lineRule="auto"/>
        <w:tabs>
          <w:tab w:leader="none" w:pos="158" w:val="left"/>
        </w:tabs>
        <w:numPr>
          <w:ilvl w:val="0"/>
          <w:numId w:val="31"/>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 represents the portion of earnings held in the firm's consolidated investment products, which are not taxable to the firm despite being included in pre-tax income.</w:t>
      </w:r>
    </w:p>
    <w:p>
      <w:pPr>
        <w:spacing w:after="0" w:line="243" w:lineRule="exact"/>
        <w:rPr>
          <w:sz w:val="20"/>
          <w:szCs w:val="20"/>
          <w:color w:val="auto"/>
        </w:rPr>
      </w:pPr>
    </w:p>
    <w:p>
      <w:pPr>
        <w:ind w:right="180"/>
        <w:spacing w:after="0" w:line="373" w:lineRule="auto"/>
        <w:rPr>
          <w:sz w:val="20"/>
          <w:szCs w:val="20"/>
          <w:color w:val="auto"/>
        </w:rPr>
      </w:pPr>
      <w:r>
        <w:rPr>
          <w:rFonts w:ascii="Arial" w:cs="Arial" w:eastAsia="Arial" w:hAnsi="Arial"/>
          <w:sz w:val="18"/>
          <w:szCs w:val="18"/>
          <w:color w:val="auto"/>
        </w:rPr>
        <w:t>The firm's non-GAAP tax rate primarily adjusts for the impact of the consolidated investment products, including the net income attributable to redeemable non-controlling interests. The firm's non-GAAP effective tax rate was 23.9% for Q2 2022 compared with 23.4% for Q2 2021. The increase in the non-GAAP tax rate compared with Q2 2021 is primarily attributable to the unfavorable impact of a reduction in the discrete tax benefits associated with the settlement of stock-based awards. The majority of the reduction in discrete tax benefits is due to a lower level of option and restricted stock settlements during Q2 2022 as compared to Q2 2021.</w:t>
      </w:r>
    </w:p>
    <w:p>
      <w:pPr>
        <w:spacing w:after="0" w:line="201" w:lineRule="exact"/>
        <w:rPr>
          <w:sz w:val="20"/>
          <w:szCs w:val="20"/>
          <w:color w:val="auto"/>
        </w:rPr>
      </w:pPr>
    </w:p>
    <w:p>
      <w:pPr>
        <w:ind w:right="2420"/>
        <w:spacing w:after="0" w:line="396" w:lineRule="auto"/>
        <w:rPr>
          <w:sz w:val="20"/>
          <w:szCs w:val="20"/>
          <w:color w:val="auto"/>
        </w:rPr>
      </w:pPr>
      <w:r>
        <w:rPr>
          <w:rFonts w:ascii="Arial" w:cs="Arial" w:eastAsia="Arial" w:hAnsi="Arial"/>
          <w:sz w:val="18"/>
          <w:szCs w:val="18"/>
          <w:color w:val="auto"/>
        </w:rPr>
        <w:t>The firm estimates that its effective tax rate for the full year 2022, on a U.S. GAAP basis, will be in the range of 23% to 26%.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ample liquidity, including cash and investments in T. Rowe Price products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3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6/30/2022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12/31/2021</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2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2,116.0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Discretionary investments</w:t>
            </w:r>
          </w:p>
        </w:tc>
        <w:tc>
          <w:tcPr>
            <w:tcW w:w="3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6"/>
                <w:szCs w:val="16"/>
                <w:color w:val="auto"/>
              </w:rPr>
              <w:t>Total cash and discretionary investments</w:t>
            </w: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Redeemable seed capital investments</w:t>
            </w:r>
          </w:p>
        </w:tc>
        <w:tc>
          <w:tcPr>
            <w:tcW w:w="3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used to hedge the supplemental savings plan liability</w:t>
            </w:r>
          </w:p>
        </w:tc>
        <w:tc>
          <w:tcPr>
            <w:tcW w:w="3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881.5</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and investments in T. Rowe Price products</w:t>
            </w:r>
          </w:p>
        </w:tc>
        <w:tc>
          <w:tcPr>
            <w:tcW w:w="3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51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066" w:right="359" w:bottom="1440" w:gutter="0" w:footer="0" w:header="0"/>
        </w:sectPr>
      </w:pPr>
    </w:p>
    <w:bookmarkStart w:id="55" w:name="page56"/>
    <w:bookmarkEnd w:id="55"/>
    <w:p>
      <w:pPr>
        <w:ind w:left="320" w:hanging="312"/>
        <w:spacing w:after="0"/>
        <w:tabs>
          <w:tab w:leader="none" w:pos="320" w:val="left"/>
        </w:tabs>
        <w:numPr>
          <w:ilvl w:val="0"/>
          <w:numId w:val="32"/>
        </w:numPr>
        <w:rPr>
          <w:rFonts w:ascii="Arial" w:cs="Arial" w:eastAsia="Arial" w:hAnsi="Arial"/>
          <w:sz w:val="22"/>
          <w:szCs w:val="22"/>
          <w:color w:val="40AEFF"/>
        </w:rPr>
      </w:pPr>
      <w:r>
        <w:rPr>
          <w:rFonts w:ascii="Arial" w:cs="Arial" w:eastAsia="Arial" w:hAnsi="Arial"/>
          <w:sz w:val="18"/>
          <w:szCs w:val="18"/>
          <w:color w:val="auto"/>
        </w:rPr>
        <w:t>The firm's common shares outstanding were 225.7 million at June 30, 2022, compared to 229.2 million at the end of 2021.</w:t>
      </w:r>
    </w:p>
    <w:p>
      <w:pPr>
        <w:spacing w:after="0" w:line="139" w:lineRule="exact"/>
        <w:rPr>
          <w:rFonts w:ascii="Arial" w:cs="Arial" w:eastAsia="Arial" w:hAnsi="Arial"/>
          <w:sz w:val="22"/>
          <w:szCs w:val="22"/>
          <w:color w:val="40AEFF"/>
        </w:rPr>
      </w:pPr>
    </w:p>
    <w:p>
      <w:pPr>
        <w:ind w:left="340" w:right="120" w:hanging="332"/>
        <w:spacing w:after="0" w:line="341" w:lineRule="auto"/>
        <w:tabs>
          <w:tab w:leader="none" w:pos="336" w:val="left"/>
        </w:tabs>
        <w:numPr>
          <w:ilvl w:val="0"/>
          <w:numId w:val="32"/>
        </w:numPr>
        <w:rPr>
          <w:rFonts w:ascii="Arial" w:cs="Arial" w:eastAsia="Arial" w:hAnsi="Arial"/>
          <w:sz w:val="22"/>
          <w:szCs w:val="22"/>
          <w:color w:val="40AEFF"/>
        </w:rPr>
      </w:pPr>
      <w:r>
        <w:rPr>
          <w:rFonts w:ascii="Arial" w:cs="Arial" w:eastAsia="Arial" w:hAnsi="Arial"/>
          <w:sz w:val="18"/>
          <w:szCs w:val="18"/>
          <w:color w:val="auto"/>
        </w:rPr>
        <w:t>In the first half of 2022, the firm expended $519.6 million to repurchase 3.8 million shares, or 1.6%, of its outstanding common shares at an average price of $137.92, including $199.4 million to repurchase 1.7 million shares during Q2 2022.</w:t>
      </w:r>
    </w:p>
    <w:p>
      <w:pPr>
        <w:spacing w:after="0" w:line="34" w:lineRule="exact"/>
        <w:rPr>
          <w:rFonts w:ascii="Arial" w:cs="Arial" w:eastAsia="Arial" w:hAnsi="Arial"/>
          <w:sz w:val="22"/>
          <w:szCs w:val="22"/>
          <w:color w:val="40AEFF"/>
        </w:rPr>
      </w:pPr>
    </w:p>
    <w:p>
      <w:pPr>
        <w:ind w:left="340" w:right="240" w:hanging="332"/>
        <w:spacing w:after="0" w:line="354" w:lineRule="auto"/>
        <w:tabs>
          <w:tab w:leader="none" w:pos="336" w:val="left"/>
        </w:tabs>
        <w:numPr>
          <w:ilvl w:val="0"/>
          <w:numId w:val="32"/>
        </w:numPr>
        <w:rPr>
          <w:rFonts w:ascii="Arial" w:cs="Arial" w:eastAsia="Arial" w:hAnsi="Arial"/>
          <w:sz w:val="22"/>
          <w:szCs w:val="22"/>
          <w:color w:val="40AEFF"/>
        </w:rPr>
      </w:pPr>
      <w:r>
        <w:rPr>
          <w:rFonts w:ascii="Arial" w:cs="Arial" w:eastAsia="Arial" w:hAnsi="Arial"/>
          <w:sz w:val="18"/>
          <w:szCs w:val="18"/>
          <w:color w:val="auto"/>
        </w:rPr>
        <w:t>The firm invested $122.8 million during the first half of 2022 in capitalized facilities and technology. The firm currently expects capital expenditures, including internal labor capitalization, for 2022 to be about $290 million, of which more than three-quarters is planned for technology initiatives. These expenditures are expected to continue to be funded from the firm's operating resources.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Performance</w:t>
      </w:r>
      <w:r>
        <w:rPr>
          <w:rFonts w:ascii="Arial" w:cs="Arial" w:eastAsia="Arial" w:hAnsi="Arial"/>
          <w:sz w:val="23"/>
          <w:szCs w:val="23"/>
          <w:b w:val="1"/>
          <w:bCs w:val="1"/>
          <w:color w:val="auto"/>
          <w:vertAlign w:val="superscript"/>
        </w:rPr>
        <w:t>(1)</w:t>
      </w:r>
    </w:p>
    <w:p>
      <w:pPr>
        <w:spacing w:after="0" w:line="54" w:lineRule="exact"/>
        <w:rPr>
          <w:sz w:val="20"/>
          <w:szCs w:val="20"/>
          <w:color w:val="auto"/>
        </w:rPr>
      </w:pPr>
    </w:p>
    <w:p>
      <w:pPr>
        <w:jc w:val="both"/>
        <w:ind w:right="160"/>
        <w:spacing w:after="0" w:line="360" w:lineRule="auto"/>
        <w:rPr>
          <w:sz w:val="20"/>
          <w:szCs w:val="20"/>
          <w:color w:val="auto"/>
        </w:rPr>
      </w:pPr>
      <w:r>
        <w:rPr>
          <w:rFonts w:ascii="Arial" w:cs="Arial" w:eastAsia="Arial" w:hAnsi="Arial"/>
          <w:sz w:val="18"/>
          <w:szCs w:val="18"/>
          <w:color w:val="auto"/>
        </w:rPr>
        <w:t>The following table presents investment performance for specific asset classes and AUM-weighted performance, mutual fund performance against passive peers, and composite performance against benchmarks for the one-, three-, five-, and 10-years ended June 30, 2022. Past performance is no guarantee of future results.</w:t>
      </w:r>
    </w:p>
    <w:tbl>
      <w:tblPr>
        <w:tblLayout w:type="fixed"/>
        <w:tblInd w:w="0" w:type="dxa"/>
        <w:tblCellMar>
          <w:top w:w="0" w:type="dxa"/>
          <w:left w:w="0" w:type="dxa"/>
          <w:bottom w:w="0" w:type="dxa"/>
          <w:right w:w="0" w:type="dxa"/>
        </w:tblCellMar>
      </w:tblPr>
      <w:tr>
        <w:trPr>
          <w:trHeight w:val="218"/>
        </w:trPr>
        <w:tc>
          <w:tcPr>
            <w:tcW w:w="5780" w:type="dxa"/>
            <w:vAlign w:val="bottom"/>
            <w:gridSpan w:val="3"/>
            <w:shd w:val="clear" w:color="auto" w:fill="CCEEFF"/>
          </w:tcPr>
          <w:p>
            <w:pPr>
              <w:ind w:left="20"/>
              <w:spacing w:after="0" w:line="218" w:lineRule="exact"/>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79%</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65%</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77%</w:t>
            </w:r>
          </w:p>
        </w:tc>
      </w:tr>
      <w:tr>
        <w:trPr>
          <w:trHeight w:val="109"/>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48%</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71%</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18%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86%</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r>
      <w:tr>
        <w:trPr>
          <w:trHeight w:val="108"/>
        </w:trPr>
        <w:tc>
          <w:tcPr>
            <w:tcW w:w="39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79%</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r>
      <w:tr>
        <w:trPr>
          <w:trHeight w:val="148"/>
        </w:trPr>
        <w:tc>
          <w:tcPr>
            <w:tcW w:w="3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92"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2180" w:type="dxa"/>
            <w:vAlign w:val="bottom"/>
            <w:tcBorders>
              <w:bottom w:val="single" w:sz="8" w:color="CCEEFF"/>
            </w:tcBorders>
            <w:gridSpan w:val="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85%</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98%</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88%</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52%</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43%</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62%</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60%</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97%</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72%</w:t>
            </w:r>
          </w:p>
        </w:tc>
      </w:tr>
      <w:tr>
        <w:trPr>
          <w:trHeight w:val="109"/>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43%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42%</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70%</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71%</w:t>
            </w:r>
          </w:p>
        </w:tc>
      </w:tr>
    </w:tbl>
    <w:p>
      <w:pPr>
        <w:spacing w:after="0" w:line="3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of June 30, 2022, 69 of 124 (55.6%)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72%</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June 30, 2022 with an overall rating of 4 or 5 stars.</w:t>
      </w:r>
    </w:p>
    <w:p>
      <w:pPr>
        <w:spacing w:after="0" w:line="196"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investment performance reflects that of T. Rowe Price sponsored mutual funds and composites AUM and not of OHA's products.</w:t>
      </w:r>
    </w:p>
    <w:p>
      <w:pPr>
        <w:ind w:left="140" w:hanging="132"/>
        <w:spacing w:after="0"/>
        <w:tabs>
          <w:tab w:leader="none" w:pos="140" w:val="left"/>
        </w:tabs>
        <w:numPr>
          <w:ilvl w:val="0"/>
          <w:numId w:val="33"/>
        </w:numPr>
        <w:rPr>
          <w:rFonts w:ascii="Arial" w:cs="Arial" w:eastAsia="Arial" w:hAnsi="Arial"/>
          <w:sz w:val="9"/>
          <w:szCs w:val="9"/>
          <w:i w:val="1"/>
          <w:iCs w:val="1"/>
          <w:color w:val="auto"/>
        </w:rPr>
      </w:pPr>
      <w:r>
        <w:rPr>
          <w:rFonts w:ascii="Arial" w:cs="Arial" w:eastAsia="Arial" w:hAnsi="Arial"/>
          <w:sz w:val="14"/>
          <w:szCs w:val="14"/>
          <w:i w:val="1"/>
          <w:iCs w:val="1"/>
          <w:color w:val="auto"/>
        </w:rPr>
        <w:t>Source: © 2022 Morningstar, Inc. All rights reserved. The information contained herein: 1) is proprietary to Morningstar and/or its content providers; 2) may not be copied or</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i w:val="1"/>
          <w:iCs w:val="1"/>
          <w:color w:val="auto"/>
        </w:rPr>
        <w:t>distributed; and 3) is not warranted to be accurate, complete, or timely. Neither Morningstar nor its content providers are responsible for any damages or losses arising from any use of this information.</w:t>
      </w:r>
    </w:p>
    <w:p>
      <w:pPr>
        <w:ind w:right="60" w:firstLine="8"/>
        <w:spacing w:after="0" w:line="229" w:lineRule="auto"/>
        <w:tabs>
          <w:tab w:leader="none" w:pos="154"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AUM included for this analysis includes $320B for 1 year, $320B for 3 years, $320B for 5 years, and $314B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29" w:lineRule="auto"/>
        <w:tabs>
          <w:tab w:leader="none" w:pos="154" w:val="left"/>
        </w:tabs>
        <w:numPr>
          <w:ilvl w:val="0"/>
          <w:numId w:val="34"/>
        </w:numPr>
        <w:rPr>
          <w:rFonts w:ascii="Arial" w:cs="Arial" w:eastAsia="Arial" w:hAnsi="Arial"/>
          <w:sz w:val="9"/>
          <w:szCs w:val="9"/>
          <w:i w:val="1"/>
          <w:iCs w:val="1"/>
          <w:color w:val="auto"/>
        </w:rPr>
      </w:pPr>
      <w:r>
        <w:rPr>
          <w:rFonts w:ascii="Arial" w:cs="Arial" w:eastAsia="Arial" w:hAnsi="Arial"/>
          <w:sz w:val="14"/>
          <w:szCs w:val="14"/>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$302B for 1 year, $300B for 3 years, $299B for 5 years, and $257B for 10 years.</w:t>
      </w:r>
    </w:p>
    <w:p>
      <w:pPr>
        <w:spacing w:after="0" w:line="1" w:lineRule="exact"/>
        <w:rPr>
          <w:rFonts w:ascii="Arial" w:cs="Arial" w:eastAsia="Arial" w:hAnsi="Arial"/>
          <w:sz w:val="9"/>
          <w:szCs w:val="9"/>
          <w:i w:val="1"/>
          <w:iCs w:val="1"/>
          <w:color w:val="auto"/>
        </w:rPr>
      </w:pPr>
    </w:p>
    <w:p>
      <w:pPr>
        <w:ind w:right="240" w:firstLine="8"/>
        <w:spacing w:after="0" w:line="231" w:lineRule="auto"/>
        <w:tabs>
          <w:tab w:leader="none" w:pos="140" w:val="left"/>
        </w:tabs>
        <w:numPr>
          <w:ilvl w:val="0"/>
          <w:numId w:val="34"/>
        </w:numPr>
        <w:rPr>
          <w:rFonts w:ascii="Arial" w:cs="Arial" w:eastAsia="Arial" w:hAnsi="Arial"/>
          <w:sz w:val="9"/>
          <w:szCs w:val="9"/>
          <w:i w:val="1"/>
          <w:iCs w:val="1"/>
          <w:color w:val="auto"/>
        </w:rPr>
      </w:pP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$417B for 1 year, $507B for 3 years, $478B for 5 years, and $778B for 10 years.</w:t>
      </w:r>
    </w:p>
    <w:p>
      <w:pPr>
        <w:spacing w:after="0" w:line="1" w:lineRule="exact"/>
        <w:rPr>
          <w:rFonts w:ascii="Arial" w:cs="Arial" w:eastAsia="Arial" w:hAnsi="Arial"/>
          <w:sz w:val="9"/>
          <w:szCs w:val="9"/>
          <w:i w:val="1"/>
          <w:iCs w:val="1"/>
          <w:color w:val="auto"/>
        </w:rPr>
      </w:pPr>
    </w:p>
    <w:p>
      <w:pPr>
        <w:ind w:right="100" w:firstLine="8"/>
        <w:spacing w:after="0" w:line="241" w:lineRule="auto"/>
        <w:tabs>
          <w:tab w:leader="none" w:pos="154"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4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ind w:right="240"/>
        <w:spacing w:after="0" w:line="367"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second quarter of 2022 with the U.S. Securities and Exchange Commission later today. The 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10-Q will include additional information on the firm's unaudited consolidated financial statements at June 30, 2022.</w:t>
      </w:r>
    </w:p>
    <w:p>
      <w:pPr>
        <w:spacing w:after="0" w:line="347" w:lineRule="exact"/>
        <w:rPr>
          <w:sz w:val="20"/>
          <w:szCs w:val="20"/>
          <w:color w:val="auto"/>
        </w:rPr>
      </w:pPr>
    </w:p>
    <w:p>
      <w:pPr>
        <w:spacing w:after="0" w:line="368"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effective tax rates, the timing and expense related to the integration of OHA with and into our business, general economic conditions, government actions and expectations regarding financial results, future transactions, new products and services, investments, capital expenditures, dividends, stock repurchases, changes in our effective fee rate, the impact of the coronavirus pandemic, and other market conditions. For a discussion concerning risks and other factors that could affect future results, see the firm's 2021 Annual Report on Form 10-K.</w:t>
      </w:r>
    </w:p>
    <w:p>
      <w:pPr>
        <w:spacing w:after="0" w:line="208" w:lineRule="exact"/>
        <w:rPr>
          <w:sz w:val="20"/>
          <w:szCs w:val="20"/>
          <w:color w:val="auto"/>
        </w:rPr>
      </w:pPr>
    </w:p>
    <w:p>
      <w:pPr>
        <w:ind w:right="120"/>
        <w:spacing w:after="0" w:line="377"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198" w:lineRule="exact"/>
        <w:rPr>
          <w:sz w:val="20"/>
          <w:szCs w:val="20"/>
          <w:color w:val="auto"/>
        </w:rPr>
      </w:pPr>
    </w:p>
    <w:p>
      <w:pPr>
        <w:ind w:right="40"/>
        <w:spacing w:after="0" w:line="396" w:lineRule="auto"/>
        <w:rPr>
          <w:sz w:val="20"/>
          <w:szCs w:val="20"/>
          <w:color w:val="auto"/>
        </w:rPr>
      </w:pPr>
      <w:r>
        <w:rPr>
          <w:rFonts w:ascii="Arial" w:cs="Arial" w:eastAsia="Arial" w:hAnsi="Arial"/>
          <w:sz w:val="18"/>
          <w:szCs w:val="18"/>
          <w:color w:val="auto"/>
        </w:rPr>
        <w:t>The firm announced that it will hold a Business Update on Thursday, September 15, 2022 from 8:30 a.m. to 9:30 a.m. Eastern Time. It will be a live public webcast event and registration will open soon on the firm’s investor relations website at troweprice.gcs-web.com.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8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2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054C70"/>
              </w:rPr>
              <w:t>Public Relations</w:t>
            </w:r>
          </w:p>
        </w:tc>
        <w:tc>
          <w:tcPr>
            <w:tcW w:w="5020" w:type="dxa"/>
            <w:vAlign w:val="bottom"/>
            <w:gridSpan w:val="3"/>
          </w:tcPr>
          <w:p>
            <w:pPr>
              <w:ind w:left="2300"/>
              <w:spacing w:after="0"/>
              <w:rPr>
                <w:sz w:val="20"/>
                <w:szCs w:val="20"/>
                <w:color w:val="auto"/>
              </w:rPr>
            </w:pPr>
            <w:r>
              <w:rPr>
                <w:rFonts w:ascii="Arial" w:cs="Arial" w:eastAsia="Arial" w:hAnsi="Arial"/>
                <w:sz w:val="18"/>
                <w:szCs w:val="18"/>
                <w:b w:val="1"/>
                <w:bCs w:val="1"/>
                <w:color w:val="054C70"/>
              </w:rPr>
              <w:t>Investor Relations</w:t>
            </w:r>
          </w:p>
        </w:tc>
      </w:tr>
      <w:tr>
        <w:trPr>
          <w:trHeight w:val="245"/>
        </w:trPr>
        <w:tc>
          <w:tcPr>
            <w:tcW w:w="20" w:type="dxa"/>
            <w:vAlign w:val="bottom"/>
          </w:tcPr>
          <w:p>
            <w:pPr>
              <w:spacing w:after="0"/>
              <w:rPr>
                <w:sz w:val="21"/>
                <w:szCs w:val="21"/>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Brian Lewbart</w:t>
            </w:r>
          </w:p>
        </w:tc>
        <w:tc>
          <w:tcPr>
            <w:tcW w:w="26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Linsley Carruth</w:t>
            </w:r>
          </w:p>
        </w:tc>
        <w:tc>
          <w:tcPr>
            <w:tcW w:w="1160" w:type="dxa"/>
            <w:vAlign w:val="bottom"/>
          </w:tcPr>
          <w:p>
            <w:pPr>
              <w:spacing w:after="0"/>
              <w:rPr>
                <w:sz w:val="21"/>
                <w:szCs w:val="21"/>
                <w:color w:val="auto"/>
              </w:rPr>
            </w:pPr>
          </w:p>
        </w:tc>
      </w:tr>
      <w:tr>
        <w:trPr>
          <w:trHeight w:val="229"/>
        </w:trPr>
        <w:tc>
          <w:tcPr>
            <w:tcW w:w="1420" w:type="dxa"/>
            <w:vAlign w:val="bottom"/>
            <w:gridSpan w:val="2"/>
          </w:tcPr>
          <w:p>
            <w:pPr>
              <w:ind w:left="20"/>
              <w:spacing w:after="0"/>
              <w:rPr>
                <w:sz w:val="20"/>
                <w:szCs w:val="20"/>
                <w:color w:val="auto"/>
              </w:rPr>
            </w:pPr>
            <w:r>
              <w:rPr>
                <w:rFonts w:ascii="Arial" w:cs="Arial" w:eastAsia="Arial" w:hAnsi="Arial"/>
                <w:sz w:val="18"/>
                <w:szCs w:val="18"/>
                <w:color w:val="3B3B3B"/>
              </w:rPr>
              <w:t>410-345-2242</w:t>
            </w:r>
          </w:p>
        </w:tc>
        <w:tc>
          <w:tcPr>
            <w:tcW w:w="2660" w:type="dxa"/>
            <w:vAlign w:val="bottom"/>
          </w:tcPr>
          <w:p>
            <w:pPr>
              <w:spacing w:after="0"/>
              <w:rPr>
                <w:sz w:val="19"/>
                <w:szCs w:val="19"/>
                <w:color w:val="auto"/>
              </w:rPr>
            </w:pPr>
          </w:p>
        </w:tc>
        <w:tc>
          <w:tcPr>
            <w:tcW w:w="3860" w:type="dxa"/>
            <w:vAlign w:val="bottom"/>
            <w:gridSpan w:val="2"/>
          </w:tcPr>
          <w:p>
            <w:pPr>
              <w:ind w:left="2300"/>
              <w:spacing w:after="0"/>
              <w:rPr>
                <w:sz w:val="20"/>
                <w:szCs w:val="20"/>
                <w:color w:val="auto"/>
              </w:rPr>
            </w:pPr>
            <w:r>
              <w:rPr>
                <w:rFonts w:ascii="Arial" w:cs="Arial" w:eastAsia="Arial" w:hAnsi="Arial"/>
                <w:sz w:val="18"/>
                <w:szCs w:val="18"/>
                <w:color w:val="3B3B3B"/>
              </w:rPr>
              <w:t>410-345-3717</w:t>
            </w:r>
          </w:p>
        </w:tc>
        <w:tc>
          <w:tcPr>
            <w:tcW w:w="1160" w:type="dxa"/>
            <w:vAlign w:val="bottom"/>
          </w:tcPr>
          <w:p>
            <w:pPr>
              <w:spacing w:after="0"/>
              <w:rPr>
                <w:sz w:val="19"/>
                <w:szCs w:val="19"/>
                <w:color w:val="auto"/>
              </w:rPr>
            </w:pPr>
          </w:p>
        </w:tc>
      </w:tr>
      <w:tr>
        <w:trPr>
          <w:trHeight w:val="247"/>
        </w:trPr>
        <w:tc>
          <w:tcPr>
            <w:tcW w:w="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054C70"/>
              </w:rPr>
              <w:t>brian.lewbart@troweprice.com</w:t>
            </w:r>
          </w:p>
        </w:tc>
        <w:tc>
          <w:tcPr>
            <w:tcW w:w="5020" w:type="dxa"/>
            <w:vAlign w:val="bottom"/>
            <w:gridSpan w:val="3"/>
          </w:tcPr>
          <w:p>
            <w:pPr>
              <w:ind w:left="2300"/>
              <w:spacing w:after="0"/>
              <w:rPr>
                <w:sz w:val="20"/>
                <w:szCs w:val="20"/>
                <w:color w:val="auto"/>
              </w:rPr>
            </w:pPr>
            <w:r>
              <w:rPr>
                <w:rFonts w:ascii="Arial" w:cs="Arial" w:eastAsia="Arial" w:hAnsi="Arial"/>
                <w:sz w:val="18"/>
                <w:szCs w:val="18"/>
                <w:b w:val="1"/>
                <w:bCs w:val="1"/>
                <w:color w:val="054C70"/>
                <w:w w:val="98"/>
              </w:rPr>
              <w:t>linsley.carruth@troweprice.com</w:t>
            </w:r>
          </w:p>
        </w:tc>
      </w:tr>
      <w:tr>
        <w:trPr>
          <w:trHeight w:val="573"/>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00" w:type="dxa"/>
            <w:vAlign w:val="bottom"/>
          </w:tcPr>
          <w:p>
            <w:pPr>
              <w:jc w:val="right"/>
              <w:ind w:right="570"/>
              <w:spacing w:after="0"/>
              <w:rPr>
                <w:sz w:val="20"/>
                <w:szCs w:val="20"/>
                <w:color w:val="auto"/>
              </w:rPr>
            </w:pPr>
            <w:r>
              <w:rPr>
                <w:rFonts w:ascii="Arial" w:cs="Arial" w:eastAsia="Arial" w:hAnsi="Arial"/>
                <w:sz w:val="18"/>
                <w:szCs w:val="18"/>
                <w:color w:val="auto"/>
              </w:rPr>
              <w:t>10</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20"/>
          </w:cols>
          <w:pgMar w:left="320" w:top="1066" w:right="35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Consolidated Statements of Income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gridSpan w:val="4"/>
            <w:shd w:val="clear" w:color="auto" w:fill="CCEEFF"/>
          </w:tcPr>
          <w:p>
            <w:pPr>
              <w:ind w:left="80"/>
              <w:spacing w:after="0"/>
              <w:rPr>
                <w:sz w:val="20"/>
                <w:szCs w:val="20"/>
                <w:color w:val="auto"/>
              </w:rPr>
            </w:pPr>
            <w:r>
              <w:rPr>
                <w:rFonts w:ascii="Arial" w:cs="Arial" w:eastAsia="Arial" w:hAnsi="Arial"/>
                <w:sz w:val="14"/>
                <w:szCs w:val="14"/>
                <w:color w:val="auto"/>
              </w:rPr>
              <w:t>Three months ended</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gridSpan w:val="4"/>
            <w:shd w:val="clear" w:color="auto" w:fill="CCEEFF"/>
          </w:tcPr>
          <w:p>
            <w:pPr>
              <w:jc w:val="right"/>
              <w:ind w:right="50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9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6/30/2022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6/30/2021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3/31/2022</w:t>
            </w: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6/30/2022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6/30/2021</w:t>
            </w: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Investment advisory fees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1,496.7</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1,662.1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3,475.0</w:t>
            </w:r>
          </w:p>
        </w:tc>
        <w:tc>
          <w:tcPr>
            <w:tcW w:w="0" w:type="dxa"/>
            <w:vAlign w:val="bottom"/>
          </w:tcPr>
          <w:p>
            <w:pPr>
              <w:spacing w:after="0"/>
              <w:rPr>
                <w:sz w:val="1"/>
                <w:szCs w:val="1"/>
                <w:color w:val="auto"/>
              </w:rPr>
            </w:pPr>
          </w:p>
        </w:tc>
      </w:tr>
      <w:tr>
        <w:trPr>
          <w:trHeight w:val="198"/>
        </w:trPr>
        <w:tc>
          <w:tcPr>
            <w:tcW w:w="4680" w:type="dxa"/>
            <w:vAlign w:val="bottom"/>
          </w:tcPr>
          <w:p>
            <w:pPr>
              <w:ind w:left="100"/>
              <w:spacing w:after="0"/>
              <w:rPr>
                <w:sz w:val="20"/>
                <w:szCs w:val="20"/>
                <w:color w:val="auto"/>
              </w:rPr>
            </w:pPr>
            <w:r>
              <w:rPr>
                <w:rFonts w:ascii="Arial" w:cs="Arial" w:eastAsia="Arial" w:hAnsi="Arial"/>
                <w:sz w:val="14"/>
                <w:szCs w:val="14"/>
                <w:color w:val="auto"/>
              </w:rPr>
              <w:t>Capital allocation-based income</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44.4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Administrative, distribution, and servicing fees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156.5</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195"/>
        </w:trPr>
        <w:tc>
          <w:tcPr>
            <w:tcW w:w="4680" w:type="dxa"/>
            <w:vAlign w:val="bottom"/>
          </w:tcPr>
          <w:p>
            <w:pPr>
              <w:ind w:left="100"/>
              <w:spacing w:after="0"/>
              <w:rPr>
                <w:sz w:val="20"/>
                <w:szCs w:val="20"/>
                <w:color w:val="auto"/>
              </w:rPr>
            </w:pPr>
            <w:r>
              <w:rPr>
                <w:rFonts w:ascii="Arial" w:cs="Arial" w:eastAsia="Arial" w:hAnsi="Arial"/>
                <w:sz w:val="14"/>
                <w:szCs w:val="14"/>
                <w:b w:val="1"/>
                <w:bCs w:val="1"/>
                <w:color w:val="auto"/>
              </w:rPr>
              <w:t>Net revenues</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1,513.0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1,929.3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1,863.0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3,376.0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3,756.1</w:t>
            </w:r>
          </w:p>
        </w:tc>
        <w:tc>
          <w:tcPr>
            <w:tcW w:w="0" w:type="dxa"/>
            <w:vAlign w:val="bottom"/>
          </w:tcPr>
          <w:p>
            <w:pPr>
              <w:spacing w:after="0"/>
              <w:rPr>
                <w:sz w:val="1"/>
                <w:szCs w:val="1"/>
                <w:color w:val="auto"/>
              </w:rPr>
            </w:pPr>
          </w:p>
        </w:tc>
      </w:tr>
      <w:tr>
        <w:trPr>
          <w:trHeight w:val="95"/>
        </w:trPr>
        <w:tc>
          <w:tcPr>
            <w:tcW w:w="4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680" w:type="dxa"/>
            <w:vAlign w:val="bottom"/>
            <w:shd w:val="clear" w:color="auto" w:fill="CCEEFF"/>
          </w:tcPr>
          <w:p>
            <w:pPr>
              <w:ind w:left="220"/>
              <w:spacing w:after="0" w:line="154" w:lineRule="exact"/>
              <w:rPr>
                <w:sz w:val="20"/>
                <w:szCs w:val="20"/>
                <w:color w:val="auto"/>
              </w:rPr>
            </w:pPr>
            <w:r>
              <w:rPr>
                <w:rFonts w:ascii="Arial" w:cs="Arial" w:eastAsia="Arial" w:hAnsi="Arial"/>
                <w:sz w:val="14"/>
                <w:szCs w:val="14"/>
                <w:color w:val="auto"/>
              </w:rPr>
              <w:t>Compensation and related costs, excluding acquisition-related</w:t>
            </w: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544.6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566.1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619.0</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1,163.6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1,127.4</w:t>
            </w:r>
          </w:p>
        </w:tc>
        <w:tc>
          <w:tcPr>
            <w:tcW w:w="0" w:type="dxa"/>
            <w:vAlign w:val="bottom"/>
          </w:tcPr>
          <w:p>
            <w:pPr>
              <w:spacing w:after="0"/>
              <w:rPr>
                <w:sz w:val="1"/>
                <w:szCs w:val="1"/>
                <w:color w:val="auto"/>
              </w:rPr>
            </w:pPr>
          </w:p>
        </w:tc>
      </w:tr>
      <w:tr>
        <w:trPr>
          <w:trHeight w:val="185"/>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retention agreements and supplemental savings plan</w:t>
            </w:r>
          </w:p>
        </w:tc>
        <w:tc>
          <w:tcPr>
            <w:tcW w:w="2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220"/>
              <w:spacing w:after="0"/>
              <w:rPr>
                <w:sz w:val="20"/>
                <w:szCs w:val="20"/>
                <w:color w:val="auto"/>
              </w:rPr>
            </w:pPr>
            <w:r>
              <w:rPr>
                <w:rFonts w:ascii="Arial" w:cs="Arial" w:eastAsia="Arial" w:hAnsi="Arial"/>
                <w:sz w:val="14"/>
                <w:szCs w:val="14"/>
                <w:color w:val="auto"/>
              </w:rPr>
              <w:t>Acquisition-related retention agreements</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Supplemental savings plan</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92"/>
        </w:trPr>
        <w:tc>
          <w:tcPr>
            <w:tcW w:w="4680" w:type="dxa"/>
            <w:vAlign w:val="bottom"/>
          </w:tcPr>
          <w:p>
            <w:pPr>
              <w:ind w:left="100"/>
              <w:spacing w:after="0"/>
              <w:rPr>
                <w:sz w:val="20"/>
                <w:szCs w:val="20"/>
                <w:color w:val="auto"/>
              </w:rPr>
            </w:pPr>
            <w:r>
              <w:rPr>
                <w:rFonts w:ascii="Arial" w:cs="Arial" w:eastAsia="Arial" w:hAnsi="Arial"/>
                <w:sz w:val="14"/>
                <w:szCs w:val="14"/>
                <w:color w:val="auto"/>
              </w:rPr>
              <w:t>Compensation and related costs</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463.4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581.6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1,187.3</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 and servicing</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85.9</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w:t>
            </w:r>
          </w:p>
        </w:tc>
        <w:tc>
          <w:tcPr>
            <w:tcW w:w="0" w:type="dxa"/>
            <w:vAlign w:val="bottom"/>
          </w:tcPr>
          <w:p>
            <w:pPr>
              <w:spacing w:after="0"/>
              <w:rPr>
                <w:sz w:val="1"/>
                <w:szCs w:val="1"/>
                <w:color w:val="auto"/>
              </w:rPr>
            </w:pPr>
          </w:p>
        </w:tc>
      </w:tr>
      <w:tr>
        <w:trPr>
          <w:trHeight w:val="199"/>
        </w:trPr>
        <w:tc>
          <w:tcPr>
            <w:tcW w:w="4680" w:type="dxa"/>
            <w:vAlign w:val="bottom"/>
          </w:tcPr>
          <w:p>
            <w:pPr>
              <w:ind w:left="100"/>
              <w:spacing w:after="0"/>
              <w:rPr>
                <w:sz w:val="20"/>
                <w:szCs w:val="20"/>
                <w:color w:val="auto"/>
              </w:rPr>
            </w:pPr>
            <w:r>
              <w:rPr>
                <w:rFonts w:ascii="Arial" w:cs="Arial" w:eastAsia="Arial" w:hAnsi="Arial"/>
                <w:sz w:val="14"/>
                <w:szCs w:val="14"/>
                <w:color w:val="auto"/>
              </w:rPr>
              <w:t>Advertising and promotion</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Product and recordkeeping related costs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199"/>
        </w:trPr>
        <w:tc>
          <w:tcPr>
            <w:tcW w:w="4680" w:type="dxa"/>
            <w:vAlign w:val="bottom"/>
          </w:tcPr>
          <w:p>
            <w:pPr>
              <w:ind w:left="100"/>
              <w:spacing w:after="0"/>
              <w:rPr>
                <w:sz w:val="20"/>
                <w:szCs w:val="20"/>
                <w:color w:val="auto"/>
              </w:rPr>
            </w:pPr>
            <w:r>
              <w:rPr>
                <w:rFonts w:ascii="Arial" w:cs="Arial" w:eastAsia="Arial" w:hAnsi="Arial"/>
                <w:sz w:val="14"/>
                <w:szCs w:val="14"/>
                <w:color w:val="auto"/>
              </w:rPr>
              <w:t>Technology, occupancy, and facility costs</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133.9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administrative, and other</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195"/>
        </w:trPr>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844.4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985.6</w:t>
            </w: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1,904.8</w:t>
            </w:r>
          </w:p>
        </w:tc>
        <w:tc>
          <w:tcPr>
            <w:tcW w:w="0" w:type="dxa"/>
            <w:vAlign w:val="bottom"/>
          </w:tcPr>
          <w:p>
            <w:pPr>
              <w:spacing w:after="0"/>
              <w:rPr>
                <w:sz w:val="1"/>
                <w:szCs w:val="1"/>
                <w:color w:val="auto"/>
              </w:rPr>
            </w:pPr>
          </w:p>
        </w:tc>
      </w:tr>
      <w:tr>
        <w:trPr>
          <w:trHeight w:val="76"/>
        </w:trPr>
        <w:tc>
          <w:tcPr>
            <w:tcW w:w="4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668.6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958.1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877.4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1,546.0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1,851.3</w:t>
            </w:r>
          </w:p>
        </w:tc>
        <w:tc>
          <w:tcPr>
            <w:tcW w:w="0" w:type="dxa"/>
            <w:vAlign w:val="bottom"/>
          </w:tcPr>
          <w:p>
            <w:pPr>
              <w:spacing w:after="0"/>
              <w:rPr>
                <w:sz w:val="1"/>
                <w:szCs w:val="1"/>
                <w:color w:val="auto"/>
              </w:rPr>
            </w:pPr>
          </w:p>
        </w:tc>
      </w:tr>
      <w:tr>
        <w:trPr>
          <w:trHeight w:val="96"/>
        </w:trPr>
        <w:tc>
          <w:tcPr>
            <w:tcW w:w="4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(losses) on investments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198"/>
        </w:trPr>
        <w:tc>
          <w:tcPr>
            <w:tcW w:w="4680" w:type="dxa"/>
            <w:vAlign w:val="bottom"/>
          </w:tcPr>
          <w:p>
            <w:pPr>
              <w:ind w:left="140"/>
              <w:spacing w:after="0"/>
              <w:rPr>
                <w:sz w:val="20"/>
                <w:szCs w:val="20"/>
                <w:color w:val="auto"/>
              </w:rPr>
            </w:pPr>
            <w:r>
              <w:rPr>
                <w:rFonts w:ascii="Arial" w:cs="Arial" w:eastAsia="Arial" w:hAnsi="Arial"/>
                <w:sz w:val="14"/>
                <w:szCs w:val="14"/>
                <w:color w:val="auto"/>
              </w:rPr>
              <w:t>Net gains (losses) on consolidated investment products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(loss)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5"/>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non-operating income (loss)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(279.9)</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(198.5)</w:t>
            </w: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(478.4)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246.0</w:t>
            </w: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388.7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678.9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2,097.3</w:t>
            </w: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164.5</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489.8</w:t>
            </w:r>
          </w:p>
        </w:tc>
        <w:tc>
          <w:tcPr>
            <w:tcW w:w="0" w:type="dxa"/>
            <w:vAlign w:val="bottom"/>
          </w:tcPr>
          <w:p>
            <w:pPr>
              <w:spacing w:after="0"/>
              <w:rPr>
                <w:sz w:val="1"/>
                <w:szCs w:val="1"/>
                <w:color w:val="auto"/>
              </w:rPr>
            </w:pPr>
          </w:p>
        </w:tc>
      </w:tr>
      <w:tr>
        <w:trPr>
          <w:trHeight w:val="192"/>
        </w:trPr>
        <w:tc>
          <w:tcPr>
            <w:tcW w:w="46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514.4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1,607.5</w:t>
            </w:r>
          </w:p>
        </w:tc>
        <w:tc>
          <w:tcPr>
            <w:tcW w:w="0" w:type="dxa"/>
            <w:vAlign w:val="bottom"/>
          </w:tcPr>
          <w:p>
            <w:pPr>
              <w:spacing w:after="0"/>
              <w:rPr>
                <w:sz w:val="1"/>
                <w:szCs w:val="1"/>
                <w:color w:val="auto"/>
              </w:rPr>
            </w:pPr>
          </w:p>
        </w:tc>
      </w:tr>
      <w:tr>
        <w:trPr>
          <w:trHeight w:val="157"/>
        </w:trPr>
        <w:tc>
          <w:tcPr>
            <w:tcW w:w="468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Less: net income (loss) attributable to redeemable non-controlling</w:t>
            </w: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85"/>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interests</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 Rowe Price</w:t>
            </w: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339.6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815.7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567.9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907.5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1,565.1</w:t>
            </w:r>
          </w:p>
        </w:tc>
        <w:tc>
          <w:tcPr>
            <w:tcW w:w="0" w:type="dxa"/>
            <w:vAlign w:val="bottom"/>
          </w:tcPr>
          <w:p>
            <w:pPr>
              <w:spacing w:after="0"/>
              <w:rPr>
                <w:sz w:val="1"/>
                <w:szCs w:val="1"/>
                <w:color w:val="auto"/>
              </w:rPr>
            </w:pPr>
          </w:p>
        </w:tc>
      </w:tr>
      <w:tr>
        <w:trPr>
          <w:trHeight w:val="154"/>
        </w:trPr>
        <w:tc>
          <w:tcPr>
            <w:tcW w:w="4680" w:type="dxa"/>
            <w:vAlign w:val="bottom"/>
            <w:shd w:val="clear" w:color="auto" w:fill="CCEEFF"/>
          </w:tcPr>
          <w:p>
            <w:pPr>
              <w:ind w:left="100"/>
              <w:spacing w:after="0" w:line="154" w:lineRule="exact"/>
              <w:rPr>
                <w:sz w:val="20"/>
                <w:szCs w:val="20"/>
                <w:color w:val="auto"/>
              </w:rPr>
            </w:pPr>
            <w:r>
              <w:rPr>
                <w:rFonts w:ascii="Arial" w:cs="Arial" w:eastAsia="Arial" w:hAnsi="Arial"/>
                <w:sz w:val="14"/>
                <w:szCs w:val="14"/>
                <w:color w:val="auto"/>
              </w:rPr>
              <w:t>Less: net income allocated to outstanding restricted stock and stock</w:t>
            </w: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85"/>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unit holders</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Net income allocated to T. Rowe Price common stockholders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332.2</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793.5</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554.9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887.1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1,523.0</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46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80" w:type="dxa"/>
            <w:vAlign w:val="bottom"/>
          </w:tcPr>
          <w:p>
            <w:pPr>
              <w:ind w:left="100"/>
              <w:spacing w:after="0"/>
              <w:rPr>
                <w:sz w:val="20"/>
                <w:szCs w:val="20"/>
                <w:color w:val="auto"/>
              </w:rPr>
            </w:pPr>
            <w:r>
              <w:rPr>
                <w:rFonts w:ascii="Arial" w:cs="Arial" w:eastAsia="Arial" w:hAnsi="Arial"/>
                <w:sz w:val="14"/>
                <w:szCs w:val="14"/>
                <w:b w:val="1"/>
                <w:bCs w:val="1"/>
                <w:color w:val="auto"/>
              </w:rPr>
              <w:t>Diluted</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1.46</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3.46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2.41</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3.88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6.63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46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20"/>
              <w:spacing w:after="0"/>
              <w:rPr>
                <w:sz w:val="20"/>
                <w:szCs w:val="20"/>
                <w:color w:val="auto"/>
              </w:rPr>
            </w:pPr>
            <w:r>
              <w:rPr>
                <w:rFonts w:ascii="Arial" w:cs="Arial" w:eastAsia="Arial" w:hAnsi="Arial"/>
                <w:sz w:val="14"/>
                <w:szCs w:val="14"/>
                <w:color w:val="auto"/>
              </w:rPr>
              <w:t>Weighted-average common shares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Outstanding</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228.2</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tcPr>
          <w:p>
            <w:pPr>
              <w:ind w:left="100"/>
              <w:spacing w:after="0"/>
              <w:rPr>
                <w:sz w:val="20"/>
                <w:szCs w:val="20"/>
                <w:color w:val="auto"/>
              </w:rPr>
            </w:pPr>
            <w:r>
              <w:rPr>
                <w:rFonts w:ascii="Arial" w:cs="Arial" w:eastAsia="Arial" w:hAnsi="Arial"/>
                <w:sz w:val="14"/>
                <w:szCs w:val="14"/>
                <w:color w:val="auto"/>
              </w:rPr>
              <w:t>Outstanding assuming dilution</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227.9</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3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following table presents investment advisory revenues for the three and six-months ended June 30,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Advisory Revenues (in millions)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gridSpan w:val="5"/>
            <w:shd w:val="clear" w:color="auto" w:fill="CCEEFF"/>
          </w:tcPr>
          <w:p>
            <w:pPr>
              <w:jc w:val="center"/>
              <w:ind w:right="200"/>
              <w:spacing w:after="0"/>
              <w:rPr>
                <w:sz w:val="20"/>
                <w:szCs w:val="20"/>
                <w:color w:val="auto"/>
              </w:rPr>
            </w:pPr>
            <w:r>
              <w:rPr>
                <w:rFonts w:ascii="Arial" w:cs="Arial" w:eastAsia="Arial" w:hAnsi="Arial"/>
                <w:sz w:val="14"/>
                <w:szCs w:val="14"/>
                <w:color w:val="auto"/>
              </w:rPr>
              <w:t>Three months ended</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340" w:type="dxa"/>
            <w:vAlign w:val="bottom"/>
            <w:tcBorders>
              <w:bottom w:val="single" w:sz="8" w:color="auto"/>
            </w:tcBorders>
            <w:gridSpan w:val="7"/>
            <w:shd w:val="clear" w:color="auto" w:fill="CCEEFF"/>
          </w:tcPr>
          <w:p>
            <w:pPr>
              <w:ind w:left="500"/>
              <w:spacing w:after="0"/>
              <w:rPr>
                <w:sz w:val="20"/>
                <w:szCs w:val="20"/>
                <w:color w:val="auto"/>
              </w:rPr>
            </w:pPr>
            <w:r>
              <w:rPr>
                <w:rFonts w:ascii="Arial" w:cs="Arial" w:eastAsia="Arial" w:hAnsi="Arial"/>
                <w:sz w:val="14"/>
                <w:szCs w:val="14"/>
                <w:color w:val="auto"/>
              </w:rPr>
              <w:t>Six months ended</w:t>
            </w:r>
          </w:p>
        </w:tc>
      </w:tr>
      <w:tr>
        <w:trPr>
          <w:trHeight w:val="192"/>
        </w:trPr>
        <w:tc>
          <w:tcPr>
            <w:tcW w:w="6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6/30/2022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6/30/2021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6/30/2022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6/30/2021</w:t>
            </w:r>
          </w:p>
        </w:tc>
        <w:tc>
          <w:tcPr>
            <w:tcW w:w="40" w:type="dxa"/>
            <w:vAlign w:val="bottom"/>
            <w:tcBorders>
              <w:bottom w:val="single" w:sz="8" w:color="auto"/>
            </w:tcBorders>
          </w:tcPr>
          <w:p>
            <w:pPr>
              <w:spacing w:after="0"/>
              <w:rPr>
                <w:sz w:val="16"/>
                <w:szCs w:val="16"/>
                <w:color w:val="auto"/>
              </w:rPr>
            </w:pPr>
          </w:p>
        </w:tc>
      </w:tr>
      <w:tr>
        <w:trPr>
          <w:trHeight w:val="186"/>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604.5</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768.0</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1,296.4</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1,497.8</w:t>
            </w:r>
          </w:p>
        </w:tc>
        <w:tc>
          <w:tcPr>
            <w:tcW w:w="40" w:type="dxa"/>
            <w:vAlign w:val="bottom"/>
          </w:tcPr>
          <w:p>
            <w:pPr>
              <w:spacing w:after="0"/>
              <w:rPr>
                <w:sz w:val="17"/>
                <w:szCs w:val="17"/>
                <w:color w:val="auto"/>
              </w:rPr>
            </w:pPr>
          </w:p>
        </w:tc>
      </w:tr>
      <w:tr>
        <w:trPr>
          <w:trHeight w:val="206"/>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40" w:type="dxa"/>
            <w:vAlign w:val="bottom"/>
            <w:shd w:val="clear" w:color="auto" w:fill="CCEEFF"/>
          </w:tcPr>
          <w:p>
            <w:pPr>
              <w:spacing w:after="0"/>
              <w:rPr>
                <w:sz w:val="17"/>
                <w:szCs w:val="17"/>
                <w:color w:val="auto"/>
              </w:rPr>
            </w:pPr>
          </w:p>
        </w:tc>
      </w:tr>
      <w:tr>
        <w:trPr>
          <w:trHeight w:val="199"/>
        </w:trPr>
        <w:tc>
          <w:tcPr>
            <w:tcW w:w="60" w:type="dxa"/>
            <w:vAlign w:val="bottom"/>
            <w:tcBorders>
              <w:bottom w:val="single" w:sz="8" w:color="CCEEFF"/>
            </w:tcBorders>
          </w:tcPr>
          <w:p>
            <w:pPr>
              <w:spacing w:after="0"/>
              <w:rPr>
                <w:sz w:val="17"/>
                <w:szCs w:val="17"/>
                <w:color w:val="auto"/>
              </w:rPr>
            </w:pPr>
          </w:p>
        </w:tc>
        <w:tc>
          <w:tcPr>
            <w:tcW w:w="33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423.6</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531.0</w:t>
            </w:r>
          </w:p>
        </w:tc>
        <w:tc>
          <w:tcPr>
            <w:tcW w:w="40" w:type="dxa"/>
            <w:vAlign w:val="bottom"/>
            <w:tcBorders>
              <w:bottom w:val="single" w:sz="8" w:color="auto"/>
            </w:tcBorders>
          </w:tcPr>
          <w:p>
            <w:pPr>
              <w:spacing w:after="0"/>
              <w:rPr>
                <w:sz w:val="17"/>
                <w:szCs w:val="17"/>
                <w:color w:val="auto"/>
              </w:rPr>
            </w:pPr>
          </w:p>
        </w:tc>
      </w:tr>
      <w:tr>
        <w:trPr>
          <w:trHeight w:val="200"/>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1,097.5</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2,147.7</w:t>
            </w:r>
          </w:p>
        </w:tc>
        <w:tc>
          <w:tcPr>
            <w:tcW w:w="40" w:type="dxa"/>
            <w:vAlign w:val="bottom"/>
            <w:tcBorders>
              <w:bottom w:val="single" w:sz="8" w:color="auto"/>
            </w:tcBorders>
            <w:shd w:val="clear" w:color="auto" w:fill="CCEEFF"/>
          </w:tcPr>
          <w:p>
            <w:pPr>
              <w:spacing w:after="0"/>
              <w:rPr>
                <w:sz w:val="17"/>
                <w:szCs w:val="17"/>
                <w:color w:val="auto"/>
              </w:rPr>
            </w:pPr>
          </w:p>
        </w:tc>
      </w:tr>
      <w:tr>
        <w:trPr>
          <w:trHeight w:val="133"/>
        </w:trPr>
        <w:tc>
          <w:tcPr>
            <w:tcW w:w="6000" w:type="dxa"/>
            <w:vAlign w:val="bottom"/>
            <w:gridSpan w:val="8"/>
          </w:tcPr>
          <w:p>
            <w:pPr>
              <w:ind w:left="20"/>
              <w:spacing w:after="0" w:line="133" w:lineRule="exact"/>
              <w:rPr>
                <w:sz w:val="20"/>
                <w:szCs w:val="20"/>
                <w:color w:val="auto"/>
              </w:rPr>
            </w:pPr>
            <w:r>
              <w:rPr>
                <w:rFonts w:ascii="Arial" w:cs="Arial" w:eastAsia="Arial" w:hAnsi="Arial"/>
                <w:sz w:val="14"/>
                <w:szCs w:val="14"/>
                <w:color w:val="auto"/>
              </w:rPr>
              <w:t>Subadvised funds, separate accounts, collective investment trusts, and other investment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5"/>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446.0</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870.2</w:t>
            </w:r>
          </w:p>
        </w:tc>
        <w:tc>
          <w:tcPr>
            <w:tcW w:w="40" w:type="dxa"/>
            <w:vAlign w:val="bottom"/>
            <w:shd w:val="clear" w:color="auto" w:fill="CCEEFF"/>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40.8</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78.3</w:t>
            </w:r>
          </w:p>
        </w:tc>
        <w:tc>
          <w:tcPr>
            <w:tcW w:w="40" w:type="dxa"/>
            <w:vAlign w:val="bottom"/>
          </w:tcPr>
          <w:p>
            <w:pPr>
              <w:spacing w:after="0"/>
              <w:rPr>
                <w:sz w:val="17"/>
                <w:szCs w:val="17"/>
                <w:color w:val="auto"/>
              </w:rPr>
            </w:pPr>
          </w:p>
        </w:tc>
      </w:tr>
      <w:tr>
        <w:trPr>
          <w:trHeight w:val="207"/>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378.8</w:t>
            </w:r>
          </w:p>
        </w:tc>
        <w:tc>
          <w:tcPr>
            <w:tcW w:w="40" w:type="dxa"/>
            <w:vAlign w:val="bottom"/>
            <w:shd w:val="clear" w:color="auto" w:fill="CCEEFF"/>
          </w:tcPr>
          <w:p>
            <w:pPr>
              <w:spacing w:after="0"/>
              <w:rPr>
                <w:sz w:val="17"/>
                <w:szCs w:val="17"/>
                <w:color w:val="auto"/>
              </w:rPr>
            </w:pPr>
          </w:p>
        </w:tc>
      </w:tr>
      <w:tr>
        <w:trPr>
          <w:trHeight w:val="198"/>
        </w:trPr>
        <w:tc>
          <w:tcPr>
            <w:tcW w:w="60" w:type="dxa"/>
            <w:vAlign w:val="bottom"/>
            <w:tcBorders>
              <w:bottom w:val="single" w:sz="8" w:color="CCEEFF"/>
            </w:tcBorders>
          </w:tcPr>
          <w:p>
            <w:pPr>
              <w:spacing w:after="0"/>
              <w:rPr>
                <w:sz w:val="17"/>
                <w:szCs w:val="17"/>
                <w:color w:val="auto"/>
              </w:rPr>
            </w:pPr>
          </w:p>
        </w:tc>
        <w:tc>
          <w:tcPr>
            <w:tcW w:w="33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Alternatives</w:t>
            </w:r>
          </w:p>
        </w:tc>
        <w:tc>
          <w:tcPr>
            <w:tcW w:w="1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6"/>
        </w:trPr>
        <w:tc>
          <w:tcPr>
            <w:tcW w:w="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1,306.1</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1,327.3</w:t>
            </w:r>
          </w:p>
        </w:tc>
        <w:tc>
          <w:tcPr>
            <w:tcW w:w="40" w:type="dxa"/>
            <w:vAlign w:val="bottom"/>
            <w:tcBorders>
              <w:bottom w:val="single" w:sz="8" w:color="auto"/>
            </w:tcBorders>
            <w:shd w:val="clear" w:color="auto" w:fill="CCEEFF"/>
          </w:tcPr>
          <w:p>
            <w:pPr>
              <w:spacing w:after="0"/>
              <w:rPr>
                <w:sz w:val="17"/>
                <w:szCs w:val="17"/>
                <w:color w:val="auto"/>
              </w:rPr>
            </w:pPr>
          </w:p>
        </w:tc>
      </w:tr>
      <w:tr>
        <w:trPr>
          <w:trHeight w:val="240"/>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Total investment advisory revenues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1,787.2</w:t>
            </w:r>
          </w:p>
        </w:tc>
        <w:tc>
          <w:tcPr>
            <w:tcW w:w="2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3,158.8</w:t>
            </w:r>
          </w:p>
        </w:tc>
        <w:tc>
          <w:tcPr>
            <w:tcW w:w="4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3,475.0</w:t>
            </w:r>
          </w:p>
        </w:tc>
        <w:tc>
          <w:tcPr>
            <w:tcW w:w="40" w:type="dxa"/>
            <w:vAlign w:val="bottom"/>
            <w:tcBorders>
              <w:bottom w:val="single" w:sz="8" w:color="auto"/>
            </w:tcBorders>
          </w:tcPr>
          <w:p>
            <w:pPr>
              <w:spacing w:after="0"/>
              <w:rPr>
                <w:sz w:val="20"/>
                <w:szCs w:val="20"/>
                <w:color w:val="auto"/>
              </w:rPr>
            </w:pPr>
          </w:p>
        </w:tc>
      </w:tr>
      <w:tr>
        <w:trPr>
          <w:trHeight w:val="332"/>
        </w:trPr>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3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60" w:type="dxa"/>
            <w:vAlign w:val="bottom"/>
          </w:tcPr>
          <w:p>
            <w:pPr>
              <w:spacing w:after="0"/>
              <w:rPr>
                <w:sz w:val="17"/>
                <w:szCs w:val="17"/>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Under Management (in billions)</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420" w:type="dxa"/>
            <w:vAlign w:val="bottom"/>
            <w:tcBorders>
              <w:bottom w:val="single" w:sz="8" w:color="auto"/>
            </w:tcBorders>
            <w:gridSpan w:val="6"/>
            <w:shd w:val="clear" w:color="auto" w:fill="CCEEFF"/>
          </w:tcPr>
          <w:p>
            <w:pPr>
              <w:ind w:left="560"/>
              <w:spacing w:after="0"/>
              <w:rPr>
                <w:sz w:val="20"/>
                <w:szCs w:val="20"/>
                <w:color w:val="auto"/>
              </w:rPr>
            </w:pPr>
            <w:r>
              <w:rPr>
                <w:rFonts w:ascii="Arial" w:cs="Arial" w:eastAsia="Arial" w:hAnsi="Arial"/>
                <w:sz w:val="14"/>
                <w:szCs w:val="14"/>
                <w:color w:val="auto"/>
              </w:rPr>
              <w:t>Average during</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color w:val="auto"/>
              </w:rPr>
              <w:t>Six months ended</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5"/>
          </w:tcPr>
          <w:p>
            <w:pPr>
              <w:jc w:val="right"/>
              <w:spacing w:after="0"/>
              <w:rPr>
                <w:sz w:val="20"/>
                <w:szCs w:val="20"/>
                <w:color w:val="auto"/>
              </w:rPr>
            </w:pPr>
            <w:r>
              <w:rPr>
                <w:rFonts w:ascii="Arial" w:cs="Arial" w:eastAsia="Arial" w:hAnsi="Arial"/>
                <w:sz w:val="14"/>
                <w:szCs w:val="14"/>
                <w:color w:val="auto"/>
              </w:rPr>
              <w:t>As of</w:t>
            </w: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0"/>
        </w:trPr>
        <w:tc>
          <w:tcPr>
            <w:tcW w:w="6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6/30/2022</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6/30/2021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6/30/2022</w:t>
            </w: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6/30/2021</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6/30/2022</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12/31/2021</w:t>
            </w:r>
          </w:p>
        </w:tc>
        <w:tc>
          <w:tcPr>
            <w:tcW w:w="40" w:type="dxa"/>
            <w:vAlign w:val="bottom"/>
          </w:tcPr>
          <w:p>
            <w:pPr>
              <w:spacing w:after="0"/>
              <w:rPr>
                <w:sz w:val="17"/>
                <w:szCs w:val="17"/>
                <w:color w:val="auto"/>
              </w:rPr>
            </w:pPr>
          </w:p>
        </w:tc>
      </w:tr>
      <w:tr>
        <w:trPr>
          <w:trHeight w:val="178"/>
        </w:trPr>
        <w:tc>
          <w:tcPr>
            <w:tcW w:w="60" w:type="dxa"/>
            <w:vAlign w:val="bottom"/>
          </w:tcPr>
          <w:p>
            <w:pPr>
              <w:spacing w:after="0"/>
              <w:rPr>
                <w:sz w:val="15"/>
                <w:szCs w:val="15"/>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7"/>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532.2</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520.9</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390.9</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553.9</w:t>
            </w:r>
          </w:p>
        </w:tc>
        <w:tc>
          <w:tcPr>
            <w:tcW w:w="4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84.1</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85.3</w:t>
            </w:r>
          </w:p>
        </w:tc>
        <w:tc>
          <w:tcPr>
            <w:tcW w:w="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226.3</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187.5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232.2</w:t>
            </w:r>
          </w:p>
        </w:tc>
        <w:tc>
          <w:tcPr>
            <w:tcW w:w="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711.1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754.3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831.3</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657.1</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871.4</w:t>
            </w:r>
          </w:p>
        </w:tc>
        <w:tc>
          <w:tcPr>
            <w:tcW w:w="40" w:type="dxa"/>
            <w:vAlign w:val="bottom"/>
          </w:tcPr>
          <w:p>
            <w:pPr>
              <w:spacing w:after="0"/>
              <w:rPr>
                <w:sz w:val="17"/>
                <w:szCs w:val="17"/>
                <w:color w:val="auto"/>
              </w:rPr>
            </w:pPr>
          </w:p>
        </w:tc>
      </w:tr>
      <w:tr>
        <w:trPr>
          <w:trHeight w:val="79"/>
        </w:trPr>
        <w:tc>
          <w:tcPr>
            <w:tcW w:w="60" w:type="dxa"/>
            <w:vAlign w:val="bottom"/>
          </w:tcPr>
          <w:p>
            <w:pPr>
              <w:spacing w:after="0"/>
              <w:rPr>
                <w:sz w:val="6"/>
                <w:szCs w:val="6"/>
                <w:color w:val="auto"/>
              </w:rPr>
            </w:pPr>
          </w:p>
        </w:tc>
        <w:tc>
          <w:tcPr>
            <w:tcW w:w="33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148"/>
        </w:trPr>
        <w:tc>
          <w:tcPr>
            <w:tcW w:w="60" w:type="dxa"/>
            <w:vAlign w:val="bottom"/>
          </w:tcPr>
          <w:p>
            <w:pPr>
              <w:spacing w:after="0"/>
              <w:rPr>
                <w:sz w:val="12"/>
                <w:szCs w:val="12"/>
                <w:color w:val="auto"/>
              </w:rPr>
            </w:pPr>
          </w:p>
        </w:tc>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Subadvised funds, separate accounts, collective</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9"/>
        </w:trPr>
        <w:tc>
          <w:tcPr>
            <w:tcW w:w="6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investment trusts, and other investment products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418.1</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308.7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438.8</w:t>
            </w:r>
          </w:p>
        </w:tc>
        <w:tc>
          <w:tcPr>
            <w:tcW w:w="4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91.0</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90.4</w:t>
            </w:r>
          </w:p>
        </w:tc>
        <w:tc>
          <w:tcPr>
            <w:tcW w:w="40" w:type="dxa"/>
            <w:vAlign w:val="bottom"/>
          </w:tcPr>
          <w:p>
            <w:pPr>
              <w:spacing w:after="0"/>
              <w:rPr>
                <w:sz w:val="17"/>
                <w:szCs w:val="17"/>
                <w:color w:val="auto"/>
              </w:rPr>
            </w:pPr>
          </w:p>
        </w:tc>
      </w:tr>
      <w:tr>
        <w:trPr>
          <w:trHeight w:val="207"/>
        </w:trPr>
        <w:tc>
          <w:tcPr>
            <w:tcW w:w="60" w:type="dxa"/>
            <w:vAlign w:val="bottom"/>
          </w:tcPr>
          <w:p>
            <w:pPr>
              <w:spacing w:after="0"/>
              <w:rPr>
                <w:sz w:val="17"/>
                <w:szCs w:val="17"/>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206.7</w:t>
            </w:r>
          </w:p>
        </w:tc>
        <w:tc>
          <w:tcPr>
            <w:tcW w:w="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245.5</w:t>
            </w:r>
          </w:p>
        </w:tc>
        <w:tc>
          <w:tcPr>
            <w:tcW w:w="4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4"/>
                <w:szCs w:val="14"/>
                <w:color w:val="auto"/>
              </w:rPr>
              <w:t>Alternatives</w:t>
            </w: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728.7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715.8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652.6</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816.4</w:t>
            </w:r>
          </w:p>
        </w:tc>
        <w:tc>
          <w:tcPr>
            <w:tcW w:w="40" w:type="dxa"/>
            <w:vAlign w:val="bottom"/>
          </w:tcPr>
          <w:p>
            <w:pPr>
              <w:spacing w:after="0"/>
              <w:rPr>
                <w:sz w:val="17"/>
                <w:szCs w:val="17"/>
                <w:color w:val="auto"/>
              </w:rPr>
            </w:pPr>
          </w:p>
        </w:tc>
      </w:tr>
      <w:tr>
        <w:trPr>
          <w:trHeight w:val="240"/>
        </w:trPr>
        <w:tc>
          <w:tcPr>
            <w:tcW w:w="6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Total assets under management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1,407.1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1,547.1</w:t>
            </w: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1,309.7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1,687.8</w:t>
            </w:r>
          </w:p>
        </w:tc>
        <w:tc>
          <w:tcPr>
            <w:tcW w:w="4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annualized effective fee rates for the three and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p>
      <w:pPr>
        <w:spacing w:after="0" w:line="302" w:lineRule="exact"/>
        <w:rPr>
          <w:sz w:val="20"/>
          <w:szCs w:val="20"/>
          <w:color w:val="auto"/>
        </w:rPr>
      </w:pPr>
    </w:p>
    <w:p>
      <w:pPr>
        <w:ind w:left="20" w:right="900"/>
        <w:spacing w:after="0" w:line="273" w:lineRule="auto"/>
        <w:rPr>
          <w:sz w:val="20"/>
          <w:szCs w:val="20"/>
          <w:color w:val="auto"/>
        </w:rPr>
      </w:pPr>
      <w:r>
        <w:rPr>
          <w:rFonts w:ascii="Arial" w:cs="Arial" w:eastAsia="Arial" w:hAnsi="Arial"/>
          <w:sz w:val="14"/>
          <w:szCs w:val="14"/>
          <w:b w:val="1"/>
          <w:bCs w:val="1"/>
          <w:color w:val="auto"/>
        </w:rPr>
        <w:t>Annualized effective fee rates (in basis points)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 advisory fee rate</w:t>
      </w:r>
    </w:p>
    <w:p>
      <w:pPr>
        <w:spacing w:after="0" w:line="42" w:lineRule="exact"/>
        <w:rPr>
          <w:sz w:val="20"/>
          <w:szCs w:val="20"/>
          <w:color w:val="auto"/>
        </w:rPr>
      </w:pPr>
    </w:p>
    <w:p>
      <w:pPr>
        <w:ind w:left="20"/>
        <w:spacing w:after="0" w:line="264" w:lineRule="auto"/>
        <w:rPr>
          <w:sz w:val="20"/>
          <w:szCs w:val="20"/>
          <w:color w:val="auto"/>
        </w:rPr>
      </w:pPr>
      <w:r>
        <w:rPr>
          <w:rFonts w:ascii="Arial" w:cs="Arial" w:eastAsia="Arial" w:hAnsi="Arial"/>
          <w:sz w:val="14"/>
          <w:szCs w:val="14"/>
          <w:color w:val="auto"/>
        </w:rPr>
        <w:t>Investment advisory fee rate, including capital allocation-based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color w:val="auto"/>
              </w:rPr>
              <w:t>Three months ended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Six months ended</w:t>
            </w:r>
          </w:p>
        </w:tc>
        <w:tc>
          <w:tcPr>
            <w:tcW w:w="900" w:type="dxa"/>
            <w:vAlign w:val="bottom"/>
            <w:tcBorders>
              <w:bottom w:val="single" w:sz="8" w:color="auto"/>
            </w:tcBorders>
          </w:tcPr>
          <w:p>
            <w:pPr>
              <w:spacing w:after="0"/>
              <w:rPr>
                <w:sz w:val="16"/>
                <w:szCs w:val="16"/>
                <w:color w:val="auto"/>
              </w:rPr>
            </w:pPr>
          </w:p>
        </w:tc>
      </w:tr>
      <w:tr>
        <w:trPr>
          <w:trHeight w:val="196"/>
        </w:trPr>
        <w:tc>
          <w:tcPr>
            <w:tcW w:w="960" w:type="dxa"/>
            <w:vAlign w:val="bottom"/>
          </w:tcPr>
          <w:p>
            <w:pPr>
              <w:jc w:val="right"/>
              <w:ind w:right="85"/>
              <w:spacing w:after="0"/>
              <w:rPr>
                <w:sz w:val="20"/>
                <w:szCs w:val="20"/>
                <w:color w:val="auto"/>
              </w:rPr>
            </w:pPr>
            <w:r>
              <w:rPr>
                <w:rFonts w:ascii="Arial" w:cs="Arial" w:eastAsia="Arial" w:hAnsi="Arial"/>
                <w:sz w:val="14"/>
                <w:szCs w:val="14"/>
                <w:color w:val="auto"/>
              </w:rPr>
              <w:t>6/30/2022</w:t>
            </w:r>
          </w:p>
        </w:tc>
        <w:tc>
          <w:tcPr>
            <w:tcW w:w="100" w:type="dxa"/>
            <w:vAlign w:val="bottom"/>
          </w:tcPr>
          <w:p>
            <w:pPr>
              <w:spacing w:after="0"/>
              <w:rPr>
                <w:sz w:val="17"/>
                <w:szCs w:val="17"/>
                <w:color w:val="auto"/>
              </w:rPr>
            </w:pPr>
          </w:p>
        </w:tc>
        <w:tc>
          <w:tcPr>
            <w:tcW w:w="960" w:type="dxa"/>
            <w:vAlign w:val="bottom"/>
          </w:tcPr>
          <w:p>
            <w:pPr>
              <w:jc w:val="right"/>
              <w:ind w:right="86"/>
              <w:spacing w:after="0"/>
              <w:rPr>
                <w:sz w:val="20"/>
                <w:szCs w:val="20"/>
                <w:color w:val="auto"/>
              </w:rPr>
            </w:pPr>
            <w:r>
              <w:rPr>
                <w:rFonts w:ascii="Arial" w:cs="Arial" w:eastAsia="Arial" w:hAnsi="Arial"/>
                <w:sz w:val="14"/>
                <w:szCs w:val="14"/>
                <w:color w:val="auto"/>
              </w:rPr>
              <w:t>6/30/2021</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 change</w:t>
            </w:r>
          </w:p>
        </w:tc>
        <w:tc>
          <w:tcPr>
            <w:tcW w:w="120" w:type="dxa"/>
            <w:vAlign w:val="bottom"/>
          </w:tcPr>
          <w:p>
            <w:pPr>
              <w:spacing w:after="0"/>
              <w:rPr>
                <w:sz w:val="17"/>
                <w:szCs w:val="17"/>
                <w:color w:val="auto"/>
              </w:rPr>
            </w:pPr>
          </w:p>
        </w:tc>
        <w:tc>
          <w:tcPr>
            <w:tcW w:w="820" w:type="dxa"/>
            <w:vAlign w:val="bottom"/>
          </w:tcPr>
          <w:p>
            <w:pPr>
              <w:jc w:val="right"/>
              <w:ind w:right="65"/>
              <w:spacing w:after="0"/>
              <w:rPr>
                <w:sz w:val="20"/>
                <w:szCs w:val="20"/>
                <w:color w:val="auto"/>
              </w:rPr>
            </w:pPr>
            <w:r>
              <w:rPr>
                <w:rFonts w:ascii="Arial" w:cs="Arial" w:eastAsia="Arial" w:hAnsi="Arial"/>
                <w:sz w:val="14"/>
                <w:szCs w:val="14"/>
                <w:color w:val="auto"/>
              </w:rPr>
              <w:t>3/31/2022</w:t>
            </w:r>
          </w:p>
        </w:tc>
        <w:tc>
          <w:tcPr>
            <w:tcW w:w="100" w:type="dxa"/>
            <w:vAlign w:val="bottom"/>
          </w:tcPr>
          <w:p>
            <w:pPr>
              <w:spacing w:after="0"/>
              <w:rPr>
                <w:sz w:val="17"/>
                <w:szCs w:val="17"/>
                <w:color w:val="auto"/>
              </w:rPr>
            </w:pPr>
          </w:p>
        </w:tc>
        <w:tc>
          <w:tcPr>
            <w:tcW w:w="100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 change</w:t>
            </w:r>
          </w:p>
        </w:tc>
        <w:tc>
          <w:tcPr>
            <w:tcW w:w="880" w:type="dxa"/>
            <w:vAlign w:val="bottom"/>
          </w:tcPr>
          <w:p>
            <w:pPr>
              <w:jc w:val="right"/>
              <w:ind w:right="25"/>
              <w:spacing w:after="0"/>
              <w:rPr>
                <w:sz w:val="20"/>
                <w:szCs w:val="20"/>
                <w:color w:val="auto"/>
              </w:rPr>
            </w:pPr>
            <w:r>
              <w:rPr>
                <w:rFonts w:ascii="Arial" w:cs="Arial" w:eastAsia="Arial" w:hAnsi="Arial"/>
                <w:sz w:val="14"/>
                <w:szCs w:val="14"/>
                <w:color w:val="auto"/>
              </w:rPr>
              <w:t>6/30/2022</w:t>
            </w:r>
          </w:p>
        </w:tc>
        <w:tc>
          <w:tcPr>
            <w:tcW w:w="1120" w:type="dxa"/>
            <w:vAlign w:val="bottom"/>
            <w:gridSpan w:val="3"/>
          </w:tcPr>
          <w:p>
            <w:pPr>
              <w:jc w:val="right"/>
              <w:ind w:right="84"/>
              <w:spacing w:after="0"/>
              <w:rPr>
                <w:sz w:val="20"/>
                <w:szCs w:val="20"/>
                <w:color w:val="auto"/>
              </w:rPr>
            </w:pPr>
            <w:r>
              <w:rPr>
                <w:rFonts w:ascii="Arial" w:cs="Arial" w:eastAsia="Arial" w:hAnsi="Arial"/>
                <w:sz w:val="14"/>
                <w:szCs w:val="14"/>
                <w:color w:val="auto"/>
              </w:rPr>
              <w:t>6/30/2021</w:t>
            </w:r>
          </w:p>
        </w:tc>
        <w:tc>
          <w:tcPr>
            <w:tcW w:w="80" w:type="dxa"/>
            <w:vAlign w:val="bottom"/>
          </w:tcPr>
          <w:p>
            <w:pPr>
              <w:spacing w:after="0"/>
              <w:rPr>
                <w:sz w:val="17"/>
                <w:szCs w:val="17"/>
                <w:color w:val="auto"/>
              </w:rPr>
            </w:pPr>
          </w:p>
        </w:tc>
        <w:tc>
          <w:tcPr>
            <w:tcW w:w="900" w:type="dxa"/>
            <w:vAlign w:val="bottom"/>
          </w:tcPr>
          <w:p>
            <w:pPr>
              <w:jc w:val="right"/>
              <w:ind w:right="45"/>
              <w:spacing w:after="0"/>
              <w:rPr>
                <w:sz w:val="20"/>
                <w:szCs w:val="20"/>
                <w:color w:val="auto"/>
              </w:rPr>
            </w:pPr>
            <w:r>
              <w:rPr>
                <w:rFonts w:ascii="Arial" w:cs="Arial" w:eastAsia="Arial" w:hAnsi="Arial"/>
                <w:sz w:val="14"/>
                <w:szCs w:val="14"/>
                <w:color w:val="auto"/>
              </w:rPr>
              <w:t>% change</w:t>
            </w:r>
          </w:p>
        </w:tc>
      </w:tr>
      <w:tr>
        <w:trPr>
          <w:trHeight w:val="198"/>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42.7</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45.2</w:t>
            </w:r>
          </w:p>
        </w:tc>
        <w:tc>
          <w:tcPr>
            <w:tcW w:w="10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12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43.2</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right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43.0</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45.3</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w:t>
            </w:r>
          </w:p>
        </w:tc>
      </w:tr>
      <w:tr>
        <w:trPr>
          <w:trHeight w:val="340"/>
        </w:trPr>
        <w:tc>
          <w:tcPr>
            <w:tcW w:w="960" w:type="dxa"/>
            <w:vAlign w:val="bottom"/>
          </w:tcPr>
          <w:p>
            <w:pPr>
              <w:jc w:val="right"/>
              <w:spacing w:after="0"/>
              <w:rPr>
                <w:sz w:val="20"/>
                <w:szCs w:val="20"/>
                <w:color w:val="auto"/>
              </w:rPr>
            </w:pPr>
            <w:r>
              <w:rPr>
                <w:rFonts w:ascii="Arial" w:cs="Arial" w:eastAsia="Arial" w:hAnsi="Arial"/>
                <w:sz w:val="15"/>
                <w:szCs w:val="15"/>
                <w:color w:val="auto"/>
              </w:rPr>
              <w:t>39.1</w:t>
            </w:r>
          </w:p>
        </w:tc>
        <w:tc>
          <w:tcPr>
            <w:tcW w:w="100" w:type="dxa"/>
            <w:vAlign w:val="bottom"/>
          </w:tcPr>
          <w:p>
            <w:pPr>
              <w:spacing w:after="0"/>
              <w:rPr>
                <w:sz w:val="24"/>
                <w:szCs w:val="24"/>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45.2</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(13.5)%</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44.4</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(11.9)%</w:t>
            </w:r>
          </w:p>
        </w:tc>
        <w:tc>
          <w:tcPr>
            <w:tcW w:w="120" w:type="dxa"/>
            <w:vAlign w:val="bottom"/>
            <w:tcBorders>
              <w:right w:val="single" w:sz="8" w:color="auto"/>
            </w:tcBorders>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41.8</w:t>
            </w:r>
          </w:p>
        </w:tc>
        <w:tc>
          <w:tcPr>
            <w:tcW w:w="1120" w:type="dxa"/>
            <w:vAlign w:val="bottom"/>
            <w:gridSpan w:val="3"/>
          </w:tcPr>
          <w:p>
            <w:pPr>
              <w:jc w:val="right"/>
              <w:ind w:right="4"/>
              <w:spacing w:after="0"/>
              <w:rPr>
                <w:sz w:val="20"/>
                <w:szCs w:val="20"/>
                <w:color w:val="auto"/>
              </w:rPr>
            </w:pPr>
            <w:r>
              <w:rPr>
                <w:rFonts w:ascii="Arial" w:cs="Arial" w:eastAsia="Arial" w:hAnsi="Arial"/>
                <w:sz w:val="15"/>
                <w:szCs w:val="15"/>
                <w:color w:val="auto"/>
              </w:rPr>
              <w:t>45.3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-350520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2940" w:space="180"/>
            <w:col w:w="8120"/>
          </w:cols>
          <w:pgMar w:left="320" w:top="10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066" w:right="339" w:bottom="1440" w:gutter="0" w:footer="0" w:header="0"/>
          <w:type w:val="continuous"/>
        </w:sectPr>
      </w:pPr>
    </w:p>
    <w:bookmarkStart w:id="60" w:name="page61"/>
    <w:bookmarkEnd w:id="60"/>
    <w:p>
      <w:pPr>
        <w:ind w:right="240"/>
        <w:spacing w:after="0" w:line="355" w:lineRule="auto"/>
        <w:rPr>
          <w:sz w:val="20"/>
          <w:szCs w:val="20"/>
          <w:color w:val="auto"/>
        </w:rPr>
      </w:pPr>
      <w:r>
        <w:rPr>
          <w:rFonts w:ascii="Arial" w:cs="Arial" w:eastAsia="Arial" w:hAnsi="Arial"/>
          <w:sz w:val="18"/>
          <w:szCs w:val="18"/>
          <w:color w:val="auto"/>
        </w:rPr>
        <w:t>The components of the change in assets under management, by vehicle and asset class, are shown in the tables below for the six months ended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auto"/>
            </w:tcBorders>
            <w:gridSpan w:val="6"/>
            <w:shd w:val="clear" w:color="auto" w:fill="CCEEFF"/>
          </w:tcPr>
          <w:p>
            <w:pPr>
              <w:ind w:left="440"/>
              <w:spacing w:after="0"/>
              <w:rPr>
                <w:sz w:val="20"/>
                <w:szCs w:val="20"/>
                <w:color w:val="auto"/>
              </w:rPr>
            </w:pPr>
            <w:r>
              <w:rPr>
                <w:rFonts w:ascii="Arial" w:cs="Arial" w:eastAsia="Arial" w:hAnsi="Arial"/>
                <w:sz w:val="14"/>
                <w:szCs w:val="14"/>
                <w:color w:val="auto"/>
              </w:rPr>
              <w:t>Six months ended 6/30/2022</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7" w:lineRule="exact"/>
              <w:rPr>
                <w:sz w:val="20"/>
                <w:szCs w:val="20"/>
                <w:color w:val="auto"/>
              </w:rPr>
            </w:pPr>
            <w:r>
              <w:rPr>
                <w:rFonts w:ascii="Arial" w:cs="Arial" w:eastAsia="Arial" w:hAnsi="Arial"/>
                <w:sz w:val="14"/>
                <w:szCs w:val="14"/>
                <w:color w:val="auto"/>
              </w:rPr>
              <w:t>Subadvised funds</w:t>
            </w:r>
          </w:p>
        </w:tc>
        <w:tc>
          <w:tcPr>
            <w:tcW w:w="20" w:type="dxa"/>
            <w:vAlign w:val="bottom"/>
          </w:tcPr>
          <w:p>
            <w:pPr>
              <w:spacing w:after="0"/>
              <w:rPr>
                <w:sz w:val="12"/>
                <w:szCs w:val="12"/>
                <w:color w:val="auto"/>
              </w:rPr>
            </w:pPr>
          </w:p>
        </w:tc>
        <w:tc>
          <w:tcPr>
            <w:tcW w:w="1520" w:type="dxa"/>
            <w:vAlign w:val="bottom"/>
            <w:gridSpan w:val="3"/>
          </w:tcPr>
          <w:p>
            <w:pPr>
              <w:jc w:val="center"/>
              <w:ind w:right="80"/>
              <w:spacing w:after="0" w:line="147" w:lineRule="exact"/>
              <w:rPr>
                <w:sz w:val="20"/>
                <w:szCs w:val="20"/>
                <w:color w:val="auto"/>
              </w:rPr>
            </w:pPr>
            <w:r>
              <w:rPr>
                <w:rFonts w:ascii="Arial" w:cs="Arial" w:eastAsia="Arial" w:hAnsi="Arial"/>
                <w:sz w:val="14"/>
                <w:szCs w:val="14"/>
                <w:color w:val="auto"/>
              </w:rPr>
              <w:t>Collective investment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4"/>
            <w:vMerge w:val="restart"/>
          </w:tcPr>
          <w:p>
            <w:pPr>
              <w:ind w:left="100"/>
              <w:spacing w:after="0"/>
              <w:rPr>
                <w:sz w:val="20"/>
                <w:szCs w:val="20"/>
                <w:color w:val="auto"/>
              </w:rPr>
            </w:pPr>
            <w:r>
              <w:rPr>
                <w:rFonts w:ascii="Arial" w:cs="Arial" w:eastAsia="Arial" w:hAnsi="Arial"/>
                <w:sz w:val="14"/>
                <w:szCs w:val="14"/>
                <w:color w:val="auto"/>
              </w:rPr>
              <w:t>U.S. mutual funds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and separate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rPr>
              <w:t>trusts and other</w:t>
            </w:r>
          </w:p>
        </w:tc>
        <w:tc>
          <w:tcPr>
            <w:tcW w:w="340" w:type="dxa"/>
            <w:vAlign w:val="bottom"/>
          </w:tcPr>
          <w:p>
            <w:pPr>
              <w:spacing w:after="0"/>
              <w:rPr>
                <w:sz w:val="12"/>
                <w:szCs w:val="12"/>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3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accounts</w:t>
            </w:r>
          </w:p>
        </w:tc>
        <w:tc>
          <w:tcPr>
            <w:tcW w:w="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color w:val="auto"/>
              </w:rPr>
              <w:t>investment products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437.1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75"/>
        </w:trPr>
        <w:tc>
          <w:tcPr>
            <w:tcW w:w="3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before client transfers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Client transfers</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after client transfers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Net market depreciation and losses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(189.2)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8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(378.1)</w:t>
            </w:r>
          </w:p>
        </w:tc>
        <w:tc>
          <w:tcPr>
            <w:tcW w:w="0" w:type="dxa"/>
            <w:vAlign w:val="bottom"/>
          </w:tcPr>
          <w:p>
            <w:pPr>
              <w:spacing w:after="0"/>
              <w:rPr>
                <w:sz w:val="1"/>
                <w:szCs w:val="1"/>
                <w:color w:val="auto"/>
              </w:rPr>
            </w:pPr>
          </w:p>
        </w:tc>
      </w:tr>
      <w:tr>
        <w:trPr>
          <w:trHeight w:val="23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June 30, 2022</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332.8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4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060" w:type="dxa"/>
            <w:vAlign w:val="bottom"/>
            <w:tcBorders>
              <w:bottom w:val="single" w:sz="8" w:color="auto"/>
            </w:tcBorders>
            <w:gridSpan w:val="9"/>
            <w:shd w:val="clear" w:color="auto" w:fill="CCEEFF"/>
          </w:tcPr>
          <w:p>
            <w:pPr>
              <w:jc w:val="right"/>
              <w:spacing w:after="0"/>
              <w:rPr>
                <w:sz w:val="20"/>
                <w:szCs w:val="20"/>
                <w:color w:val="auto"/>
              </w:rPr>
            </w:pPr>
            <w:r>
              <w:rPr>
                <w:rFonts w:ascii="Arial" w:cs="Arial" w:eastAsia="Arial" w:hAnsi="Arial"/>
                <w:sz w:val="14"/>
                <w:szCs w:val="14"/>
                <w:color w:val="auto"/>
              </w:rPr>
              <w:t>Six months ended 6/30/2022</w:t>
            </w:r>
          </w:p>
        </w:tc>
        <w:tc>
          <w:tcPr>
            <w:tcW w:w="1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200"/>
              <w:spacing w:after="0" w:line="151" w:lineRule="exact"/>
              <w:rPr>
                <w:sz w:val="20"/>
                <w:szCs w:val="20"/>
                <w:color w:val="auto"/>
              </w:rPr>
            </w:pPr>
            <w:r>
              <w:rPr>
                <w:rFonts w:ascii="Arial" w:cs="Arial" w:eastAsia="Arial" w:hAnsi="Arial"/>
                <w:sz w:val="14"/>
                <w:szCs w:val="14"/>
                <w:color w:val="auto"/>
              </w:rPr>
              <w:t>Fixed income,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color w:val="auto"/>
              </w:rPr>
              <w:t>Equity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rPr>
              <w:t>including money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rPr>
              <w:t>Multi-asset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Alternatives</w:t>
            </w:r>
          </w:p>
        </w:tc>
        <w:tc>
          <w:tcPr>
            <w:tcW w:w="340" w:type="dxa"/>
            <w:vAlign w:val="bottom"/>
          </w:tcPr>
          <w:p>
            <w:pPr>
              <w:spacing w:after="0"/>
              <w:rPr>
                <w:sz w:val="12"/>
                <w:szCs w:val="12"/>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3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color w:val="auto"/>
              </w:rPr>
              <w:t>market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75"/>
        </w:trPr>
        <w:tc>
          <w:tcPr>
            <w:tcW w:w="3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market depreciation and losses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(257.5)</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(13.1)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0" w:type="dxa"/>
            <w:vAlign w:val="bottom"/>
          </w:tcPr>
          <w:p>
            <w:pPr>
              <w:spacing w:after="0"/>
              <w:rPr>
                <w:sz w:val="1"/>
                <w:szCs w:val="1"/>
                <w:color w:val="auto"/>
              </w:rPr>
            </w:pPr>
          </w:p>
        </w:tc>
      </w:tr>
      <w:tr>
        <w:trPr>
          <w:trHeight w:val="142"/>
        </w:trPr>
        <w:tc>
          <w:tcPr>
            <w:tcW w:w="3740" w:type="dxa"/>
            <w:vAlign w:val="bottom"/>
          </w:tcPr>
          <w:p>
            <w:pPr>
              <w:ind w:left="20"/>
              <w:spacing w:after="0" w:line="142" w:lineRule="exact"/>
              <w:rPr>
                <w:sz w:val="20"/>
                <w:szCs w:val="20"/>
                <w:color w:val="auto"/>
              </w:rPr>
            </w:pPr>
            <w:r>
              <w:rPr>
                <w:rFonts w:ascii="Arial" w:cs="Arial" w:eastAsia="Arial" w:hAnsi="Arial"/>
                <w:sz w:val="16"/>
                <w:szCs w:val="16"/>
                <w:color w:val="auto"/>
              </w:rPr>
              <w:t>Assets under management at</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699.6</w:t>
            </w:r>
          </w:p>
        </w:tc>
        <w:tc>
          <w:tcPr>
            <w:tcW w:w="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171.1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395.9</w:t>
            </w:r>
          </w:p>
        </w:tc>
        <w:tc>
          <w:tcPr>
            <w:tcW w:w="8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12"/>
                <w:szCs w:val="12"/>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1,309.7</w:t>
            </w:r>
          </w:p>
        </w:tc>
        <w:tc>
          <w:tcPr>
            <w:tcW w:w="0" w:type="dxa"/>
            <w:vAlign w:val="bottom"/>
          </w:tcPr>
          <w:p>
            <w:pPr>
              <w:spacing w:after="0"/>
              <w:rPr>
                <w:sz w:val="1"/>
                <w:szCs w:val="1"/>
                <w:color w:val="auto"/>
              </w:rPr>
            </w:pP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color w:val="auto"/>
              </w:rPr>
              <w:t>June 30, 2022</w:t>
            </w:r>
          </w:p>
        </w:tc>
        <w:tc>
          <w:tcPr>
            <w:tcW w:w="3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components of net cash flows after client transfers, by vehicle and asset class, are shown in the table below for the three and six months ended June 30,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rPr>
              <w:t>Three months</w:t>
            </w:r>
          </w:p>
        </w:tc>
        <w:tc>
          <w:tcPr>
            <w:tcW w:w="12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5"/>
        </w:trPr>
        <w:tc>
          <w:tcPr>
            <w:tcW w:w="8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ended</w:t>
            </w:r>
          </w:p>
        </w:tc>
        <w:tc>
          <w:tcPr>
            <w:tcW w:w="12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billions)</w:t>
            </w: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color w:val="auto"/>
              </w:rPr>
              <w:t>6/30/2022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6/30/2022</w:t>
            </w:r>
          </w:p>
        </w:tc>
        <w:tc>
          <w:tcPr>
            <w:tcW w:w="0" w:type="dxa"/>
            <w:vAlign w:val="bottom"/>
          </w:tcPr>
          <w:p>
            <w:pPr>
              <w:spacing w:after="0"/>
              <w:rPr>
                <w:sz w:val="1"/>
                <w:szCs w:val="1"/>
                <w:color w:val="auto"/>
              </w:rPr>
            </w:pPr>
          </w:p>
        </w:tc>
      </w:tr>
      <w:tr>
        <w:trPr>
          <w:trHeight w:val="183"/>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720" w:type="dxa"/>
            <w:vAlign w:val="bottom"/>
          </w:tcPr>
          <w:p>
            <w:pPr>
              <w:ind w:left="140"/>
              <w:spacing w:after="0"/>
              <w:rPr>
                <w:sz w:val="20"/>
                <w:szCs w:val="20"/>
                <w:color w:val="auto"/>
              </w:rPr>
            </w:pPr>
            <w:r>
              <w:rPr>
                <w:rFonts w:ascii="Arial" w:cs="Arial" w:eastAsia="Arial" w:hAnsi="Arial"/>
                <w:sz w:val="14"/>
                <w:szCs w:val="14"/>
                <w:color w:val="auto"/>
              </w:rPr>
              <w:t>Equity</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income, including money market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Multi-asset</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0"/>
        </w:trPr>
        <w:tc>
          <w:tcPr>
            <w:tcW w:w="8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78"/>
        </w:trPr>
        <w:tc>
          <w:tcPr>
            <w:tcW w:w="8720" w:type="dxa"/>
            <w:vAlign w:val="bottom"/>
          </w:tcPr>
          <w:p>
            <w:pPr>
              <w:ind w:left="20"/>
              <w:spacing w:after="0"/>
              <w:rPr>
                <w:sz w:val="20"/>
                <w:szCs w:val="20"/>
                <w:color w:val="auto"/>
              </w:rPr>
            </w:pPr>
            <w:r>
              <w:rPr>
                <w:rFonts w:ascii="Arial" w:cs="Arial" w:eastAsia="Arial" w:hAnsi="Arial"/>
                <w:sz w:val="14"/>
                <w:szCs w:val="14"/>
                <w:color w:val="auto"/>
              </w:rPr>
              <w:t>Subadvised funds, separate accounts, collective investment trusts, and other investment products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98"/>
        </w:trPr>
        <w:tc>
          <w:tcPr>
            <w:tcW w:w="872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7"/>
        </w:trPr>
        <w:tc>
          <w:tcPr>
            <w:tcW w:w="8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8"/>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Alternatives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6"/>
        </w:trPr>
        <w:tc>
          <w:tcPr>
            <w:tcW w:w="8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0"/>
        </w:trPr>
        <w:tc>
          <w:tcPr>
            <w:tcW w:w="8720" w:type="dxa"/>
            <w:vAlign w:val="bottom"/>
          </w:tcPr>
          <w:p>
            <w:pPr>
              <w:ind w:left="20"/>
              <w:spacing w:after="0"/>
              <w:rPr>
                <w:sz w:val="20"/>
                <w:szCs w:val="20"/>
                <w:color w:val="auto"/>
              </w:rPr>
            </w:pPr>
            <w:r>
              <w:rPr>
                <w:rFonts w:ascii="Arial" w:cs="Arial" w:eastAsia="Arial" w:hAnsi="Arial"/>
                <w:sz w:val="14"/>
                <w:szCs w:val="14"/>
                <w:color w:val="auto"/>
              </w:rPr>
              <w:t>Total net cash flows after client transfers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6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3"/>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(Loss) (in millions)</w:t>
            </w:r>
          </w:p>
        </w:tc>
        <w:tc>
          <w:tcPr>
            <w:tcW w:w="200" w:type="dxa"/>
            <w:vAlign w:val="bottom"/>
            <w:shd w:val="clear" w:color="auto" w:fill="CCEEFF"/>
          </w:tcPr>
          <w:p>
            <w:pPr>
              <w:spacing w:after="0"/>
              <w:rPr>
                <w:sz w:val="17"/>
                <w:szCs w:val="17"/>
                <w:color w:val="auto"/>
              </w:rPr>
            </w:pPr>
          </w:p>
        </w:tc>
        <w:tc>
          <w:tcPr>
            <w:tcW w:w="2440" w:type="dxa"/>
            <w:vAlign w:val="bottom"/>
            <w:tcBorders>
              <w:right w:val="single" w:sz="8" w:color="auto"/>
            </w:tcBorders>
            <w:gridSpan w:val="5"/>
            <w:shd w:val="clear" w:color="auto" w:fill="CCEEFF"/>
          </w:tcPr>
          <w:p>
            <w:pPr>
              <w:ind w:left="400"/>
              <w:spacing w:after="0"/>
              <w:rPr>
                <w:sz w:val="20"/>
                <w:szCs w:val="20"/>
                <w:color w:val="auto"/>
              </w:rPr>
            </w:pPr>
            <w:r>
              <w:rPr>
                <w:rFonts w:ascii="Arial" w:cs="Arial" w:eastAsia="Arial" w:hAnsi="Arial"/>
                <w:sz w:val="14"/>
                <w:szCs w:val="14"/>
                <w:color w:val="auto"/>
              </w:rPr>
              <w:t>Three months ended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20" w:type="dxa"/>
            <w:vAlign w:val="bottom"/>
            <w:gridSpan w:val="4"/>
            <w:shd w:val="clear" w:color="auto" w:fill="CCEEFF"/>
          </w:tcPr>
          <w:p>
            <w:pPr>
              <w:jc w:val="right"/>
              <w:ind w:right="608"/>
              <w:spacing w:after="0"/>
              <w:rPr>
                <w:sz w:val="20"/>
                <w:szCs w:val="20"/>
                <w:color w:val="auto"/>
              </w:rPr>
            </w:pPr>
            <w:r>
              <w:rPr>
                <w:rFonts w:ascii="Arial" w:cs="Arial" w:eastAsia="Arial" w:hAnsi="Arial"/>
                <w:sz w:val="14"/>
                <w:szCs w:val="14"/>
                <w:color w:val="auto"/>
              </w:rPr>
              <w:t>Six months ended</w:t>
            </w:r>
          </w:p>
        </w:tc>
      </w:tr>
      <w:tr>
        <w:trPr>
          <w:trHeight w:val="192"/>
        </w:trPr>
        <w:tc>
          <w:tcPr>
            <w:tcW w:w="60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6/30/2022</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6/30/2021</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6/30/2022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6/30/2021</w:t>
            </w:r>
          </w:p>
        </w:tc>
      </w:tr>
      <w:tr>
        <w:trPr>
          <w:trHeight w:val="187"/>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8"/>
        </w:trPr>
        <w:tc>
          <w:tcPr>
            <w:tcW w:w="6000" w:type="dxa"/>
            <w:vAlign w:val="bottom"/>
          </w:tcPr>
          <w:p>
            <w:pPr>
              <w:ind w:left="140"/>
              <w:spacing w:after="0"/>
              <w:rPr>
                <w:sz w:val="20"/>
                <w:szCs w:val="20"/>
                <w:color w:val="auto"/>
              </w:rPr>
            </w:pPr>
            <w:r>
              <w:rPr>
                <w:rFonts w:ascii="Arial" w:cs="Arial" w:eastAsia="Arial" w:hAnsi="Arial"/>
                <w:sz w:val="14"/>
                <w:szCs w:val="14"/>
                <w:color w:val="auto"/>
              </w:rPr>
              <w:t>Cash and discretionary investments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98"/>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Market-related gains (losses) and equity in earnings (losses)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r>
      <w:tr>
        <w:trPr>
          <w:trHeight w:val="200"/>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net gains (losses) from cash and discretionary investments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17.8</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w:t>
            </w:r>
          </w:p>
        </w:tc>
      </w:tr>
      <w:tr>
        <w:trPr>
          <w:trHeight w:val="198"/>
        </w:trPr>
        <w:tc>
          <w:tcPr>
            <w:tcW w:w="6000" w:type="dxa"/>
            <w:vAlign w:val="bottom"/>
          </w:tcPr>
          <w:p>
            <w:pPr>
              <w:ind w:left="140"/>
              <w:spacing w:after="0"/>
              <w:rPr>
                <w:sz w:val="20"/>
                <w:szCs w:val="20"/>
                <w:color w:val="auto"/>
              </w:rPr>
            </w:pPr>
            <w:r>
              <w:rPr>
                <w:rFonts w:ascii="Arial" w:cs="Arial" w:eastAsia="Arial" w:hAnsi="Arial"/>
                <w:sz w:val="14"/>
                <w:szCs w:val="14"/>
                <w:color w:val="auto"/>
              </w:rPr>
              <w:t>Seed capital investments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6000" w:type="dxa"/>
            <w:vAlign w:val="bottom"/>
          </w:tcPr>
          <w:p>
            <w:pPr>
              <w:ind w:left="220"/>
              <w:spacing w:after="0"/>
              <w:rPr>
                <w:sz w:val="20"/>
                <w:szCs w:val="20"/>
                <w:color w:val="auto"/>
              </w:rPr>
            </w:pPr>
            <w:r>
              <w:rPr>
                <w:rFonts w:ascii="Arial" w:cs="Arial" w:eastAsia="Arial" w:hAnsi="Arial"/>
                <w:sz w:val="14"/>
                <w:szCs w:val="14"/>
                <w:color w:val="auto"/>
              </w:rPr>
              <w:t>Market-related gains (losses) and equity in earnings (losses)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29.4</w:t>
            </w:r>
          </w:p>
        </w:tc>
      </w:tr>
      <w:tr>
        <w:trPr>
          <w:trHeight w:val="207"/>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recognized upon deconsolidation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98"/>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37.1</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r>
      <w:tr>
        <w:trPr>
          <w:trHeight w:val="20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gains (losses) from non-consolidated T. Rowe Price investment products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72.4</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122.8</w:t>
            </w:r>
          </w:p>
        </w:tc>
      </w:tr>
      <w:tr>
        <w:trPr>
          <w:trHeight w:val="198"/>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investment income</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r>
      <w:tr>
        <w:trPr>
          <w:trHeight w:val="20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gains (losses) on investments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87.7</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156.3</w:t>
            </w:r>
          </w:p>
        </w:tc>
      </w:tr>
      <w:tr>
        <w:trPr>
          <w:trHeight w:val="198"/>
        </w:trPr>
        <w:tc>
          <w:tcPr>
            <w:tcW w:w="6000" w:type="dxa"/>
            <w:vAlign w:val="bottom"/>
          </w:tcPr>
          <w:p>
            <w:pPr>
              <w:ind w:left="20"/>
              <w:spacing w:after="0"/>
              <w:rPr>
                <w:sz w:val="20"/>
                <w:szCs w:val="20"/>
                <w:color w:val="auto"/>
              </w:rPr>
            </w:pPr>
            <w:r>
              <w:rPr>
                <w:rFonts w:ascii="Arial" w:cs="Arial" w:eastAsia="Arial" w:hAnsi="Arial"/>
                <w:sz w:val="14"/>
                <w:szCs w:val="14"/>
                <w:color w:val="auto"/>
              </w:rPr>
              <w:t>Net gains (losses) on consolidated sponsored investment portfolios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55.5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92.7</w:t>
            </w:r>
          </w:p>
        </w:tc>
      </w:tr>
      <w:tr>
        <w:trPr>
          <w:trHeight w:val="203"/>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(loss), including foreign currency gains and losses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40"/>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(279.9)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143.9</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(478.4)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42"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line="231" w:lineRule="auto"/>
        <w:rPr>
          <w:sz w:val="20"/>
          <w:szCs w:val="20"/>
          <w:color w:val="auto"/>
        </w:rPr>
      </w:pPr>
      <w:r>
        <w:rPr>
          <w:rFonts w:ascii="Arial" w:cs="Arial" w:eastAsia="Arial" w:hAnsi="Arial"/>
          <w:sz w:val="14"/>
          <w:szCs w:val="14"/>
          <w:color w:val="auto"/>
        </w:rPr>
        <w:t>Cash provided by (used in) operating activities, including $122.9 of stock-based</w:t>
      </w:r>
    </w:p>
    <w:p>
      <w:pPr>
        <w:spacing w:after="0" w:line="1" w:lineRule="exact"/>
        <w:rPr>
          <w:sz w:val="20"/>
          <w:szCs w:val="20"/>
          <w:color w:val="auto"/>
        </w:rPr>
      </w:pPr>
    </w:p>
    <w:p>
      <w:pPr>
        <w:ind w:left="20" w:right="500"/>
        <w:spacing w:after="0" w:line="211" w:lineRule="auto"/>
        <w:rPr>
          <w:sz w:val="20"/>
          <w:szCs w:val="20"/>
          <w:color w:val="auto"/>
        </w:rPr>
      </w:pPr>
      <w:r>
        <w:rPr>
          <w:rFonts w:ascii="Arial" w:cs="Arial" w:eastAsia="Arial" w:hAnsi="Arial"/>
          <w:sz w:val="14"/>
          <w:szCs w:val="14"/>
          <w:color w:val="auto"/>
        </w:rPr>
        <w:t>compensation expense, $109.2 of depreciation expense, $106.7 of</w:t>
      </w:r>
    </w:p>
    <w:p>
      <w:pPr>
        <w:ind w:left="20"/>
        <w:spacing w:after="0" w:line="222" w:lineRule="auto"/>
        <w:rPr>
          <w:sz w:val="20"/>
          <w:szCs w:val="20"/>
          <w:color w:val="auto"/>
        </w:rPr>
      </w:pPr>
      <w:r>
        <w:rPr>
          <w:rFonts w:ascii="Arial" w:cs="Arial" w:eastAsia="Arial" w:hAnsi="Arial"/>
          <w:sz w:val="14"/>
          <w:szCs w:val="14"/>
          <w:color w:val="auto"/>
        </w:rPr>
        <w:t>amortization of acquisition-related assets</w:t>
      </w:r>
    </w:p>
    <w:p>
      <w:pPr>
        <w:ind w:left="20" w:right="80"/>
        <w:spacing w:after="0" w:line="211" w:lineRule="auto"/>
        <w:rPr>
          <w:sz w:val="20"/>
          <w:szCs w:val="20"/>
          <w:color w:val="auto"/>
        </w:rPr>
      </w:pPr>
      <w:r>
        <w:rPr>
          <w:rFonts w:ascii="Arial" w:cs="Arial" w:eastAsia="Arial" w:hAnsi="Arial"/>
          <w:sz w:val="14"/>
          <w:szCs w:val="14"/>
          <w:color w:val="auto"/>
        </w:rPr>
        <w:t>and retention arrangements, and $(95.8) of a fair value remeasurement of the</w:t>
      </w:r>
    </w:p>
    <w:p>
      <w:pPr>
        <w:ind w:left="20"/>
        <w:spacing w:after="0"/>
        <w:rPr>
          <w:sz w:val="20"/>
          <w:szCs w:val="20"/>
          <w:color w:val="auto"/>
        </w:rPr>
      </w:pPr>
      <w:r>
        <w:rPr>
          <w:rFonts w:ascii="Arial" w:cs="Arial" w:eastAsia="Arial" w:hAnsi="Arial"/>
          <w:sz w:val="14"/>
          <w:szCs w:val="14"/>
          <w:color w:val="auto"/>
        </w:rPr>
        <w:t>contingent consideration liability in 2022</w:t>
      </w:r>
    </w:p>
    <w:p>
      <w:pPr>
        <w:spacing w:after="0" w:line="15" w:lineRule="exact"/>
        <w:rPr>
          <w:sz w:val="20"/>
          <w:szCs w:val="20"/>
          <w:color w:val="auto"/>
        </w:rPr>
      </w:pPr>
    </w:p>
    <w:p>
      <w:pPr>
        <w:ind w:left="20" w:right="60"/>
        <w:spacing w:after="0" w:line="230" w:lineRule="auto"/>
        <w:rPr>
          <w:sz w:val="20"/>
          <w:szCs w:val="20"/>
          <w:color w:val="auto"/>
        </w:rPr>
      </w:pPr>
      <w:r>
        <w:rPr>
          <w:rFonts w:ascii="Arial" w:cs="Arial" w:eastAsia="Arial" w:hAnsi="Arial"/>
          <w:sz w:val="14"/>
          <w:szCs w:val="14"/>
          <w:color w:val="auto"/>
        </w:rPr>
        <w:t>Cash provided by (used in) investing activities, including $(122.8) for additions</w:t>
      </w:r>
    </w:p>
    <w:p>
      <w:pPr>
        <w:spacing w:after="0" w:line="1" w:lineRule="exact"/>
        <w:rPr>
          <w:sz w:val="20"/>
          <w:szCs w:val="20"/>
          <w:color w:val="auto"/>
        </w:rPr>
      </w:pPr>
    </w:p>
    <w:p>
      <w:pPr>
        <w:ind w:left="20" w:right="40"/>
        <w:spacing w:after="0" w:line="211" w:lineRule="auto"/>
        <w:rPr>
          <w:sz w:val="20"/>
          <w:szCs w:val="20"/>
          <w:color w:val="auto"/>
        </w:rPr>
      </w:pPr>
      <w:r>
        <w:rPr>
          <w:rFonts w:ascii="Arial" w:cs="Arial" w:eastAsia="Arial" w:hAnsi="Arial"/>
          <w:sz w:val="14"/>
          <w:szCs w:val="14"/>
          <w:color w:val="auto"/>
        </w:rPr>
        <w:t>to property, equipment and software, net, $(31.2) of purchases and $141.4 of</w:t>
      </w:r>
    </w:p>
    <w:p>
      <w:pPr>
        <w:ind w:left="20" w:right="280"/>
        <w:spacing w:after="0" w:line="242" w:lineRule="auto"/>
        <w:rPr>
          <w:sz w:val="20"/>
          <w:szCs w:val="20"/>
          <w:color w:val="auto"/>
        </w:rPr>
      </w:pPr>
      <w:r>
        <w:rPr>
          <w:rFonts w:ascii="Arial" w:cs="Arial" w:eastAsia="Arial" w:hAnsi="Arial"/>
          <w:sz w:val="14"/>
          <w:szCs w:val="14"/>
          <w:color w:val="auto"/>
        </w:rPr>
        <w:t>dispositions in investment products in 2022</w:t>
      </w:r>
    </w:p>
    <w:p>
      <w:pPr>
        <w:ind w:left="20" w:right="320"/>
        <w:spacing w:after="0" w:line="230" w:lineRule="auto"/>
        <w:rPr>
          <w:sz w:val="20"/>
          <w:szCs w:val="20"/>
          <w:color w:val="auto"/>
        </w:rPr>
      </w:pPr>
      <w:r>
        <w:rPr>
          <w:rFonts w:ascii="Arial" w:cs="Arial" w:eastAsia="Arial" w:hAnsi="Arial"/>
          <w:sz w:val="14"/>
          <w:szCs w:val="14"/>
          <w:color w:val="auto"/>
        </w:rPr>
        <w:t>Cash provided by (used in) financing activities, including T. Rowe Price</w:t>
      </w:r>
    </w:p>
    <w:p>
      <w:pPr>
        <w:spacing w:after="0" w:line="1" w:lineRule="exact"/>
        <w:rPr>
          <w:sz w:val="20"/>
          <w:szCs w:val="20"/>
          <w:color w:val="auto"/>
        </w:rPr>
      </w:pPr>
    </w:p>
    <w:p>
      <w:pPr>
        <w:ind w:left="20" w:right="200"/>
        <w:spacing w:after="0" w:line="231" w:lineRule="auto"/>
        <w:rPr>
          <w:sz w:val="20"/>
          <w:szCs w:val="20"/>
          <w:color w:val="auto"/>
        </w:rPr>
      </w:pPr>
      <w:r>
        <w:rPr>
          <w:rFonts w:ascii="Arial" w:cs="Arial" w:eastAsia="Arial" w:hAnsi="Arial"/>
          <w:sz w:val="14"/>
          <w:szCs w:val="14"/>
          <w:color w:val="auto"/>
        </w:rPr>
        <w:t>common stock repurchases of $510.4* and dividends paid of $556.2 in 2022</w:t>
      </w:r>
    </w:p>
    <w:p>
      <w:pPr>
        <w:spacing w:after="0" w:line="14" w:lineRule="exact"/>
        <w:rPr>
          <w:sz w:val="20"/>
          <w:szCs w:val="20"/>
          <w:color w:val="auto"/>
        </w:rPr>
      </w:pPr>
    </w:p>
    <w:p>
      <w:pPr>
        <w:ind w:left="20" w:right="40"/>
        <w:spacing w:after="0" w:line="252"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1" w:lineRule="exact"/>
        <w:rPr>
          <w:sz w:val="20"/>
          <w:szCs w:val="20"/>
          <w:color w:val="auto"/>
        </w:rPr>
      </w:pPr>
    </w:p>
    <w:p>
      <w:pPr>
        <w:ind w:left="20" w:right="40"/>
        <w:spacing w:after="0" w:line="263"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rPr>
              <w:t>6/30/2022</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rPr>
              <w:t>6/30/2021</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1" w:lineRule="exact"/>
              <w:rPr>
                <w:sz w:val="20"/>
                <w:szCs w:val="20"/>
                <w:color w:val="auto"/>
              </w:rPr>
            </w:pPr>
            <w:r>
              <w:rPr>
                <w:rFonts w:ascii="Arial" w:cs="Arial" w:eastAsia="Arial" w:hAnsi="Arial"/>
                <w:sz w:val="14"/>
                <w:szCs w:val="14"/>
                <w:color w:val="auto"/>
              </w:rPr>
              <w:t>Cash flow</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line="151" w:lineRule="exact"/>
              <w:rPr>
                <w:sz w:val="20"/>
                <w:szCs w:val="20"/>
                <w:color w:val="auto"/>
              </w:rPr>
            </w:pPr>
            <w:r>
              <w:rPr>
                <w:rFonts w:ascii="Arial" w:cs="Arial" w:eastAsia="Arial" w:hAnsi="Arial"/>
                <w:sz w:val="14"/>
                <w:szCs w:val="14"/>
                <w:color w:val="auto"/>
              </w:rPr>
              <w:t>Cash flow</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attributable to</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attributable to</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consolidated</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consolidated</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Cash flow</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39" w:lineRule="exact"/>
              <w:rPr>
                <w:sz w:val="20"/>
                <w:szCs w:val="20"/>
                <w:color w:val="auto"/>
              </w:rPr>
            </w:pPr>
            <w:r>
              <w:rPr>
                <w:rFonts w:ascii="Arial" w:cs="Arial" w:eastAsia="Arial" w:hAnsi="Arial"/>
                <w:sz w:val="14"/>
                <w:szCs w:val="14"/>
                <w:color w:val="auto"/>
              </w:rPr>
              <w:t>T. Rowe Price</w:t>
            </w:r>
          </w:p>
        </w:tc>
        <w:tc>
          <w:tcPr>
            <w:tcW w:w="140" w:type="dxa"/>
            <w:vAlign w:val="bottom"/>
          </w:tcPr>
          <w:p>
            <w:pPr>
              <w:spacing w:after="0"/>
              <w:rPr>
                <w:sz w:val="12"/>
                <w:szCs w:val="12"/>
                <w:color w:val="auto"/>
              </w:rPr>
            </w:pPr>
          </w:p>
        </w:tc>
        <w:tc>
          <w:tcPr>
            <w:tcW w:w="128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color w:val="auto"/>
              </w:rPr>
              <w:t>As reported 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Cash flow</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39" w:lineRule="exact"/>
              <w:rPr>
                <w:sz w:val="20"/>
                <w:szCs w:val="20"/>
                <w:color w:val="auto"/>
              </w:rPr>
            </w:pPr>
            <w:r>
              <w:rPr>
                <w:rFonts w:ascii="Arial" w:cs="Arial" w:eastAsia="Arial" w:hAnsi="Arial"/>
                <w:sz w:val="14"/>
                <w:szCs w:val="14"/>
                <w:color w:val="auto"/>
              </w:rPr>
              <w:t>T. Rowe Price</w:t>
            </w:r>
          </w:p>
        </w:tc>
        <w:tc>
          <w:tcPr>
            <w:tcW w:w="140" w:type="dxa"/>
            <w:vAlign w:val="bottom"/>
          </w:tcPr>
          <w:p>
            <w:pPr>
              <w:spacing w:after="0"/>
              <w:rPr>
                <w:sz w:val="12"/>
                <w:szCs w:val="12"/>
                <w:color w:val="auto"/>
              </w:rPr>
            </w:pPr>
          </w:p>
        </w:tc>
        <w:tc>
          <w:tcPr>
            <w:tcW w:w="1160" w:type="dxa"/>
            <w:vAlign w:val="bottom"/>
            <w:vMerge w:val="restart"/>
          </w:tcPr>
          <w:p>
            <w:pPr>
              <w:jc w:val="center"/>
              <w:ind w:right="68"/>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128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attributable to T.</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products, net of</w:t>
            </w:r>
          </w:p>
        </w:tc>
        <w:tc>
          <w:tcPr>
            <w:tcW w:w="1420" w:type="dxa"/>
            <w:vAlign w:val="bottom"/>
            <w:tcBorders>
              <w:right w:val="single" w:sz="8" w:color="auto"/>
            </w:tcBorders>
            <w:gridSpan w:val="3"/>
          </w:tcPr>
          <w:p>
            <w:pPr>
              <w:jc w:val="center"/>
              <w:ind w:right="120"/>
              <w:spacing w:after="0" w:line="145" w:lineRule="exact"/>
              <w:rPr>
                <w:sz w:val="20"/>
                <w:szCs w:val="20"/>
                <w:color w:val="auto"/>
              </w:rPr>
            </w:pPr>
            <w:r>
              <w:rPr>
                <w:rFonts w:ascii="Arial" w:cs="Arial" w:eastAsia="Arial" w:hAnsi="Arial"/>
                <w:sz w:val="14"/>
                <w:szCs w:val="14"/>
                <w:color w:val="auto"/>
              </w:rPr>
              <w:t>statement of 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products, net of</w:t>
            </w:r>
          </w:p>
        </w:tc>
        <w:tc>
          <w:tcPr>
            <w:tcW w:w="1300" w:type="dxa"/>
            <w:vAlign w:val="bottom"/>
            <w:gridSpan w:val="2"/>
          </w:tcPr>
          <w:p>
            <w:pPr>
              <w:jc w:val="center"/>
              <w:spacing w:after="0" w:line="145" w:lineRule="exact"/>
              <w:rPr>
                <w:sz w:val="20"/>
                <w:szCs w:val="20"/>
                <w:color w:val="auto"/>
              </w:rPr>
            </w:pPr>
            <w:r>
              <w:rPr>
                <w:rFonts w:ascii="Arial" w:cs="Arial" w:eastAsia="Arial" w:hAnsi="Arial"/>
                <w:sz w:val="14"/>
                <w:szCs w:val="14"/>
                <w:color w:val="auto"/>
              </w:rPr>
              <w:t>statement of cash</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rPr>
              <w:t>eliminations</w:t>
            </w:r>
          </w:p>
        </w:tc>
        <w:tc>
          <w:tcPr>
            <w:tcW w:w="14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flows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eliminations</w:t>
            </w:r>
          </w:p>
        </w:tc>
        <w:tc>
          <w:tcPr>
            <w:tcW w:w="14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color w:val="auto"/>
              </w:rPr>
              <w:t>flows</w:t>
            </w:r>
          </w:p>
        </w:tc>
        <w:tc>
          <w:tcPr>
            <w:tcW w:w="0" w:type="dxa"/>
            <w:vAlign w:val="bottom"/>
          </w:tcPr>
          <w:p>
            <w:pPr>
              <w:spacing w:after="0"/>
              <w:rPr>
                <w:sz w:val="1"/>
                <w:szCs w:val="1"/>
                <w:color w:val="auto"/>
              </w:rPr>
            </w:pPr>
          </w:p>
        </w:tc>
      </w:tr>
      <w:tr>
        <w:trPr>
          <w:trHeight w:val="1180"/>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1,659.8</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1,727.0</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2,025.2</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(223.2)</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1,802.0</w:t>
            </w:r>
          </w:p>
        </w:tc>
        <w:tc>
          <w:tcPr>
            <w:tcW w:w="0" w:type="dxa"/>
            <w:vAlign w:val="bottom"/>
          </w:tcPr>
          <w:p>
            <w:pPr>
              <w:spacing w:after="0"/>
              <w:rPr>
                <w:sz w:val="1"/>
                <w:szCs w:val="1"/>
                <w:color w:val="auto"/>
              </w:rPr>
            </w:pPr>
          </w:p>
        </w:tc>
      </w:tr>
      <w:tr>
        <w:trPr>
          <w:trHeight w:val="918"/>
        </w:trPr>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129.8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634"/>
        </w:trPr>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(1,065.3)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(1,131.0)</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(791.8)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(492.7)</w:t>
            </w:r>
          </w:p>
        </w:tc>
        <w:tc>
          <w:tcPr>
            <w:tcW w:w="0" w:type="dxa"/>
            <w:vAlign w:val="bottom"/>
          </w:tcPr>
          <w:p>
            <w:pPr>
              <w:spacing w:after="0"/>
              <w:rPr>
                <w:sz w:val="1"/>
                <w:szCs w:val="1"/>
                <w:color w:val="auto"/>
              </w:rPr>
            </w:pPr>
          </w:p>
        </w:tc>
      </w:tr>
      <w:tr>
        <w:trPr>
          <w:trHeight w:val="339"/>
        </w:trPr>
        <w:tc>
          <w:tcPr>
            <w:tcW w:w="10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3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592.9</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563.0</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1,363.2</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-2193925</wp:posOffset>
            </wp:positionV>
            <wp:extent cx="7132320" cy="7626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76263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-848360</wp:posOffset>
            </wp:positionV>
            <wp:extent cx="7132320" cy="403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-231140</wp:posOffset>
            </wp:positionV>
            <wp:extent cx="713232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2680" w:space="60"/>
            <w:col w:w="8500"/>
          </w:cols>
          <w:pgMar w:left="320" w:top="1058" w:right="33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58" w:right="339" w:bottom="1440" w:gutter="0" w:footer="0" w:header="0"/>
          <w:type w:val="continuous"/>
        </w:sectPr>
      </w:pPr>
    </w:p>
    <w:bookmarkStart w:id="62" w:name="page63"/>
    <w:bookmarkEnd w:id="62"/>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Unaudited Condensed Consolidated Balance Sheet Information (in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23495</wp:posOffset>
            </wp:positionV>
            <wp:extent cx="17913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8940" w:space="720"/>
            <w:col w:w="1520"/>
          </w:cols>
          <w:pgMar w:left="320" w:top="1062" w:right="39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 and accrued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 of consolidated T. Rowe Price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equipment and software,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 and intangible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Supplemental savings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Contingent consideration</w:t>
      </w:r>
    </w:p>
    <w:p>
      <w:pPr>
        <w:spacing w:after="0" w:line="42" w:lineRule="exact"/>
        <w:rPr>
          <w:sz w:val="20"/>
          <w:szCs w:val="20"/>
          <w:color w:val="auto"/>
        </w:rPr>
      </w:pPr>
    </w:p>
    <w:p>
      <w:pPr>
        <w:ind w:left="20"/>
        <w:spacing w:after="0" w:line="252" w:lineRule="auto"/>
        <w:rPr>
          <w:sz w:val="20"/>
          <w:szCs w:val="20"/>
          <w:color w:val="auto"/>
        </w:rPr>
      </w:pPr>
      <w:r>
        <w:rPr>
          <w:rFonts w:ascii="Arial" w:cs="Arial" w:eastAsia="Arial" w:hAnsi="Arial"/>
          <w:sz w:val="14"/>
          <w:szCs w:val="14"/>
          <w:color w:val="auto"/>
        </w:rPr>
        <w:t>Total other liabilities, includes $43.1 at June 30, 2022, and $51.5 at December 31, 2021, from consolidated T. Rowe Price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Non-controlling interests*</w:t>
      </w:r>
    </w:p>
    <w:p>
      <w:pPr>
        <w:spacing w:after="0" w:line="40" w:lineRule="exact"/>
        <w:rPr>
          <w:sz w:val="20"/>
          <w:szCs w:val="20"/>
          <w:color w:val="auto"/>
        </w:rPr>
      </w:pPr>
    </w:p>
    <w:p>
      <w:pPr>
        <w:ind w:left="20" w:right="1380"/>
        <w:spacing w:after="0" w:line="264" w:lineRule="auto"/>
        <w:rPr>
          <w:sz w:val="20"/>
          <w:szCs w:val="20"/>
          <w:color w:val="auto"/>
        </w:rPr>
      </w:pPr>
      <w:r>
        <w:rPr>
          <w:rFonts w:ascii="Arial" w:cs="Arial" w:eastAsia="Arial" w:hAnsi="Arial"/>
          <w:sz w:val="14"/>
          <w:szCs w:val="14"/>
          <w:color w:val="auto"/>
        </w:rPr>
        <w:t>Stockholders' equity attributable to T. Rowe Price Group, Inc., 225.7 common shares outstanding at June 30, 2022 and 229.2 common shares outstanding at December 31, 2021</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This includes both redeemable and non-redeemable non-controlling interest in consolidated entities.</w:t>
      </w:r>
    </w:p>
    <w:p>
      <w:pPr>
        <w:spacing w:after="0" w:line="20" w:lineRule="exact"/>
        <w:rPr>
          <w:sz w:val="20"/>
          <w:szCs w:val="20"/>
          <w:color w:val="auto"/>
        </w:rPr>
      </w:pPr>
      <w:r>
        <w:rPr>
          <w:sz w:val="20"/>
          <w:szCs w:val="20"/>
          <w:color w:val="auto"/>
        </w:rPr>
        <w:br w:type="column"/>
      </w:r>
    </w:p>
    <w:p>
      <w:pPr>
        <w:ind w:left="324"/>
        <w:spacing w:after="0"/>
        <w:rPr>
          <w:sz w:val="20"/>
          <w:szCs w:val="20"/>
          <w:color w:val="auto"/>
        </w:rPr>
      </w:pPr>
      <w:r>
        <w:rPr>
          <w:rFonts w:ascii="Arial" w:cs="Arial" w:eastAsia="Arial" w:hAnsi="Arial"/>
          <w:sz w:val="14"/>
          <w:szCs w:val="14"/>
          <w:color w:val="auto"/>
        </w:rPr>
        <w:t>6/30/2022</w:t>
      </w:r>
    </w:p>
    <w:p>
      <w:pPr>
        <w:spacing w:after="0" w:line="55" w:lineRule="exact"/>
        <w:rPr>
          <w:sz w:val="20"/>
          <w:szCs w:val="20"/>
          <w:color w:val="auto"/>
        </w:rPr>
      </w:pPr>
    </w:p>
    <w:p>
      <w:pPr>
        <w:ind w:left="764" w:hanging="764"/>
        <w:spacing w:after="0"/>
        <w:tabs>
          <w:tab w:leader="none" w:pos="764" w:val="left"/>
        </w:tabs>
        <w:numPr>
          <w:ilvl w:val="0"/>
          <w:numId w:val="35"/>
        </w:numPr>
        <w:rPr>
          <w:rFonts w:ascii="Arial" w:cs="Arial" w:eastAsia="Arial" w:hAnsi="Arial"/>
          <w:sz w:val="14"/>
          <w:szCs w:val="14"/>
          <w:color w:val="auto"/>
        </w:rPr>
      </w:pPr>
      <w:r>
        <w:rPr>
          <w:rFonts w:ascii="Arial" w:cs="Arial" w:eastAsia="Arial" w:hAnsi="Arial"/>
          <w:sz w:val="14"/>
          <w:szCs w:val="14"/>
          <w:color w:val="auto"/>
        </w:rPr>
        <w:t>2,116.0</w:t>
      </w:r>
    </w:p>
    <w:p>
      <w:pPr>
        <w:spacing w:after="0" w:line="41" w:lineRule="exact"/>
        <w:rPr>
          <w:rFonts w:ascii="Arial" w:cs="Arial" w:eastAsia="Arial" w:hAnsi="Arial"/>
          <w:sz w:val="14"/>
          <w:szCs w:val="14"/>
          <w:color w:val="auto"/>
        </w:rPr>
      </w:pPr>
    </w:p>
    <w:p>
      <w:pPr>
        <w:ind w:left="884"/>
        <w:spacing w:after="0"/>
        <w:rPr>
          <w:rFonts w:ascii="Arial" w:cs="Arial" w:eastAsia="Arial" w:hAnsi="Arial"/>
          <w:sz w:val="14"/>
          <w:szCs w:val="14"/>
          <w:color w:val="auto"/>
        </w:rPr>
      </w:pPr>
      <w:r>
        <w:rPr>
          <w:rFonts w:ascii="Arial" w:cs="Arial" w:eastAsia="Arial" w:hAnsi="Arial"/>
          <w:sz w:val="14"/>
          <w:szCs w:val="14"/>
          <w:color w:val="auto"/>
        </w:rPr>
        <w:t>773.2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2,563.7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1,307.2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158.1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747.3</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3,511.5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591.7</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11,768.7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732.1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161.2</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1,137.8</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401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30" w:lineRule="exact"/>
        <w:rPr>
          <w:sz w:val="20"/>
          <w:szCs w:val="20"/>
          <w:color w:val="auto"/>
        </w:rPr>
      </w:pPr>
    </w:p>
    <w:p>
      <w:pPr>
        <w:ind w:left="764" w:hanging="764"/>
        <w:spacing w:after="0"/>
        <w:tabs>
          <w:tab w:leader="none" w:pos="764" w:val="left"/>
        </w:tabs>
        <w:numPr>
          <w:ilvl w:val="0"/>
          <w:numId w:val="36"/>
        </w:numPr>
        <w:rPr>
          <w:rFonts w:ascii="Arial" w:cs="Arial" w:eastAsia="Arial" w:hAnsi="Arial"/>
          <w:sz w:val="14"/>
          <w:szCs w:val="14"/>
          <w:color w:val="auto"/>
        </w:rPr>
      </w:pPr>
      <w:r>
        <w:rPr>
          <w:rFonts w:ascii="Arial" w:cs="Arial" w:eastAsia="Arial" w:hAnsi="Arial"/>
          <w:sz w:val="14"/>
          <w:szCs w:val="14"/>
          <w:color w:val="auto"/>
        </w:rPr>
        <w:t>8,964.2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401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401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6"/>
        <w:spacing w:after="0"/>
        <w:rPr>
          <w:sz w:val="20"/>
          <w:szCs w:val="20"/>
          <w:color w:val="auto"/>
        </w:rPr>
      </w:pPr>
      <w:r>
        <w:rPr>
          <w:rFonts w:ascii="Arial" w:cs="Arial" w:eastAsia="Arial" w:hAnsi="Arial"/>
          <w:sz w:val="14"/>
          <w:szCs w:val="14"/>
          <w:color w:val="auto"/>
        </w:rPr>
        <w:t>12/31/2021</w:t>
      </w:r>
    </w:p>
    <w:p>
      <w:pPr>
        <w:spacing w:after="0" w:line="55" w:lineRule="exact"/>
        <w:rPr>
          <w:sz w:val="20"/>
          <w:szCs w:val="20"/>
          <w:color w:val="auto"/>
        </w:rPr>
      </w:pPr>
    </w:p>
    <w:p>
      <w:pPr>
        <w:ind w:left="846" w:hanging="846"/>
        <w:spacing w:after="0"/>
        <w:tabs>
          <w:tab w:leader="none" w:pos="846" w:val="left"/>
        </w:tabs>
        <w:numPr>
          <w:ilvl w:val="0"/>
          <w:numId w:val="37"/>
        </w:numPr>
        <w:rPr>
          <w:rFonts w:ascii="Arial" w:cs="Arial" w:eastAsia="Arial" w:hAnsi="Arial"/>
          <w:sz w:val="14"/>
          <w:szCs w:val="14"/>
          <w:color w:val="auto"/>
        </w:rPr>
      </w:pPr>
      <w:r>
        <w:rPr>
          <w:rFonts w:ascii="Arial" w:cs="Arial" w:eastAsia="Arial" w:hAnsi="Arial"/>
          <w:sz w:val="14"/>
          <w:szCs w:val="14"/>
          <w:color w:val="auto"/>
        </w:rPr>
        <w:t>1,523.1</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1,058.3</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2,975.5</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1,962.8</w:t>
      </w:r>
    </w:p>
    <w:p>
      <w:pPr>
        <w:spacing w:after="0" w:line="41" w:lineRule="exact"/>
        <w:rPr>
          <w:rFonts w:ascii="Arial" w:cs="Arial" w:eastAsia="Arial" w:hAnsi="Arial"/>
          <w:sz w:val="14"/>
          <w:szCs w:val="14"/>
          <w:color w:val="auto"/>
        </w:rPr>
      </w:pPr>
    </w:p>
    <w:p>
      <w:pPr>
        <w:ind w:left="966"/>
        <w:spacing w:after="0"/>
        <w:rPr>
          <w:rFonts w:ascii="Arial" w:cs="Arial" w:eastAsia="Arial" w:hAnsi="Arial"/>
          <w:sz w:val="14"/>
          <w:szCs w:val="14"/>
          <w:color w:val="auto"/>
        </w:rPr>
      </w:pPr>
      <w:r>
        <w:rPr>
          <w:rFonts w:ascii="Arial" w:cs="Arial" w:eastAsia="Arial" w:hAnsi="Arial"/>
          <w:sz w:val="14"/>
          <w:szCs w:val="14"/>
          <w:color w:val="auto"/>
        </w:rPr>
        <w:t>201.2</w:t>
      </w:r>
    </w:p>
    <w:p>
      <w:pPr>
        <w:spacing w:after="0" w:line="41" w:lineRule="exact"/>
        <w:rPr>
          <w:rFonts w:ascii="Arial" w:cs="Arial" w:eastAsia="Arial" w:hAnsi="Arial"/>
          <w:sz w:val="14"/>
          <w:szCs w:val="14"/>
          <w:color w:val="auto"/>
        </w:rPr>
      </w:pPr>
    </w:p>
    <w:p>
      <w:pPr>
        <w:ind w:left="966"/>
        <w:spacing w:after="0"/>
        <w:rPr>
          <w:rFonts w:ascii="Arial" w:cs="Arial" w:eastAsia="Arial" w:hAnsi="Arial"/>
          <w:sz w:val="14"/>
          <w:szCs w:val="14"/>
          <w:color w:val="auto"/>
        </w:rPr>
      </w:pPr>
      <w:r>
        <w:rPr>
          <w:rFonts w:ascii="Arial" w:cs="Arial" w:eastAsia="Arial" w:hAnsi="Arial"/>
          <w:sz w:val="14"/>
          <w:szCs w:val="14"/>
          <w:color w:val="auto"/>
        </w:rPr>
        <w:t>736.2</w:t>
      </w:r>
    </w:p>
    <w:p>
      <w:pPr>
        <w:spacing w:after="0" w:line="41" w:lineRule="exact"/>
        <w:rPr>
          <w:rFonts w:ascii="Arial" w:cs="Arial" w:eastAsia="Arial" w:hAnsi="Arial"/>
          <w:sz w:val="14"/>
          <w:szCs w:val="14"/>
          <w:color w:val="auto"/>
        </w:rPr>
      </w:pPr>
    </w:p>
    <w:p>
      <w:pPr>
        <w:ind w:left="846"/>
        <w:spacing w:after="0"/>
        <w:rPr>
          <w:rFonts w:ascii="Arial" w:cs="Arial" w:eastAsia="Arial" w:hAnsi="Arial"/>
          <w:sz w:val="14"/>
          <w:szCs w:val="14"/>
          <w:color w:val="auto"/>
        </w:rPr>
      </w:pPr>
      <w:r>
        <w:rPr>
          <w:rFonts w:ascii="Arial" w:cs="Arial" w:eastAsia="Arial" w:hAnsi="Arial"/>
          <w:sz w:val="14"/>
          <w:szCs w:val="14"/>
          <w:color w:val="auto"/>
        </w:rPr>
        <w:t>2,693.2</w:t>
      </w:r>
    </w:p>
    <w:p>
      <w:pPr>
        <w:spacing w:after="0" w:line="41" w:lineRule="exact"/>
        <w:rPr>
          <w:rFonts w:ascii="Arial" w:cs="Arial" w:eastAsia="Arial" w:hAnsi="Arial"/>
          <w:sz w:val="14"/>
          <w:szCs w:val="14"/>
          <w:color w:val="auto"/>
        </w:rPr>
      </w:pPr>
    </w:p>
    <w:p>
      <w:pPr>
        <w:ind w:left="966"/>
        <w:spacing w:after="0"/>
        <w:rPr>
          <w:rFonts w:ascii="Arial" w:cs="Arial" w:eastAsia="Arial" w:hAnsi="Arial"/>
          <w:sz w:val="14"/>
          <w:szCs w:val="14"/>
          <w:color w:val="auto"/>
        </w:rPr>
      </w:pPr>
      <w:r>
        <w:rPr>
          <w:rFonts w:ascii="Arial" w:cs="Arial" w:eastAsia="Arial" w:hAnsi="Arial"/>
          <w:sz w:val="14"/>
          <w:szCs w:val="14"/>
          <w:color w:val="auto"/>
        </w:rPr>
        <w:t>445.3</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12,509.0</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882.6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306.3</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1,066.4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30" w:lineRule="exact"/>
        <w:rPr>
          <w:sz w:val="20"/>
          <w:szCs w:val="20"/>
          <w:color w:val="auto"/>
        </w:rPr>
      </w:pPr>
    </w:p>
    <w:p>
      <w:pPr>
        <w:ind w:left="846" w:hanging="846"/>
        <w:spacing w:after="0"/>
        <w:tabs>
          <w:tab w:leader="none" w:pos="846" w:val="left"/>
        </w:tabs>
        <w:numPr>
          <w:ilvl w:val="0"/>
          <w:numId w:val="38"/>
        </w:numPr>
        <w:rPr>
          <w:rFonts w:ascii="Arial" w:cs="Arial" w:eastAsia="Arial" w:hAnsi="Arial"/>
          <w:sz w:val="14"/>
          <w:szCs w:val="14"/>
          <w:color w:val="auto"/>
        </w:rPr>
      </w:pPr>
      <w:r>
        <w:rPr>
          <w:rFonts w:ascii="Arial" w:cs="Arial" w:eastAsia="Arial" w:hAnsi="Arial"/>
          <w:sz w:val="14"/>
          <w:szCs w:val="14"/>
          <w:color w:val="auto"/>
        </w:rPr>
        <w:t>9,022.7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915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8915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519" w:lineRule="exact"/>
        <w:rPr>
          <w:sz w:val="20"/>
          <w:szCs w:val="20"/>
          <w:color w:val="auto"/>
        </w:rPr>
      </w:pPr>
    </w:p>
    <w:p>
      <w:pPr>
        <w:sectPr>
          <w:pgSz w:w="11900" w:h="16838" w:orient="portrait"/>
          <w:cols w:equalWidth="0" w:num="3">
            <w:col w:w="7720" w:space="716"/>
            <w:col w:w="1244" w:space="174"/>
            <w:col w:w="1326"/>
          </w:cols>
          <w:pgMar w:left="320" w:top="1062" w:right="399" w:bottom="1440" w:gutter="0" w:footer="0" w:header="0"/>
          <w:type w:val="continuous"/>
        </w:sect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Net assets of</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consolidated 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Rowe Price</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Cash and cash</w:t>
            </w:r>
          </w:p>
        </w:tc>
        <w:tc>
          <w:tcPr>
            <w:tcW w:w="16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investment</w:t>
            </w:r>
          </w:p>
        </w:tc>
        <w:tc>
          <w:tcPr>
            <w:tcW w:w="260" w:type="dxa"/>
            <w:vAlign w:val="bottom"/>
          </w:tcPr>
          <w:p>
            <w:pPr>
              <w:spacing w:after="0"/>
              <w:rPr>
                <w:sz w:val="13"/>
                <w:szCs w:val="13"/>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products</w:t>
            </w:r>
            <w:r>
              <w:rPr>
                <w:rFonts w:ascii="Arial" w:cs="Arial" w:eastAsia="Arial" w:hAnsi="Arial"/>
                <w:sz w:val="9"/>
                <w:szCs w:val="9"/>
                <w:b w:val="1"/>
                <w:bCs w:val="1"/>
                <w:color w:val="auto"/>
              </w:rPr>
              <w:t>(1)</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discretionary investments</w:t>
            </w:r>
          </w:p>
        </w:tc>
        <w:tc>
          <w:tcPr>
            <w:tcW w:w="2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2,116.0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2,607.3</w:t>
            </w:r>
          </w:p>
        </w:tc>
        <w:tc>
          <w:tcPr>
            <w:tcW w:w="0" w:type="dxa"/>
            <w:vAlign w:val="bottom"/>
          </w:tcPr>
          <w:p>
            <w:pPr>
              <w:spacing w:after="0"/>
              <w:rPr>
                <w:sz w:val="1"/>
                <w:szCs w:val="1"/>
                <w:color w:val="auto"/>
              </w:rPr>
            </w:pPr>
          </w:p>
        </w:tc>
      </w:tr>
      <w:tr>
        <w:trPr>
          <w:trHeight w:val="198"/>
        </w:trPr>
        <w:tc>
          <w:tcPr>
            <w:tcW w:w="5500" w:type="dxa"/>
            <w:vAlign w:val="bottom"/>
          </w:tcPr>
          <w:p>
            <w:pPr>
              <w:spacing w:after="0"/>
              <w:rPr>
                <w:sz w:val="20"/>
                <w:szCs w:val="20"/>
                <w:color w:val="auto"/>
              </w:rPr>
            </w:pPr>
            <w:r>
              <w:rPr>
                <w:rFonts w:ascii="Arial" w:cs="Arial" w:eastAsia="Arial" w:hAnsi="Arial"/>
                <w:sz w:val="14"/>
                <w:szCs w:val="14"/>
                <w:color w:val="auto"/>
              </w:rPr>
              <w:t>Seed capital investments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665.4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998.0</w:t>
            </w:r>
          </w:p>
        </w:tc>
        <w:tc>
          <w:tcPr>
            <w:tcW w:w="0" w:type="dxa"/>
            <w:vAlign w:val="bottom"/>
          </w:tcPr>
          <w:p>
            <w:pPr>
              <w:spacing w:after="0"/>
              <w:rPr>
                <w:sz w:val="1"/>
                <w:szCs w:val="1"/>
                <w:color w:val="auto"/>
              </w:rPr>
            </w:pPr>
          </w:p>
        </w:tc>
      </w:tr>
      <w:tr>
        <w:trPr>
          <w:trHeight w:val="207"/>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Investments used to hedge the supplemental savings plan liability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725.7</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20"/>
                <w:szCs w:val="20"/>
                <w:color w:val="auto"/>
              </w:rPr>
            </w:pPr>
            <w:r>
              <w:rPr>
                <w:rFonts w:ascii="Arial" w:cs="Arial" w:eastAsia="Arial" w:hAnsi="Arial"/>
                <w:sz w:val="14"/>
                <w:szCs w:val="14"/>
                <w:b w:val="1"/>
                <w:bCs w:val="1"/>
                <w:color w:val="auto"/>
              </w:rPr>
              <w:t>Total cash and redeemable investments in T. Rowe Price products</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2,116.0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1,515.5</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699.5</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4,331.0</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line="203" w:lineRule="exact"/>
              <w:rPr>
                <w:sz w:val="20"/>
                <w:szCs w:val="20"/>
                <w:color w:val="auto"/>
              </w:rPr>
            </w:pPr>
            <w:r>
              <w:rPr>
                <w:rFonts w:ascii="Arial" w:cs="Arial" w:eastAsia="Arial" w:hAnsi="Arial"/>
                <w:sz w:val="14"/>
                <w:szCs w:val="14"/>
                <w:color w:val="auto"/>
              </w:rPr>
              <w:t>Investments in affiliates</w:t>
            </w:r>
            <w:r>
              <w:rPr>
                <w:rFonts w:ascii="Arial" w:cs="Arial" w:eastAsia="Arial" w:hAnsi="Arial"/>
                <w:sz w:val="18"/>
                <w:szCs w:val="18"/>
                <w:color w:val="auto"/>
                <w:vertAlign w:val="superscript"/>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660.2</w:t>
            </w:r>
          </w:p>
        </w:tc>
        <w:tc>
          <w:tcPr>
            <w:tcW w:w="0" w:type="dxa"/>
            <w:vAlign w:val="bottom"/>
          </w:tcPr>
          <w:p>
            <w:pPr>
              <w:spacing w:after="0"/>
              <w:rPr>
                <w:sz w:val="1"/>
                <w:szCs w:val="1"/>
                <w:color w:val="auto"/>
              </w:rPr>
            </w:pPr>
          </w:p>
        </w:tc>
      </w:tr>
      <w:tr>
        <w:trPr>
          <w:trHeight w:val="198"/>
        </w:trPr>
        <w:tc>
          <w:tcPr>
            <w:tcW w:w="5500" w:type="dxa"/>
            <w:vAlign w:val="bottom"/>
          </w:tcPr>
          <w:p>
            <w:pPr>
              <w:spacing w:after="0"/>
              <w:rPr>
                <w:sz w:val="20"/>
                <w:szCs w:val="20"/>
                <w:color w:val="auto"/>
              </w:rPr>
            </w:pPr>
            <w:r>
              <w:rPr>
                <w:rFonts w:ascii="Arial" w:cs="Arial" w:eastAsia="Arial" w:hAnsi="Arial"/>
                <w:sz w:val="14"/>
                <w:szCs w:val="14"/>
                <w:color w:val="auto"/>
              </w:rPr>
              <w:t>Investments in CLOs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207"/>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Investment in UTI and other investments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272.9</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20"/>
                <w:szCs w:val="20"/>
                <w:color w:val="auto"/>
              </w:rPr>
            </w:pPr>
            <w:r>
              <w:rPr>
                <w:rFonts w:ascii="Arial" w:cs="Arial" w:eastAsia="Arial" w:hAnsi="Arial"/>
                <w:sz w:val="14"/>
                <w:szCs w:val="14"/>
                <w:b w:val="1"/>
                <w:bCs w:val="1"/>
                <w:color w:val="auto"/>
              </w:rPr>
              <w:t>Total cash and investments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2,116.0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2,563.7</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699.5</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5,379.2</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0" w:type="dxa"/>
            <w:vAlign w:val="bottom"/>
          </w:tcPr>
          <w:p>
            <w:pPr>
              <w:spacing w:after="0"/>
              <w:rPr>
                <w:sz w:val="1"/>
                <w:szCs w:val="1"/>
                <w:color w:val="auto"/>
              </w:rPr>
            </w:pPr>
          </w:p>
        </w:tc>
      </w:tr>
      <w:tr>
        <w:trPr>
          <w:trHeight w:val="133"/>
        </w:trPr>
        <w:tc>
          <w:tcPr>
            <w:tcW w:w="5500" w:type="dxa"/>
            <w:vAlign w:val="bottom"/>
          </w:tcPr>
          <w:p>
            <w:pPr>
              <w:spacing w:after="0" w:line="133" w:lineRule="exact"/>
              <w:rPr>
                <w:sz w:val="20"/>
                <w:szCs w:val="20"/>
                <w:color w:val="auto"/>
              </w:rPr>
            </w:pPr>
            <w:r>
              <w:rPr>
                <w:rFonts w:ascii="Arial" w:cs="Arial" w:eastAsia="Arial" w:hAnsi="Arial"/>
                <w:sz w:val="14"/>
                <w:szCs w:val="14"/>
                <w:b w:val="1"/>
                <w:bCs w:val="1"/>
                <w:color w:val="auto"/>
              </w:rPr>
              <w:t>As reported on unaudited condensed consolidated balance sheet at June 30,</w:t>
            </w:r>
          </w:p>
        </w:tc>
        <w:tc>
          <w:tcPr>
            <w:tcW w:w="24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2,116.0</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2,563.7</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1,264.1</w:t>
            </w: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5,943.8</w:t>
            </w:r>
          </w:p>
        </w:tc>
        <w:tc>
          <w:tcPr>
            <w:tcW w:w="0" w:type="dxa"/>
            <w:vAlign w:val="bottom"/>
          </w:tcPr>
          <w:p>
            <w:pPr>
              <w:spacing w:after="0"/>
              <w:rPr>
                <w:sz w:val="1"/>
                <w:szCs w:val="1"/>
                <w:color w:val="auto"/>
              </w:rPr>
            </w:pPr>
          </w:p>
        </w:tc>
      </w:tr>
      <w:tr>
        <w:trPr>
          <w:trHeight w:val="163"/>
        </w:trPr>
        <w:tc>
          <w:tcPr>
            <w:tcW w:w="5500" w:type="dxa"/>
            <w:vAlign w:val="bottom"/>
          </w:tcPr>
          <w:p>
            <w:pPr>
              <w:spacing w:after="0" w:line="158"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gridSpan w:val="2"/>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80" w:right="240" w:hanging="172"/>
        <w:spacing w:after="0" w:line="237" w:lineRule="auto"/>
        <w:tabs>
          <w:tab w:leader="none" w:pos="153" w:val="left"/>
        </w:tabs>
        <w:numPr>
          <w:ilvl w:val="0"/>
          <w:numId w:val="39"/>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$34.1 million and $665.4 million represent the total value at June 30, 2022, of T. Rowe Price's interest in the consolidated T. Rowe Price investment products. The total net assets of $1,264.1 million at June 30, 2022, includes assets of $1,307.2 million less liabilities of $43.1 million as reflected in the unaudited condensed consolidated balance sheet information table above.</w:t>
      </w:r>
    </w:p>
    <w:p>
      <w:pPr>
        <w:ind w:left="180" w:right="40" w:hanging="172"/>
        <w:spacing w:after="0" w:line="217" w:lineRule="auto"/>
        <w:tabs>
          <w:tab w:leader="none" w:pos="152" w:val="left"/>
        </w:tabs>
        <w:numPr>
          <w:ilvl w:val="0"/>
          <w:numId w:val="39"/>
        </w:numPr>
        <w:rPr>
          <w:rFonts w:ascii="Arial" w:cs="Arial" w:eastAsia="Arial" w:hAnsi="Arial"/>
          <w:sz w:val="16"/>
          <w:szCs w:val="16"/>
          <w:color w:val="auto"/>
          <w:vertAlign w:val="superscript"/>
        </w:rPr>
      </w:pPr>
      <w:r>
        <w:rPr>
          <w:rFonts w:ascii="Arial" w:cs="Arial" w:eastAsia="Arial" w:hAnsi="Arial"/>
          <w:sz w:val="13"/>
          <w:szCs w:val="13"/>
          <w:i w:val="1"/>
          <w:iCs w:val="1"/>
          <w:color w:val="auto"/>
        </w:rPr>
        <w:t>Includes $208.8 million of non-controlling interests in consolidated entities and represents the portion of these investments, held by third parties, that we cannot sell in order to obtain cash for general operations.</w:t>
      </w:r>
    </w:p>
    <w:p>
      <w:pPr>
        <w:spacing w:after="0" w:line="374" w:lineRule="exact"/>
        <w:rPr>
          <w:sz w:val="20"/>
          <w:szCs w:val="20"/>
          <w:color w:val="auto"/>
        </w:rPr>
      </w:pPr>
    </w:p>
    <w:p>
      <w:pPr>
        <w:ind w:right="320"/>
        <w:spacing w:after="0" w:line="355" w:lineRule="auto"/>
        <w:rPr>
          <w:sz w:val="20"/>
          <w:szCs w:val="20"/>
          <w:color w:val="auto"/>
        </w:rPr>
      </w:pPr>
      <w:r>
        <w:rPr>
          <w:rFonts w:ascii="Arial" w:cs="Arial" w:eastAsia="Arial" w:hAnsi="Arial"/>
          <w:sz w:val="18"/>
          <w:szCs w:val="18"/>
          <w:color w:val="auto"/>
        </w:rPr>
        <w:t>The following table details changes in our investments in affiliated private investment funds - carried interest for the three and six months ended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4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Three months ended</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Six months ended</w:t>
            </w:r>
          </w:p>
        </w:tc>
      </w:tr>
      <w:tr>
        <w:trPr>
          <w:trHeight w:val="19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Investments in affiliated private investment funds - carried interest</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6/30/2022</w:t>
            </w:r>
          </w:p>
        </w:tc>
      </w:tr>
      <w:tr>
        <w:trPr>
          <w:trHeight w:val="197"/>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609.8</w:t>
            </w:r>
          </w:p>
        </w:tc>
      </w:tr>
      <w:tr>
        <w:trPr>
          <w:trHeight w:val="198"/>
        </w:trPr>
        <w:tc>
          <w:tcPr>
            <w:tcW w:w="8140" w:type="dxa"/>
            <w:vAlign w:val="bottom"/>
          </w:tcPr>
          <w:p>
            <w:pPr>
              <w:ind w:left="20"/>
              <w:spacing w:after="0"/>
              <w:rPr>
                <w:sz w:val="20"/>
                <w:szCs w:val="20"/>
                <w:color w:val="auto"/>
              </w:rPr>
            </w:pPr>
            <w:r>
              <w:rPr>
                <w:rFonts w:ascii="Arial" w:cs="Arial" w:eastAsia="Arial" w:hAnsi="Arial"/>
                <w:sz w:val="14"/>
                <w:szCs w:val="14"/>
                <w:color w:val="auto"/>
              </w:rPr>
              <w:t>Capital allocation-based income</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(55.4)</w:t>
            </w:r>
          </w:p>
        </w:tc>
      </w:tr>
      <w:tr>
        <w:trPr>
          <w:trHeight w:val="207"/>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related amortization</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r>
      <w:tr>
        <w:trPr>
          <w:trHeight w:val="19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realized distributions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r>
      <w:tr>
        <w:trPr>
          <w:trHeight w:val="22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06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180"/>
          </w:cols>
          <w:pgMar w:left="320" w:top="1062" w:right="39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306" w:lineRule="exact"/>
        <w:rPr>
          <w:sz w:val="20"/>
          <w:szCs w:val="20"/>
          <w:color w:val="auto"/>
        </w:rPr>
      </w:pPr>
    </w:p>
    <w:p>
      <w:pPr>
        <w:ind w:right="80"/>
        <w:spacing w:after="0" w:line="373" w:lineRule="auto"/>
        <w:rPr>
          <w:sz w:val="20"/>
          <w:szCs w:val="20"/>
          <w:color w:val="auto"/>
        </w:rPr>
      </w:pPr>
      <w:r>
        <w:rPr>
          <w:rFonts w:ascii="Arial" w:cs="Arial" w:eastAsia="Arial" w:hAnsi="Arial"/>
          <w:sz w:val="18"/>
          <w:szCs w:val="18"/>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201" w:lineRule="exact"/>
        <w:rPr>
          <w:sz w:val="20"/>
          <w:szCs w:val="20"/>
          <w:color w:val="auto"/>
        </w:rPr>
      </w:pPr>
    </w:p>
    <w:p>
      <w:pPr>
        <w:ind w:right="380"/>
        <w:spacing w:after="0" w:line="355" w:lineRule="auto"/>
        <w:rPr>
          <w:sz w:val="20"/>
          <w:szCs w:val="20"/>
          <w:color w:val="auto"/>
        </w:rPr>
      </w:pPr>
      <w:r>
        <w:rPr>
          <w:rFonts w:ascii="Arial" w:cs="Arial" w:eastAsia="Arial" w:hAnsi="Arial"/>
          <w:sz w:val="18"/>
          <w:szCs w:val="18"/>
          <w:color w:val="auto"/>
        </w:rPr>
        <w:t>The following schedules reconcile U.S. GAAP financial measures to non-GAAP financial measures for the three months ended June 30, 2022 and 2021 and March 31, 2022.</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 6/30/2022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Investment amortization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(Net Revenues)</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120"/>
              <w:spacing w:after="0" w:line="162" w:lineRule="exact"/>
              <w:rPr>
                <w:sz w:val="20"/>
                <w:szCs w:val="20"/>
                <w:color w:val="auto"/>
              </w:rPr>
            </w:pPr>
            <w:r>
              <w:rPr>
                <w:rFonts w:ascii="Arial" w:cs="Arial" w:eastAsia="Arial" w:hAnsi="Arial"/>
                <w:sz w:val="14"/>
                <w:szCs w:val="14"/>
                <w:color w:val="auto"/>
              </w:rPr>
              <w:t>Compensation arrangements amortization</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 admin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Intangible assets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60" w:type="dxa"/>
            <w:vAlign w:val="bottom"/>
            <w:gridSpan w:val="5"/>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 6/30/2021</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958.1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931.8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998.6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779.0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320" w:top="1012" w:right="399" w:bottom="1440" w:gutter="0" w:footer="0" w:header="0"/>
        </w:sectPr>
      </w:pPr>
    </w:p>
    <w:bookmarkStart w:id="64" w:name="page65"/>
    <w:bookmarkEnd w:id="64"/>
    <w:tbl>
      <w:tblPr>
        <w:tblLayout w:type="fixed"/>
        <w:tblInd w:w="60" w:type="dxa"/>
        <w:tblCellMar>
          <w:top w:w="0" w:type="dxa"/>
          <w:left w:w="0" w:type="dxa"/>
          <w:bottom w:w="0" w:type="dxa"/>
          <w:right w:w="0" w:type="dxa"/>
        </w:tblCellMar>
      </w:tblPr>
      <w:tr>
        <w:trPr>
          <w:trHeight w:val="202"/>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Three months ended 3/31/2022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877.4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Investment amortization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(Net Revenues)</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120"/>
              <w:spacing w:after="0" w:line="162" w:lineRule="exact"/>
              <w:rPr>
                <w:sz w:val="20"/>
                <w:szCs w:val="20"/>
                <w:color w:val="auto"/>
              </w:rPr>
            </w:pPr>
            <w:r>
              <w:rPr>
                <w:rFonts w:ascii="Arial" w:cs="Arial" w:eastAsia="Arial" w:hAnsi="Arial"/>
                <w:sz w:val="14"/>
                <w:szCs w:val="14"/>
                <w:color w:val="auto"/>
              </w:rPr>
              <w:t>Compensation arrangements amortization</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 admin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Intangible assets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for the six months ended June 30, 2022 and 2021.</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320"/>
              <w:spacing w:after="0"/>
              <w:rPr>
                <w:sz w:val="20"/>
                <w:szCs w:val="20"/>
                <w:color w:val="auto"/>
              </w:rPr>
            </w:pPr>
            <w:r>
              <w:rPr>
                <w:rFonts w:ascii="Arial" w:cs="Arial" w:eastAsia="Arial" w:hAnsi="Arial"/>
                <w:sz w:val="14"/>
                <w:szCs w:val="14"/>
                <w:b w:val="1"/>
                <w:bCs w:val="1"/>
                <w:color w:val="auto"/>
              </w:rPr>
              <w:t>Six months ended 6/30/2022</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1,546.0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Investment amortization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(Net Revenues)</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120"/>
              <w:spacing w:after="0" w:line="162" w:lineRule="exact"/>
              <w:rPr>
                <w:sz w:val="20"/>
                <w:szCs w:val="20"/>
                <w:color w:val="auto"/>
              </w:rPr>
            </w:pPr>
            <w:r>
              <w:rPr>
                <w:rFonts w:ascii="Arial" w:cs="Arial" w:eastAsia="Arial" w:hAnsi="Arial"/>
                <w:sz w:val="14"/>
                <w:szCs w:val="14"/>
                <w:color w:val="auto"/>
              </w:rPr>
              <w:t>Compensation arrangements amortization</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3580" w:type="dxa"/>
            <w:vAlign w:val="bottom"/>
          </w:tcPr>
          <w:p>
            <w:pPr>
              <w:ind w:left="120"/>
              <w:spacing w:after="0" w:line="162" w:lineRule="exact"/>
              <w:rPr>
                <w:sz w:val="20"/>
                <w:szCs w:val="20"/>
                <w:color w:val="auto"/>
              </w:rPr>
            </w:pPr>
            <w:r>
              <w:rPr>
                <w:rFonts w:ascii="Arial" w:cs="Arial" w:eastAsia="Arial" w:hAnsi="Arial"/>
                <w:sz w:val="14"/>
                <w:szCs w:val="14"/>
                <w:color w:val="auto"/>
              </w:rPr>
              <w:t>Contingent consideration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 admin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1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Intangible assets amortization</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(General,</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acquisition-related non-GAAP</w:t>
            </w: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3580" w:type="dxa"/>
            <w:vAlign w:val="bottom"/>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320" w:top="1058" w:right="399" w:bottom="1440" w:gutter="0" w:footer="0" w:header="0"/>
        </w:sectPr>
      </w:pPr>
    </w:p>
    <w:bookmarkStart w:id="65" w:name="page66"/>
    <w:bookmarkEnd w:id="65"/>
    <w:tbl>
      <w:tblPr>
        <w:tblLayout w:type="fixed"/>
        <w:tblInd w:w="60" w:type="dxa"/>
        <w:tblCellMar>
          <w:top w:w="0" w:type="dxa"/>
          <w:left w:w="0" w:type="dxa"/>
          <w:bottom w:w="0" w:type="dxa"/>
          <w:right w:w="0" w:type="dxa"/>
        </w:tblCellMar>
      </w:tblPr>
      <w:tr>
        <w:trPr>
          <w:trHeight w:val="203"/>
        </w:trPr>
        <w:tc>
          <w:tcPr>
            <w:tcW w:w="3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320"/>
              <w:spacing w:after="0"/>
              <w:rPr>
                <w:sz w:val="20"/>
                <w:szCs w:val="20"/>
                <w:color w:val="auto"/>
              </w:rPr>
            </w:pPr>
            <w:r>
              <w:rPr>
                <w:rFonts w:ascii="Arial" w:cs="Arial" w:eastAsia="Arial" w:hAnsi="Arial"/>
                <w:sz w:val="14"/>
                <w:szCs w:val="14"/>
                <w:b w:val="1"/>
                <w:bCs w:val="1"/>
                <w:color w:val="auto"/>
              </w:rPr>
              <w:t>Six months ended 6/30/2021</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1,565.1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6"/>
                <w:szCs w:val="16"/>
                <w:color w:val="auto"/>
              </w:rPr>
              <w:t>Consolidated T. Rowe Price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1,841.0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1,917.5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1,491.0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line="241"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 Management believes adjusting for these charges helps the reader's ability to understand the firm's core operating results and to increase comparability period to period.</w:t>
      </w:r>
    </w:p>
    <w:p>
      <w:pPr>
        <w:spacing w:after="0" w:line="217" w:lineRule="exact"/>
        <w:rPr>
          <w:rFonts w:ascii="Arial" w:cs="Arial" w:eastAsia="Arial" w:hAnsi="Arial"/>
          <w:sz w:val="22"/>
          <w:szCs w:val="22"/>
          <w:color w:val="auto"/>
          <w:vertAlign w:val="superscript"/>
        </w:rPr>
      </w:pPr>
    </w:p>
    <w:p>
      <w:pPr>
        <w:ind w:left="340" w:right="20" w:hanging="332"/>
        <w:spacing w:after="0" w:line="227" w:lineRule="auto"/>
        <w:tabs>
          <w:tab w:leader="none" w:pos="322"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the transactions costs incurred related to the acquisition of OHA. Management believes adjusting for these charges helps the reader's ability to understand the firm's core operating results and to increase comparability period to period.</w:t>
      </w:r>
    </w:p>
    <w:p>
      <w:pPr>
        <w:spacing w:after="0" w:line="232" w:lineRule="exact"/>
        <w:rPr>
          <w:rFonts w:ascii="Arial" w:cs="Arial" w:eastAsia="Arial" w:hAnsi="Arial"/>
          <w:sz w:val="21"/>
          <w:szCs w:val="21"/>
          <w:color w:val="auto"/>
          <w:vertAlign w:val="superscript"/>
        </w:rPr>
      </w:pPr>
    </w:p>
    <w:p>
      <w:pPr>
        <w:ind w:left="340" w:hanging="332"/>
        <w:spacing w:after="0" w:line="246"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The firm uses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the firm's core operating results and to increase comparability period to period.</w:t>
      </w:r>
    </w:p>
    <w:p>
      <w:pPr>
        <w:spacing w:after="0" w:line="215" w:lineRule="exact"/>
        <w:rPr>
          <w:rFonts w:ascii="Arial" w:cs="Arial" w:eastAsia="Arial" w:hAnsi="Arial"/>
          <w:sz w:val="22"/>
          <w:szCs w:val="22"/>
          <w:color w:val="auto"/>
          <w:vertAlign w:val="superscript"/>
        </w:rPr>
      </w:pPr>
    </w:p>
    <w:p>
      <w:pPr>
        <w:ind w:left="340" w:right="100" w:hanging="332"/>
        <w:spacing w:after="0" w:line="246"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the firm's U.S. GAAP consolidated statements of income. Specifically, the firm adds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the firm's core operating results.</w:t>
      </w:r>
    </w:p>
    <w:p>
      <w:pPr>
        <w:spacing w:after="0" w:line="215" w:lineRule="exact"/>
        <w:rPr>
          <w:rFonts w:ascii="Arial" w:cs="Arial" w:eastAsia="Arial" w:hAnsi="Arial"/>
          <w:sz w:val="22"/>
          <w:szCs w:val="22"/>
          <w:color w:val="auto"/>
          <w:vertAlign w:val="superscript"/>
        </w:rPr>
      </w:pPr>
    </w:p>
    <w:p>
      <w:pPr>
        <w:ind w:left="340" w:right="40" w:hanging="332"/>
        <w:spacing w:after="0" w:line="244"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the firm's core operations. Management believes adjusting for these non-operating income (loss) items helps the reader’s ability to understand the firm's core operating results and increases comparability to prior years. Additionally, management does not emphasize the impact of the portion of non-operating income (loss) removed when managing and evaluating the firm's performance.</w:t>
      </w:r>
    </w:p>
    <w:p>
      <w:pPr>
        <w:spacing w:after="0" w:line="200" w:lineRule="exact"/>
        <w:rPr>
          <w:rFonts w:ascii="Arial" w:cs="Arial" w:eastAsia="Arial" w:hAnsi="Arial"/>
          <w:sz w:val="22"/>
          <w:szCs w:val="22"/>
          <w:color w:val="auto"/>
          <w:vertAlign w:val="superscript"/>
        </w:rPr>
      </w:pPr>
    </w:p>
    <w:p>
      <w:pPr>
        <w:spacing w:after="0" w:line="227" w:lineRule="exact"/>
        <w:rPr>
          <w:rFonts w:ascii="Arial" w:cs="Arial" w:eastAsia="Arial" w:hAnsi="Arial"/>
          <w:sz w:val="22"/>
          <w:szCs w:val="22"/>
          <w:color w:val="auto"/>
          <w:vertAlign w:val="superscript"/>
        </w:rPr>
      </w:pPr>
    </w:p>
    <w:p>
      <w:pPr>
        <w:jc w:val="both"/>
        <w:ind w:left="340" w:right="100" w:hanging="332"/>
        <w:spacing w:after="0" w:line="234" w:lineRule="auto"/>
        <w:tabs>
          <w:tab w:leader="none" w:pos="341"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24.1% for 2022 and 23.5% for 2021. As such, the non-GAAP effective tax rate for three months ended June 30, 2022 and 2021 was 23.9% and 23.4%, respectively. The firm estimates that its effective tax rate for the full-year 2022 on a non-GAAP basis will be in the range of 23% to 25%.</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058" w:right="339" w:bottom="1440" w:gutter="0" w:footer="0" w:header="0"/>
        </w:sectPr>
      </w:pPr>
    </w:p>
    <w:bookmarkStart w:id="66" w:name="page67"/>
    <w:bookmarkEnd w:id="66"/>
    <w:p>
      <w:pPr>
        <w:ind w:left="340" w:right="280" w:hanging="332"/>
        <w:spacing w:after="0" w:line="239" w:lineRule="auto"/>
        <w:tabs>
          <w:tab w:leader="none" w:pos="341"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3"/>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6/30/2022</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6/30/2021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3/31/2022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6/30/2022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6/30/2021</w:t>
            </w:r>
          </w:p>
        </w:tc>
      </w:tr>
      <w:tr>
        <w:trPr>
          <w:trHeight w:val="19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779.0</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616.8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1,491.0</w:t>
            </w:r>
          </w:p>
        </w:tc>
      </w:tr>
      <w:tr>
        <w:trPr>
          <w:trHeight w:val="162"/>
        </w:trPr>
        <w:tc>
          <w:tcPr>
            <w:tcW w:w="5620" w:type="dxa"/>
            <w:vAlign w:val="bottom"/>
          </w:tcPr>
          <w:p>
            <w:pPr>
              <w:ind w:left="20"/>
              <w:spacing w:after="0" w:line="162" w:lineRule="exact"/>
              <w:rPr>
                <w:sz w:val="20"/>
                <w:szCs w:val="20"/>
                <w:color w:val="auto"/>
              </w:rPr>
            </w:pPr>
            <w:r>
              <w:rPr>
                <w:rFonts w:ascii="Arial" w:cs="Arial" w:eastAsia="Arial" w:hAnsi="Arial"/>
                <w:sz w:val="16"/>
                <w:szCs w:val="16"/>
                <w:color w:val="auto"/>
              </w:rPr>
              <w:t>Less: adjusted net income allocated to outstanding restricted stock and stock</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 holders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757.7</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602.7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3"/>
    </w:lvl>
  </w:abstractNum>
  <w:abstractNum w:abstractNumId="10">
    <w:nsid w:val="B03E0C6"/>
    <w:multiLevelType w:val="hybridMultilevel"/>
    <w:lvl w:ilvl="0">
      <w:lvlJc w:val="left"/>
      <w:lvlText w:val="(%1)"/>
      <w:numFmt w:val="decimal"/>
      <w:start w:val="6"/>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3"/>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jpe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78" Type="http://schemas.openxmlformats.org/officeDocument/2006/relationships/hyperlink" Target="http://www.sec.gov/Archives/edgar/data/1113169/000111316918000018/articlesofrestatementfin.htm" TargetMode="External"/><Relationship Id="rId79"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2022-07-28T14:26:59Z</dcterms:created>
  <dcterms:modified xsi:type="dcterms:W3CDTF">2022-07-28T14:26:59Z</dcterms:modified>
</cp:coreProperties>
</file>