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757555</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723265</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27"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 ROWE PRICE GROUP,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1257" w:right="419" w:bottom="1440" w:gutter="0" w:footer="0" w:header="0"/>
        </w:sectPr>
      </w:pPr>
    </w:p>
    <w:p>
      <w:pPr>
        <w:spacing w:after="0" w:line="10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44" w:lineRule="exact"/>
        <w:rPr>
          <w:sz w:val="24"/>
          <w:szCs w:val="24"/>
          <w:color w:val="auto"/>
        </w:rPr>
      </w:pPr>
    </w:p>
    <w:p>
      <w:pPr>
        <w:sectPr>
          <w:pgSz w:w="11900" w:h="16838" w:orient="portrait"/>
          <w:cols w:equalWidth="0" w:num="2">
            <w:col w:w="7220" w:space="720"/>
            <w:col w:w="3220"/>
          </w:cols>
          <w:pgMar w:left="320" w:top="1257" w:right="41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67" w:lineRule="exact"/>
        <w:rPr>
          <w:sz w:val="24"/>
          <w:szCs w:val="24"/>
          <w:color w:val="auto"/>
        </w:rPr>
      </w:pPr>
    </w:p>
    <w:p>
      <w:pPr>
        <w:sectPr>
          <w:pgSz w:w="11900" w:h="16838" w:orient="portrait"/>
          <w:cols w:equalWidth="0" w:num="2">
            <w:col w:w="6520" w:space="720"/>
            <w:col w:w="3920"/>
          </w:cols>
          <w:pgMar w:left="320" w:top="1257" w:right="419" w:bottom="1440" w:gutter="0" w:footer="0" w:header="0"/>
          <w:type w:val="continuous"/>
        </w:sectPr>
      </w:pPr>
    </w:p>
    <w:p>
      <w:pPr>
        <w:ind w:left="3560"/>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7"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ectPr>
          <w:pgSz w:w="11900" w:h="16838" w:orient="portrait"/>
          <w:cols w:equalWidth="0" w:num="1">
            <w:col w:w="11160"/>
          </w:cols>
          <w:pgMar w:left="320" w:top="1257" w:right="419" w:bottom="1440" w:gutter="0" w:footer="0" w:header="0"/>
          <w:type w:val="continuous"/>
        </w:sectPr>
      </w:pPr>
    </w:p>
    <w:p>
      <w:pPr>
        <w:spacing w:after="0" w:line="176" w:lineRule="exact"/>
        <w:rPr>
          <w:sz w:val="24"/>
          <w:szCs w:val="24"/>
          <w:color w:val="auto"/>
        </w:rPr>
      </w:pPr>
    </w:p>
    <w:p>
      <w:pPr>
        <w:ind w:left="680"/>
        <w:spacing w:after="0"/>
        <w:rPr>
          <w:sz w:val="20"/>
          <w:szCs w:val="20"/>
          <w:color w:val="auto"/>
        </w:rPr>
      </w:pPr>
      <w:r>
        <w:rPr>
          <w:rFonts w:ascii="Arial" w:cs="Arial" w:eastAsia="Arial" w:hAnsi="Arial"/>
          <w:sz w:val="17"/>
          <w:szCs w:val="17"/>
          <w:b w:val="1"/>
          <w:bCs w:val="1"/>
          <w:color w:val="auto"/>
        </w:rPr>
        <w:t>Common stock, $.20 par value per share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TROW</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43" w:lineRule="exact"/>
        <w:rPr>
          <w:sz w:val="24"/>
          <w:szCs w:val="24"/>
          <w:color w:val="auto"/>
        </w:rPr>
      </w:pPr>
    </w:p>
    <w:p>
      <w:pPr>
        <w:sectPr>
          <w:pgSz w:w="11900" w:h="16838" w:orient="portrait"/>
          <w:cols w:equalWidth="0" w:num="3">
            <w:col w:w="4620" w:space="720"/>
            <w:col w:w="1420" w:space="720"/>
            <w:col w:w="3680"/>
          </w:cols>
          <w:pgMar w:left="320" w:top="1257" w:right="41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(title of 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(ticker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114" w:lineRule="exact"/>
        <w:rPr>
          <w:sz w:val="24"/>
          <w:szCs w:val="24"/>
          <w:color w:val="auto"/>
        </w:rPr>
      </w:pPr>
    </w:p>
    <w:p>
      <w:pPr>
        <w:sectPr>
          <w:pgSz w:w="11900" w:h="16838" w:orient="portrait"/>
          <w:cols w:equalWidth="0" w:num="3">
            <w:col w:w="4400" w:space="720"/>
            <w:col w:w="1620" w:space="720"/>
            <w:col w:w="3700"/>
          </w:cols>
          <w:pgMar w:left="320" w:top="1257" w:right="419" w:bottom="1440" w:gutter="0" w:footer="0" w:header="0"/>
          <w:type w:val="continuous"/>
        </w:sectPr>
      </w:pPr>
    </w:p>
    <w:p>
      <w:pPr>
        <w:ind w:left="4740"/>
        <w:spacing w:after="0"/>
        <w:rPr>
          <w:sz w:val="20"/>
          <w:szCs w:val="20"/>
          <w:color w:val="auto"/>
        </w:rPr>
      </w:pPr>
      <w:r>
        <w:rPr>
          <w:rFonts w:ascii="Arial" w:cs="Arial" w:eastAsia="Arial" w:hAnsi="Arial"/>
          <w:sz w:val="14"/>
          <w:szCs w:val="14"/>
          <w:color w:val="auto"/>
        </w:rPr>
        <w:t>______________________</w:t>
      </w:r>
    </w:p>
    <w:p>
      <w:pPr>
        <w:sectPr>
          <w:pgSz w:w="11900" w:h="16838" w:orient="portrait"/>
          <w:cols w:equalWidth="0" w:num="1">
            <w:col w:w="11160"/>
          </w:cols>
          <w:pgMar w:left="320" w:top="1257" w:right="419" w:bottom="1440" w:gutter="0" w:footer="0" w:header="0"/>
          <w:type w:val="continuous"/>
        </w:sectPr>
      </w:pPr>
    </w:p>
    <w:p>
      <w:pPr>
        <w:spacing w:after="0" w:line="79" w:lineRule="exact"/>
        <w:rPr>
          <w:sz w:val="24"/>
          <w:szCs w:val="24"/>
          <w:color w:val="auto"/>
        </w:rPr>
      </w:pPr>
    </w:p>
    <w:p>
      <w:pPr>
        <w:ind w:right="2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ind w:right="4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7"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4"/>
        </w:trPr>
        <w:tc>
          <w:tcPr>
            <w:tcW w:w="4960" w:type="dxa"/>
            <w:vAlign w:val="bottom"/>
          </w:tcPr>
          <w:p>
            <w:pPr>
              <w:spacing w:after="0"/>
              <w:rPr>
                <w:sz w:val="24"/>
                <w:szCs w:val="24"/>
                <w:color w:val="auto"/>
              </w:rPr>
            </w:pPr>
          </w:p>
        </w:tc>
        <w:tc>
          <w:tcPr>
            <w:tcW w:w="5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496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60" w:type="dxa"/>
            <w:vAlign w:val="bottom"/>
          </w:tcPr>
          <w:p>
            <w:pPr>
              <w:spacing w:after="0"/>
              <w:rPr>
                <w:sz w:val="22"/>
                <w:szCs w:val="22"/>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jc w:val="both"/>
        <w:ind w:right="6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31"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41" w:lineRule="exact"/>
        <w:rPr>
          <w:sz w:val="24"/>
          <w:szCs w:val="24"/>
          <w:color w:val="auto"/>
        </w:rPr>
      </w:pPr>
    </w:p>
    <w:p>
      <w:pPr>
        <w:ind w:right="3000"/>
        <w:spacing w:after="0" w:line="260"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27, 2020, is 226,432,807.</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160"/>
          </w:cols>
          <w:pgMar w:left="320" w:top="1257" w:right="4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9/30/2020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12/31/2019</w:t>
            </w:r>
          </w:p>
        </w:tc>
      </w:tr>
      <w:tr>
        <w:trPr>
          <w:trHeight w:val="20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646.6</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2,939.8</w:t>
            </w:r>
          </w:p>
        </w:tc>
      </w:tr>
      <w:tr>
        <w:trPr>
          <w:trHeight w:val="188"/>
        </w:trPr>
        <w:tc>
          <w:tcPr>
            <w:tcW w:w="8360" w:type="dxa"/>
            <w:vAlign w:val="bottom"/>
          </w:tcPr>
          <w:p>
            <w:pPr>
              <w:ind w:left="20"/>
              <w:spacing w:after="0" w:line="189" w:lineRule="exact"/>
              <w:rPr>
                <w:sz w:val="20"/>
                <w:szCs w:val="20"/>
                <w:color w:val="auto"/>
              </w:rPr>
            </w:pPr>
            <w:r>
              <w:rPr>
                <w:rFonts w:ascii="Arial" w:cs="Arial" w:eastAsia="Arial" w:hAnsi="Arial"/>
                <w:sz w:val="18"/>
                <w:szCs w:val="18"/>
                <w:color w:val="auto"/>
              </w:rPr>
              <w:t>Assets of consolidated T. Rowe Price investment products ($2,255.3 million at September 30,</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8360" w:type="dxa"/>
            <w:vAlign w:val="bottom"/>
          </w:tcPr>
          <w:p>
            <w:pPr>
              <w:ind w:left="20"/>
              <w:spacing w:after="0"/>
              <w:rPr>
                <w:sz w:val="20"/>
                <w:szCs w:val="20"/>
                <w:color w:val="auto"/>
              </w:rPr>
            </w:pPr>
            <w:r>
              <w:rPr>
                <w:rFonts w:ascii="Arial" w:cs="Arial" w:eastAsia="Arial" w:hAnsi="Arial"/>
                <w:sz w:val="18"/>
                <w:szCs w:val="18"/>
                <w:color w:val="auto"/>
              </w:rPr>
              <w:t>2020 and $1,975.3 million at December 31, 2019, related to variable interest entities)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2,276.9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674.4</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188"/>
        </w:trPr>
        <w:tc>
          <w:tcPr>
            <w:tcW w:w="83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Liabilities of consolidated T. Rowe Price investment products ($36.8 million at September 30,</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 and $27.0 million at December 31, 2019, related to variable interest entities)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30"/>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563.4</w:t>
            </w: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1,107.3</w:t>
            </w:r>
          </w:p>
        </w:tc>
      </w:tr>
      <w:tr>
        <w:trPr>
          <w:trHeight w:val="250"/>
        </w:trPr>
        <w:tc>
          <w:tcPr>
            <w:tcW w:w="8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8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1,121.0</w:t>
            </w:r>
          </w:p>
        </w:tc>
      </w:tr>
      <w:tr>
        <w:trPr>
          <w:trHeight w:val="270"/>
        </w:trPr>
        <w:tc>
          <w:tcPr>
            <w:tcW w:w="8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360" w:type="dxa"/>
            <w:vAlign w:val="bottom"/>
          </w:tcPr>
          <w:p>
            <w:pPr>
              <w:ind w:left="140"/>
              <w:spacing w:after="0" w:line="189" w:lineRule="exact"/>
              <w:rPr>
                <w:sz w:val="20"/>
                <w:szCs w:val="20"/>
                <w:color w:val="auto"/>
              </w:rPr>
            </w:pPr>
            <w:r>
              <w:rPr>
                <w:rFonts w:ascii="Arial" w:cs="Arial" w:eastAsia="Arial" w:hAnsi="Arial"/>
                <w:sz w:val="18"/>
                <w:szCs w:val="18"/>
                <w:color w:val="auto"/>
              </w:rPr>
              <w:t>Common stock, $.20 par value—authorized 750,000,000; issued 226,375,000 shares at</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8360" w:type="dxa"/>
            <w:vAlign w:val="bottom"/>
          </w:tcPr>
          <w:p>
            <w:pPr>
              <w:ind w:left="140"/>
              <w:spacing w:after="0"/>
              <w:rPr>
                <w:sz w:val="20"/>
                <w:szCs w:val="20"/>
                <w:color w:val="auto"/>
              </w:rPr>
            </w:pPr>
            <w:r>
              <w:rPr>
                <w:rFonts w:ascii="Arial" w:cs="Arial" w:eastAsia="Arial" w:hAnsi="Arial"/>
                <w:sz w:val="18"/>
                <w:szCs w:val="18"/>
                <w:color w:val="auto"/>
              </w:rPr>
              <w:t>September 30, 2020 and 235,214,000 at December 31, 2019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6,443.5</w:t>
            </w:r>
          </w:p>
        </w:tc>
      </w:tr>
      <w:tr>
        <w:trPr>
          <w:trHeight w:val="230"/>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7,102.1</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ind w:right="518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74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6"/>
                <w:szCs w:val="16"/>
                <w:color w:val="auto"/>
              </w:rPr>
            </w:pPr>
          </w:p>
        </w:tc>
        <w:tc>
          <w:tcPr>
            <w:tcW w:w="260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4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9/30/2019</w:t>
            </w: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1,303.4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3,767.8</w:t>
            </w:r>
          </w:p>
        </w:tc>
      </w:tr>
      <w:tr>
        <w:trPr>
          <w:trHeight w:val="229"/>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r>
      <w:tr>
        <w:trPr>
          <w:trHeight w:val="223"/>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4,149.2</w:t>
            </w:r>
          </w:p>
        </w:tc>
      </w:tr>
      <w:tr>
        <w:trPr>
          <w:trHeight w:val="250"/>
        </w:trPr>
        <w:tc>
          <w:tcPr>
            <w:tcW w:w="5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w:t>
            </w: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w:t>
            </w:r>
          </w:p>
        </w:tc>
      </w:tr>
      <w:tr>
        <w:trPr>
          <w:trHeight w:val="229"/>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Product-related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r>
      <w:tr>
        <w:trPr>
          <w:trHeight w:val="229"/>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r>
      <w:tr>
        <w:trPr>
          <w:trHeight w:val="223"/>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w:t>
            </w:r>
          </w:p>
        </w:tc>
      </w:tr>
      <w:tr>
        <w:trPr>
          <w:trHeight w:val="250"/>
        </w:trPr>
        <w:tc>
          <w:tcPr>
            <w:tcW w:w="5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r>
      <w:tr>
        <w:trPr>
          <w:trHeight w:val="270"/>
        </w:trPr>
        <w:tc>
          <w:tcPr>
            <w:tcW w:w="5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Net gains on investments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229"/>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gains on consolidated investment products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30"/>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(loss)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non-operating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r>
      <w:tr>
        <w:trPr>
          <w:trHeight w:val="250"/>
        </w:trPr>
        <w:tc>
          <w:tcPr>
            <w:tcW w:w="5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1,655.0</w:t>
            </w:r>
          </w:p>
        </w:tc>
      </w:tr>
      <w:tr>
        <w:trPr>
          <w:trHeight w:val="188"/>
        </w:trPr>
        <w:tc>
          <w:tcPr>
            <w:tcW w:w="5420" w:type="dxa"/>
            <w:vAlign w:val="bottom"/>
          </w:tcPr>
          <w:p>
            <w:pPr>
              <w:ind w:left="120"/>
              <w:spacing w:after="0" w:line="189" w:lineRule="exact"/>
              <w:rPr>
                <w:sz w:val="20"/>
                <w:szCs w:val="20"/>
                <w:color w:val="auto"/>
              </w:rPr>
            </w:pPr>
            <w:r>
              <w:rPr>
                <w:rFonts w:ascii="Arial" w:cs="Arial" w:eastAsia="Arial" w:hAnsi="Arial"/>
                <w:sz w:val="18"/>
                <w:szCs w:val="18"/>
                <w:color w:val="auto"/>
              </w:rPr>
              <w:t>Less: net income (loss) attributable to redeemable non-controlling</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5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right="354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shd w:val="clear" w:color="auto" w:fill="CCEEFF"/>
          </w:tcPr>
          <w:p>
            <w:pPr>
              <w:spacing w:after="0"/>
              <w:rPr>
                <w:sz w:val="16"/>
                <w:szCs w:val="16"/>
                <w:color w:val="auto"/>
              </w:rPr>
            </w:pPr>
          </w:p>
        </w:tc>
        <w:tc>
          <w:tcPr>
            <w:tcW w:w="2760" w:type="dxa"/>
            <w:vAlign w:val="bottom"/>
            <w:tcBorders>
              <w:bottom w:val="single" w:sz="8" w:color="auto"/>
            </w:tcBorders>
            <w:gridSpan w:val="2"/>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6"/>
                <w:szCs w:val="16"/>
                <w:color w:val="auto"/>
              </w:rPr>
            </w:pPr>
          </w:p>
        </w:tc>
        <w:tc>
          <w:tcPr>
            <w:tcW w:w="2760" w:type="dxa"/>
            <w:vAlign w:val="bottom"/>
            <w:tcBorders>
              <w:bottom w:val="single" w:sz="8" w:color="auto"/>
            </w:tcBorders>
            <w:gridSpan w:val="2"/>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69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9/30/2020</w:t>
            </w: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9/30/2019</w:t>
            </w:r>
          </w:p>
        </w:tc>
        <w:tc>
          <w:tcPr>
            <w:tcW w:w="100" w:type="dxa"/>
            <w:vAlign w:val="bottom"/>
          </w:tcPr>
          <w:p>
            <w:pPr>
              <w:spacing w:after="0"/>
              <w:rPr>
                <w:sz w:val="16"/>
                <w:szCs w:val="16"/>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9/30/2020</w:t>
            </w: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9/30/2019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p>
      <w:pPr>
        <w:spacing w:after="0" w:line="25"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jc w:val="center"/>
        <w:ind w:right="2840"/>
        <w:spacing w:after="0"/>
        <w:rPr>
          <w:sz w:val="20"/>
          <w:szCs w:val="20"/>
          <w:color w:val="auto"/>
        </w:rPr>
      </w:pPr>
      <w:r>
        <w:rPr>
          <w:rFonts w:ascii="Arial" w:cs="Arial" w:eastAsia="Arial" w:hAnsi="Arial"/>
          <w:sz w:val="17"/>
          <w:szCs w:val="17"/>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jc w:val="center"/>
        <w:ind w:right="2840"/>
        <w:spacing w:after="0"/>
        <w:rPr>
          <w:sz w:val="20"/>
          <w:szCs w:val="20"/>
          <w:color w:val="auto"/>
        </w:rPr>
      </w:pPr>
      <w:r>
        <w:rPr>
          <w:rFonts w:ascii="Arial" w:cs="Arial" w:eastAsia="Arial" w:hAnsi="Arial"/>
          <w:sz w:val="18"/>
          <w:szCs w:val="18"/>
          <w:color w:val="auto"/>
        </w:rPr>
        <w:t>Currency translation adjustments</w:t>
      </w:r>
    </w:p>
    <w:p>
      <w:pPr>
        <w:spacing w:after="0" w:line="63" w:lineRule="exact"/>
        <w:rPr>
          <w:sz w:val="20"/>
          <w:szCs w:val="20"/>
          <w:color w:val="auto"/>
        </w:rPr>
      </w:pPr>
    </w:p>
    <w:p>
      <w:pPr>
        <w:ind w:left="220" w:right="200"/>
        <w:spacing w:after="0" w:line="261" w:lineRule="auto"/>
        <w:rPr>
          <w:sz w:val="20"/>
          <w:szCs w:val="20"/>
          <w:color w:val="auto"/>
        </w:rPr>
      </w:pPr>
      <w:r>
        <w:rPr>
          <w:rFonts w:ascii="Arial" w:cs="Arial" w:eastAsia="Arial" w:hAnsi="Arial"/>
          <w:sz w:val="18"/>
          <w:szCs w:val="18"/>
          <w:color w:val="auto"/>
        </w:rPr>
        <w:t>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6" w:lineRule="exact"/>
        <w:rPr>
          <w:sz w:val="20"/>
          <w:szCs w:val="20"/>
          <w:color w:val="auto"/>
        </w:rPr>
      </w:pPr>
    </w:p>
    <w:p>
      <w:pPr>
        <w:ind w:left="220" w:right="180"/>
        <w:spacing w:after="0" w:line="291" w:lineRule="auto"/>
        <w:rPr>
          <w:sz w:val="20"/>
          <w:szCs w:val="20"/>
          <w:color w:val="auto"/>
        </w:rPr>
      </w:pPr>
      <w:r>
        <w:rPr>
          <w:rFonts w:ascii="Arial" w:cs="Arial" w:eastAsia="Arial" w:hAnsi="Arial"/>
          <w:sz w:val="17"/>
          <w:szCs w:val="17"/>
          <w:color w:val="auto"/>
        </w:rPr>
        <w:t>Reclassification (gains) losses recognized in non-operating income upon deconsolidation of certain T. Rowe Price investment products</w:t>
      </w:r>
    </w:p>
    <w:p>
      <w:pPr>
        <w:spacing w:after="0" w:line="12" w:lineRule="exact"/>
        <w:rPr>
          <w:sz w:val="20"/>
          <w:szCs w:val="20"/>
          <w:color w:val="auto"/>
        </w:rPr>
      </w:pPr>
    </w:p>
    <w:p>
      <w:pPr>
        <w:ind w:left="220" w:right="520"/>
        <w:spacing w:after="0" w:line="261" w:lineRule="auto"/>
        <w:rPr>
          <w:sz w:val="20"/>
          <w:szCs w:val="20"/>
          <w:color w:val="auto"/>
        </w:rPr>
      </w:pPr>
      <w:r>
        <w:rPr>
          <w:rFonts w:ascii="Arial" w:cs="Arial" w:eastAsia="Arial" w:hAnsi="Arial"/>
          <w:sz w:val="18"/>
          <w:szCs w:val="18"/>
          <w:color w:val="auto"/>
        </w:rPr>
        <w:t>Total currency translation adjustments of consolidated T. Rowe Price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Equity method investments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deferred tax benefits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517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43" w:lineRule="exact"/>
        <w:rPr>
          <w:sz w:val="20"/>
          <w:szCs w:val="20"/>
          <w:color w:val="auto"/>
        </w:rPr>
      </w:pPr>
    </w:p>
    <w:p>
      <w:pPr>
        <w:ind w:left="120" w:right="220"/>
        <w:spacing w:after="0" w:line="261" w:lineRule="auto"/>
        <w:rPr>
          <w:sz w:val="20"/>
          <w:szCs w:val="20"/>
          <w:color w:val="auto"/>
        </w:rPr>
      </w:pPr>
      <w:r>
        <w:rPr>
          <w:rFonts w:ascii="Arial" w:cs="Arial" w:eastAsia="Arial" w:hAnsi="Arial"/>
          <w:sz w:val="18"/>
          <w:szCs w:val="18"/>
          <w:color w:val="auto"/>
        </w:rPr>
        <w:t>Less: comprehensive income (loss) attributable to redeemable non-controlling interests</w:t>
      </w:r>
    </w:p>
    <w:p>
      <w:pPr>
        <w:spacing w:after="0" w:line="3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Total comprehensive income attributable to T. Rowe Price Group</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620" w:val="left"/>
          <w:tab w:leader="none" w:pos="1400" w:val="left"/>
          <w:tab w:leader="none" w:pos="2060" w:val="left"/>
          <w:tab w:leader="none" w:pos="2680" w:val="left"/>
          <w:tab w:leader="none" w:pos="3480" w:val="left"/>
          <w:tab w:leader="none" w:pos="4120" w:val="left"/>
        </w:tabs>
        <w:rPr>
          <w:sz w:val="20"/>
          <w:szCs w:val="20"/>
          <w:color w:val="auto"/>
        </w:rPr>
      </w:pPr>
      <w:r>
        <w:rPr>
          <w:rFonts w:ascii="Arial" w:cs="Arial" w:eastAsia="Arial" w:hAnsi="Arial"/>
          <w:sz w:val="18"/>
          <w:szCs w:val="18"/>
          <w:color w:val="auto"/>
        </w:rPr>
        <w:t>698.6</w:t>
        <w:tab/>
        <w:t>$</w:t>
      </w:r>
      <w:r>
        <w:rPr>
          <w:sz w:val="20"/>
          <w:szCs w:val="20"/>
          <w:color w:val="auto"/>
        </w:rPr>
        <w:tab/>
      </w:r>
      <w:r>
        <w:rPr>
          <w:rFonts w:ascii="Arial" w:cs="Arial" w:eastAsia="Arial" w:hAnsi="Arial"/>
          <w:sz w:val="18"/>
          <w:szCs w:val="18"/>
          <w:color w:val="auto"/>
        </w:rPr>
        <w:t>545.1</w:t>
        <w:tab/>
        <w:t>$</w:t>
      </w:r>
      <w:r>
        <w:rPr>
          <w:sz w:val="20"/>
          <w:szCs w:val="20"/>
          <w:color w:val="auto"/>
        </w:rPr>
        <w:tab/>
      </w:r>
      <w:r>
        <w:rPr>
          <w:rFonts w:ascii="Arial" w:cs="Arial" w:eastAsia="Arial" w:hAnsi="Arial"/>
          <w:sz w:val="18"/>
          <w:szCs w:val="18"/>
          <w:color w:val="auto"/>
        </w:rPr>
        <w:t>1,593.7</w:t>
        <w:tab/>
        <w:t>$</w:t>
      </w:r>
      <w:r>
        <w:rPr>
          <w:sz w:val="20"/>
          <w:szCs w:val="20"/>
          <w:color w:val="auto"/>
        </w:rPr>
        <w:tab/>
      </w:r>
      <w:r>
        <w:rPr>
          <w:rFonts w:ascii="Arial" w:cs="Arial" w:eastAsia="Arial" w:hAnsi="Arial"/>
          <w:sz w:val="17"/>
          <w:szCs w:val="17"/>
          <w:color w:val="auto"/>
        </w:rPr>
        <w:t>1,655.0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6350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33.4</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486"/>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66"/>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33.4</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0"/>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50"/>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33.5</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0"/>
        </w:trPr>
        <w:tc>
          <w:tcPr>
            <w:tcW w:w="6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412"/>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728.9</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1,630.6</w:t>
            </w:r>
          </w:p>
        </w:tc>
      </w:tr>
      <w:tr>
        <w:trPr>
          <w:trHeight w:val="486"/>
        </w:trPr>
        <w:tc>
          <w:tcPr>
            <w:tcW w:w="620" w:type="dxa"/>
            <w:vAlign w:val="bottom"/>
          </w:tcPr>
          <w:p>
            <w:pPr>
              <w:jc w:val="right"/>
              <w:ind w:right="90"/>
              <w:spacing w:after="0"/>
              <w:rPr>
                <w:sz w:val="20"/>
                <w:szCs w:val="20"/>
                <w:color w:val="auto"/>
              </w:rPr>
            </w:pPr>
            <w:r>
              <w:rPr>
                <w:rFonts w:ascii="Arial" w:cs="Arial" w:eastAsia="Arial" w:hAnsi="Arial"/>
                <w:sz w:val="18"/>
                <w:szCs w:val="18"/>
                <w:color w:val="auto"/>
              </w:rPr>
              <w:t>76.2</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652.7</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w:t>
            </w:r>
          </w:p>
        </w:tc>
      </w:tr>
      <w:tr>
        <w:trPr>
          <w:trHeight w:val="21"/>
        </w:trPr>
        <w:tc>
          <w:tcPr>
            <w:tcW w:w="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-33655</wp:posOffset>
            </wp:positionV>
            <wp:extent cx="8401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-7620</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-187960</wp:posOffset>
            </wp:positionV>
            <wp:extent cx="840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-942340</wp:posOffset>
            </wp:positionV>
            <wp:extent cx="8401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-1285240</wp:posOffset>
            </wp:positionV>
            <wp:extent cx="8401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-1765300</wp:posOffset>
            </wp:positionV>
            <wp:extent cx="840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680"/>
            <w:col w:w="4820"/>
          </w:cols>
          <w:pgMar w:left="320" w:top="927" w:right="35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4" w:name="page5"/>
    <w:bookmarkEnd w:id="4"/>
    <w:p>
      <w:pPr>
        <w:ind w:right="4680"/>
        <w:spacing w:after="0" w:line="287"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62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9/30/2019</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1,593.7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1,655.0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0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9"/>
        </w:trPr>
        <w:tc>
          <w:tcPr>
            <w:tcW w:w="8360" w:type="dxa"/>
            <w:vAlign w:val="bottom"/>
          </w:tcPr>
          <w:p>
            <w:pPr>
              <w:ind w:left="300"/>
              <w:spacing w:after="0"/>
              <w:rPr>
                <w:sz w:val="20"/>
                <w:szCs w:val="20"/>
                <w:color w:val="auto"/>
              </w:rPr>
            </w:pPr>
            <w:r>
              <w:rPr>
                <w:rFonts w:ascii="Arial" w:cs="Arial" w:eastAsia="Arial" w:hAnsi="Arial"/>
                <w:sz w:val="18"/>
                <w:szCs w:val="18"/>
                <w:color w:val="auto"/>
              </w:rPr>
              <w:t>Net gains recognized on investments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188"/>
        </w:trPr>
        <w:tc>
          <w:tcPr>
            <w:tcW w:w="83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Net investments in T. Rowe Price investment products used to economically hedge supplemental</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836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1,500.7</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T. Rowe Price investment products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Dispositions of T. Rowe Price investment products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of T. Rowe Price investment products on deconsolidation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Additions to property and equipment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investing activity</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Common share issuances under stock-based compensation plans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 to common stockholders of T. Rowe Price Group</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188"/>
        </w:trPr>
        <w:tc>
          <w:tcPr>
            <w:tcW w:w="836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 period, including $76.5 million at December 31, 2019, and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$70.1 million at December 31, 2018, held by consolidated T. Rowe Price investment products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168"/>
        </w:trPr>
        <w:tc>
          <w:tcPr>
            <w:tcW w:w="83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Cash and cash equivalents at end of period, including $78.0 million at September 30, 2020, and</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2,306.2</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$80.9 million at September 30, 2019, held by consolidated T. Rowe Price investment products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 w:name="page6"/>
    <w:bookmarkEnd w:id="5"/>
    <w:p>
      <w:pPr>
        <w:ind w:right="36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5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gridSpan w:val="7"/>
            <w:shd w:val="clear" w:color="auto" w:fill="CCEEFF"/>
          </w:tcPr>
          <w:p>
            <w:pPr>
              <w:ind w:left="160"/>
              <w:spacing w:after="0"/>
              <w:rPr>
                <w:sz w:val="20"/>
                <w:szCs w:val="20"/>
                <w:color w:val="auto"/>
              </w:rPr>
            </w:pPr>
            <w:r>
              <w:rPr>
                <w:rFonts w:ascii="Arial" w:cs="Arial" w:eastAsia="Arial" w:hAnsi="Arial"/>
                <w:sz w:val="13"/>
                <w:szCs w:val="13"/>
                <w:b w:val="1"/>
                <w:bCs w:val="1"/>
                <w:color w:val="auto"/>
                <w:w w:val="97"/>
              </w:rPr>
              <w:t>Three months ended 9/30/2020</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50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60"/>
              <w:spacing w:after="0" w:line="115"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840" w:type="dxa"/>
            <w:vAlign w:val="bottom"/>
          </w:tcPr>
          <w:p>
            <w:pPr>
              <w:jc w:val="center"/>
              <w:ind w:right="30"/>
              <w:spacing w:after="0" w:line="115"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1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tcPr>
          <w:p>
            <w:pPr>
              <w:spacing w:after="0"/>
              <w:rPr>
                <w:sz w:val="10"/>
                <w:szCs w:val="10"/>
                <w:color w:val="auto"/>
              </w:rPr>
            </w:pP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84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5"/>
                <w:szCs w:val="15"/>
                <w:color w:val="auto"/>
              </w:rPr>
            </w:pPr>
          </w:p>
        </w:tc>
        <w:tc>
          <w:tcPr>
            <w:tcW w:w="840" w:type="dxa"/>
            <w:vAlign w:val="bottom"/>
          </w:tcPr>
          <w:p>
            <w:pPr>
              <w:jc w:val="center"/>
              <w:ind w:right="1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2020</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226,990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$6,102.9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6,750.7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1,090.1</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643.2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Dividends declared ($0.90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(1,124)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(77.2)</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0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2020</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226,375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6,471.3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5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gridSpan w:val="7"/>
            <w:shd w:val="clear" w:color="auto" w:fill="CCEEFF"/>
          </w:tcPr>
          <w:p>
            <w:pPr>
              <w:ind w:left="160"/>
              <w:spacing w:after="0"/>
              <w:rPr>
                <w:sz w:val="20"/>
                <w:szCs w:val="20"/>
                <w:color w:val="auto"/>
              </w:rPr>
            </w:pPr>
            <w:r>
              <w:rPr>
                <w:rFonts w:ascii="Arial" w:cs="Arial" w:eastAsia="Arial" w:hAnsi="Arial"/>
                <w:sz w:val="13"/>
                <w:szCs w:val="13"/>
                <w:b w:val="1"/>
                <w:bCs w:val="1"/>
                <w:color w:val="auto"/>
                <w:w w:val="97"/>
              </w:rPr>
              <w:t>Three months ended 9/30/2019</w:t>
            </w: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840" w:type="dxa"/>
            <w:vAlign w:val="bottom"/>
          </w:tcPr>
          <w:p>
            <w:pPr>
              <w:jc w:val="center"/>
              <w:ind w:right="30"/>
              <w:spacing w:after="0" w:line="119"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5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1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1"/>
        </w:trPr>
        <w:tc>
          <w:tcPr>
            <w:tcW w:w="5500" w:type="dxa"/>
            <w:vAlign w:val="bottom"/>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00" w:type="dxa"/>
            <w:vAlign w:val="bottom"/>
            <w:gridSpan w:val="3"/>
            <w:vMerge w:val="continue"/>
          </w:tcPr>
          <w:p>
            <w:pPr>
              <w:spacing w:after="0"/>
              <w:rPr>
                <w:sz w:val="10"/>
                <w:szCs w:val="10"/>
                <w:color w:val="auto"/>
              </w:rPr>
            </w:pP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84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5"/>
                <w:szCs w:val="15"/>
                <w:color w:val="auto"/>
              </w:rPr>
            </w:pPr>
          </w:p>
        </w:tc>
        <w:tc>
          <w:tcPr>
            <w:tcW w:w="840" w:type="dxa"/>
            <w:vAlign w:val="bottom"/>
          </w:tcPr>
          <w:p>
            <w:pPr>
              <w:jc w:val="center"/>
              <w:ind w:right="1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2019</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235,518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$5,915.9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6,579.1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1,012.3</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Dividends declared ($0.76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Balances at September 30, 2019</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234,702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6,187.0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6,839.8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1,102.9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6" w:name="page7"/>
    <w:bookmarkEnd w:id="6"/>
    <w:p>
      <w:pPr>
        <w:ind w:right="340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81"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1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gridSpan w:val="7"/>
            <w:shd w:val="clear" w:color="auto" w:fill="CCEEFF"/>
          </w:tcPr>
          <w:p>
            <w:pPr>
              <w:ind w:left="180"/>
              <w:spacing w:after="0"/>
              <w:rPr>
                <w:sz w:val="20"/>
                <w:szCs w:val="20"/>
                <w:color w:val="auto"/>
              </w:rPr>
            </w:pPr>
            <w:r>
              <w:rPr>
                <w:rFonts w:ascii="Arial" w:cs="Arial" w:eastAsia="Arial" w:hAnsi="Arial"/>
                <w:sz w:val="13"/>
                <w:szCs w:val="13"/>
                <w:b w:val="1"/>
                <w:bCs w:val="1"/>
                <w:color w:val="auto"/>
              </w:rPr>
              <w:t>Nine months ended 9/30/2020</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14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88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5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3"/>
            <w:vMerge w:val="continue"/>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78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5"/>
                <w:szCs w:val="15"/>
                <w:color w:val="auto"/>
              </w:rPr>
            </w:pPr>
          </w:p>
        </w:tc>
        <w:tc>
          <w:tcPr>
            <w:tcW w:w="780" w:type="dxa"/>
            <w:vAlign w:val="bottom"/>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2019</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235,214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$6,443.5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7,102.1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1,121.0</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1,589.3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1,589.3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Dividends declared ($2.70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(635.3)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1,856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82.8</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upon vesting of restricted stock units, net of shares withheld for</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164.3</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164.3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(10,763)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(242.5)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08"/>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2020</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226,375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6,471.3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7,128.5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1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gridSpan w:val="7"/>
            <w:shd w:val="clear" w:color="auto" w:fill="CCEEFF"/>
          </w:tcPr>
          <w:p>
            <w:pPr>
              <w:ind w:left="180"/>
              <w:spacing w:after="0"/>
              <w:rPr>
                <w:sz w:val="20"/>
                <w:szCs w:val="20"/>
                <w:color w:val="auto"/>
              </w:rPr>
            </w:pPr>
            <w:r>
              <w:rPr>
                <w:rFonts w:ascii="Arial" w:cs="Arial" w:eastAsia="Arial" w:hAnsi="Arial"/>
                <w:sz w:val="13"/>
                <w:szCs w:val="13"/>
                <w:b w:val="1"/>
                <w:bCs w:val="1"/>
                <w:color w:val="auto"/>
              </w:rPr>
              <w:t>Nine months ended 9/30/2019</w:t>
            </w: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3"/>
            <w:vMerge w:val="continue"/>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0"/>
                <w:szCs w:val="10"/>
                <w:color w:val="auto"/>
              </w:rPr>
            </w:pPr>
          </w:p>
        </w:tc>
        <w:tc>
          <w:tcPr>
            <w:tcW w:w="78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stock</w:t>
            </w:r>
          </w:p>
        </w:tc>
        <w:tc>
          <w:tcPr>
            <w:tcW w:w="8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6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5"/>
                <w:szCs w:val="15"/>
                <w:color w:val="auto"/>
              </w:rPr>
            </w:pPr>
          </w:p>
        </w:tc>
        <w:tc>
          <w:tcPr>
            <w:tcW w:w="780" w:type="dxa"/>
            <w:vAlign w:val="bottom"/>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8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2018</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238,069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$5,464.1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6,124.3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740.3</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1,586.0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1,586.0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Dividends declared ($2.28 per share)</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118.9</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Shares issued upon vesting of restricted stock units, net of shares withheld for</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136.2</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392.7</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deconsolidations of T. Rowe Price investment products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color w:val="auto"/>
              </w:rPr>
              <w:t>Balances at September 30, 2019</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234,702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654.6</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6,187.0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6,839.8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1,102.9</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7"/>
          <w:szCs w:val="7"/>
          <w:i w:val="1"/>
          <w:iCs w:val="1"/>
          <w:color w:val="auto"/>
        </w:rPr>
      </w:pPr>
      <w:r>
        <w:rPr>
          <w:rFonts w:ascii="Arial" w:cs="Arial" w:eastAsia="Arial" w:hAnsi="Arial"/>
          <w:sz w:val="11"/>
          <w:szCs w:val="11"/>
          <w:i w:val="1"/>
          <w:iCs w:val="1"/>
          <w:color w:val="auto"/>
        </w:rPr>
        <w:t>Accumulated other comprehensive income.</w:t>
      </w: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886"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7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3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Certain prior year amounts have been reclassified to conform to the 2020 presentation.</w:t>
      </w:r>
    </w:p>
    <w:p>
      <w:pPr>
        <w:spacing w:after="0" w:line="23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2019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adopted Accounting Standards Update No. 2018-15 — Intangibles—Goodwill and Other— Internal-Use Software (Subtopic 350-40): Customer’s Accounting for Implementation Costs Incurred in a Cloud Computing Arrangement That Is a Service Contract on January 1, 2020 using the prospective method of adoption. This update required implementation costs incurred in cloud computing arrangements to be deferred and recognized over the term of the hosting arrangement. A hosting arrangement is an agreement that allows customers, like us, to access and use software on an as-needed basis without having possession of the software. Beginning on January 1, 2020, we are required to defer such qualifying implementation costs. As of September 30, 2020, we capitalized an immaterial amount of implementation costs incurred in a cloud computing arrangement. Accordingly, the adoption of this guidance did not have a material impact on our consolidated balance sheets or our consolidated statements of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ECONOMIC RELIEF LEGISLATION</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27, 2020, the U.S. enacted the Coronavirus Aid, Relief and Economic Security ("CARES") Act. The CARES Act provides economic relief to eligible businesses and individuals impacted by the novel coronavirus pandemic. The CARES Act’s provisions will not have a material impact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three- and nine-month periods ended September 30, 2020 and 2019 under agreements with clients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12" w:lineRule="exact"/>
        <w:rPr>
          <w:sz w:val="20"/>
          <w:szCs w:val="20"/>
          <w:color w:val="auto"/>
        </w:rPr>
      </w:pPr>
    </w:p>
    <w:p>
      <w:pPr>
        <w:ind w:left="3320"/>
        <w:spacing w:after="0"/>
        <w:tabs>
          <w:tab w:leader="none" w:pos="7980" w:val="left"/>
        </w:tabs>
        <w:rPr>
          <w:sz w:val="20"/>
          <w:szCs w:val="20"/>
          <w:color w:val="auto"/>
        </w:rPr>
      </w:pPr>
      <w:r>
        <w:rPr>
          <w:rFonts w:ascii="Arial" w:cs="Arial" w:eastAsia="Arial" w:hAnsi="Arial"/>
          <w:sz w:val="13"/>
          <w:szCs w:val="13"/>
          <w:b w:val="1"/>
          <w:bCs w:val="1"/>
          <w:color w:val="auto"/>
        </w:rPr>
        <w:t>Three months ended 9/30/2020</w:t>
      </w:r>
      <w:r>
        <w:rPr>
          <w:sz w:val="20"/>
          <w:szCs w:val="20"/>
          <w:color w:val="auto"/>
        </w:rPr>
        <w:tab/>
      </w:r>
      <w:r>
        <w:rPr>
          <w:rFonts w:ascii="Arial" w:cs="Arial" w:eastAsia="Arial" w:hAnsi="Arial"/>
          <w:sz w:val="13"/>
          <w:szCs w:val="13"/>
          <w:b w:val="1"/>
          <w:bCs w:val="1"/>
          <w:color w:val="auto"/>
        </w:rPr>
        <w:t>Three months ended 9/30/2019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15875</wp:posOffset>
            </wp:positionV>
            <wp:extent cx="5880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28" w:lineRule="exact"/>
        <w:rPr>
          <w:sz w:val="20"/>
          <w:szCs w:val="20"/>
          <w:color w:val="auto"/>
        </w:rPr>
      </w:pPr>
    </w:p>
    <w:p>
      <w:pPr>
        <w:jc w:val="center"/>
        <w:ind w:left="1300"/>
        <w:spacing w:after="0"/>
        <w:rPr>
          <w:sz w:val="20"/>
          <w:szCs w:val="20"/>
          <w:color w:val="auto"/>
        </w:rPr>
      </w:pPr>
      <w:r>
        <w:rPr>
          <w:rFonts w:ascii="Arial" w:cs="Arial" w:eastAsia="Arial" w:hAnsi="Arial"/>
          <w:sz w:val="13"/>
          <w:szCs w:val="13"/>
          <w:b w:val="1"/>
          <w:bCs w:val="1"/>
          <w:color w:val="auto"/>
        </w:rPr>
        <w:t>Administrative, distribution, and</w:t>
      </w:r>
    </w:p>
    <w:p>
      <w:pPr>
        <w:jc w:val="center"/>
        <w:ind w:left="1300"/>
        <w:spacing w:after="0"/>
        <w:rPr>
          <w:sz w:val="20"/>
          <w:szCs w:val="20"/>
          <w:color w:val="auto"/>
        </w:rPr>
      </w:pPr>
      <w:r>
        <w:rPr>
          <w:rFonts w:ascii="Arial" w:cs="Arial" w:eastAsia="Arial" w:hAnsi="Arial"/>
          <w:sz w:val="13"/>
          <w:szCs w:val="13"/>
          <w:b w:val="1"/>
          <w:bCs w:val="1"/>
          <w:color w:val="auto"/>
        </w:rPr>
        <w:t>servicing fees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1300"/>
        <w:spacing w:after="0"/>
        <w:rPr>
          <w:sz w:val="20"/>
          <w:szCs w:val="20"/>
          <w:color w:val="auto"/>
        </w:rPr>
      </w:pPr>
      <w:r>
        <w:rPr>
          <w:rFonts w:ascii="Arial" w:cs="Arial" w:eastAsia="Arial" w:hAnsi="Arial"/>
          <w:sz w:val="13"/>
          <w:szCs w:val="13"/>
          <w:b w:val="1"/>
          <w:bCs w:val="1"/>
          <w:color w:val="auto"/>
        </w:rPr>
        <w:t>Administrative, distribution, and</w:t>
      </w:r>
    </w:p>
    <w:p>
      <w:pPr>
        <w:jc w:val="center"/>
        <w:ind w:right="1300"/>
        <w:spacing w:after="0"/>
        <w:rPr>
          <w:sz w:val="20"/>
          <w:szCs w:val="20"/>
          <w:color w:val="auto"/>
        </w:rPr>
      </w:pPr>
      <w:r>
        <w:rPr>
          <w:rFonts w:ascii="Arial" w:cs="Arial" w:eastAsia="Arial" w:hAnsi="Arial"/>
          <w:sz w:val="13"/>
          <w:szCs w:val="13"/>
          <w:b w:val="1"/>
          <w:bCs w:val="1"/>
          <w:color w:val="auto"/>
        </w:rPr>
        <w:t>servicing fees</w:t>
      </w:r>
    </w:p>
    <w:p>
      <w:pPr>
        <w:spacing w:after="0" w:line="7" w:lineRule="exact"/>
        <w:rPr>
          <w:sz w:val="20"/>
          <w:szCs w:val="20"/>
          <w:color w:val="auto"/>
        </w:rPr>
      </w:pPr>
    </w:p>
    <w:p>
      <w:pPr>
        <w:sectPr>
          <w:pgSz w:w="11900" w:h="16838" w:orient="portrait"/>
          <w:cols w:equalWidth="0" w:num="2">
            <w:col w:w="7220" w:space="720"/>
            <w:col w:w="330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9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gridSpan w:val="2"/>
            <w:shd w:val="clear" w:color="auto" w:fill="CCEEFF"/>
          </w:tcPr>
          <w:p>
            <w:pPr>
              <w:jc w:val="center"/>
              <w:ind w:right="24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60" w:type="dxa"/>
            <w:vAlign w:val="bottom"/>
            <w:tcBorders>
              <w:top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Net revenues</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center"/>
              <w:ind w:right="22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8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1980" w:type="dxa"/>
            <w:vAlign w:val="bottom"/>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60" w:type="dxa"/>
            <w:vAlign w:val="bottom"/>
            <w:gridSpan w:val="3"/>
            <w:vMerge w:val="continue"/>
            <w:shd w:val="clear" w:color="auto" w:fill="CCEEFF"/>
          </w:tcPr>
          <w:p>
            <w:pPr>
              <w:spacing w:after="0"/>
              <w:rPr>
                <w:sz w:val="14"/>
                <w:szCs w:val="14"/>
                <w:color w:val="auto"/>
              </w:rPr>
            </w:pPr>
          </w:p>
        </w:tc>
        <w:tc>
          <w:tcPr>
            <w:tcW w:w="114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1080" w:type="dxa"/>
            <w:vAlign w:val="bottom"/>
            <w:gridSpan w:val="3"/>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advisory fees</w:t>
            </w:r>
          </w:p>
        </w:tc>
        <w:tc>
          <w:tcPr>
            <w:tcW w:w="1380" w:type="dxa"/>
            <w:vAlign w:val="bottom"/>
            <w:gridSpan w:val="3"/>
            <w:vMerge w:val="continue"/>
            <w:shd w:val="clear" w:color="auto" w:fill="CCEEFF"/>
          </w:tcPr>
          <w:p>
            <w:pPr>
              <w:spacing w:after="0"/>
              <w:rPr>
                <w:sz w:val="14"/>
                <w:szCs w:val="14"/>
                <w:color w:val="auto"/>
              </w:rPr>
            </w:pPr>
          </w:p>
        </w:tc>
        <w:tc>
          <w:tcPr>
            <w:tcW w:w="116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939.5</w:t>
            </w:r>
          </w:p>
        </w:tc>
        <w:tc>
          <w:tcPr>
            <w:tcW w:w="100" w:type="dxa"/>
            <w:vAlign w:val="bottom"/>
          </w:tcPr>
          <w:p>
            <w:pPr>
              <w:spacing w:after="0"/>
              <w:rPr>
                <w:sz w:val="17"/>
                <w:szCs w:val="17"/>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1,040.4</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881.0</w:t>
            </w:r>
          </w:p>
        </w:tc>
        <w:tc>
          <w:tcPr>
            <w:tcW w:w="100" w:type="dxa"/>
            <w:vAlign w:val="bottom"/>
          </w:tcPr>
          <w:p>
            <w:pPr>
              <w:spacing w:after="0"/>
              <w:rPr>
                <w:sz w:val="17"/>
                <w:szCs w:val="17"/>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980.1</w:t>
            </w: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separate accounts,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collective investment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trusts,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products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529.8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4"/>
        </w:trPr>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11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244"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Nine months ended 9/30/2020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15875</wp:posOffset>
            </wp:positionV>
            <wp:extent cx="28975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8"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Administrative, distribution, and</w:t>
      </w:r>
    </w:p>
    <w:p>
      <w:pPr>
        <w:ind w:left="3820"/>
        <w:spacing w:after="0"/>
        <w:rPr>
          <w:sz w:val="20"/>
          <w:szCs w:val="20"/>
          <w:color w:val="auto"/>
        </w:rPr>
      </w:pPr>
      <w:r>
        <w:rPr>
          <w:rFonts w:ascii="Arial" w:cs="Arial" w:eastAsia="Arial" w:hAnsi="Arial"/>
          <w:sz w:val="13"/>
          <w:szCs w:val="13"/>
          <w:b w:val="1"/>
          <w:bCs w:val="1"/>
          <w:color w:val="auto"/>
        </w:rPr>
        <w:t>servicing fees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Nine months ended 9/30/2019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15875</wp:posOffset>
            </wp:positionV>
            <wp:extent cx="29146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Administrative, distribution, and</w:t>
      </w:r>
    </w:p>
    <w:p>
      <w:pPr>
        <w:ind w:left="560"/>
        <w:spacing w:after="0"/>
        <w:rPr>
          <w:sz w:val="20"/>
          <w:szCs w:val="20"/>
          <w:color w:val="auto"/>
        </w:rPr>
      </w:pPr>
      <w:r>
        <w:rPr>
          <w:rFonts w:ascii="Arial" w:cs="Arial" w:eastAsia="Arial" w:hAnsi="Arial"/>
          <w:sz w:val="13"/>
          <w:szCs w:val="13"/>
          <w:b w:val="1"/>
          <w:bCs w:val="1"/>
          <w:color w:val="auto"/>
        </w:rPr>
        <w:t>servicing fees</w:t>
      </w:r>
    </w:p>
    <w:p>
      <w:pPr>
        <w:spacing w:after="0" w:line="7" w:lineRule="exact"/>
        <w:rPr>
          <w:sz w:val="20"/>
          <w:szCs w:val="20"/>
          <w:color w:val="auto"/>
        </w:rPr>
      </w:pPr>
    </w:p>
    <w:p>
      <w:pPr>
        <w:sectPr>
          <w:pgSz w:w="11900" w:h="16838" w:orient="portrait"/>
          <w:cols w:equalWidth="0" w:num="2">
            <w:col w:w="7220" w:space="720"/>
            <w:col w:w="3300"/>
          </w:cols>
          <w:pgMar w:left="320" w:top="886"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19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gridSpan w:val="2"/>
            <w:shd w:val="clear" w:color="auto" w:fill="CCEEFF"/>
          </w:tcPr>
          <w:p>
            <w:pPr>
              <w:jc w:val="center"/>
              <w:ind w:right="24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60" w:type="dxa"/>
            <w:vAlign w:val="bottom"/>
            <w:tcBorders>
              <w:top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gridSpan w:val="3"/>
            <w:vMerge w:val="restart"/>
            <w:shd w:val="clear" w:color="auto" w:fill="CCEEFF"/>
          </w:tcPr>
          <w:p>
            <w:pPr>
              <w:ind w:left="80"/>
              <w:spacing w:after="0"/>
              <w:rPr>
                <w:sz w:val="20"/>
                <w:szCs w:val="20"/>
                <w:color w:val="auto"/>
              </w:rPr>
            </w:pPr>
            <w:r>
              <w:rPr>
                <w:rFonts w:ascii="Arial" w:cs="Arial" w:eastAsia="Arial" w:hAnsi="Arial"/>
                <w:sz w:val="13"/>
                <w:szCs w:val="13"/>
                <w:b w:val="1"/>
                <w:bCs w:val="1"/>
                <w:color w:val="auto"/>
              </w:rPr>
              <w:t>Net revenues</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center"/>
              <w:ind w:right="220"/>
              <w:spacing w:after="0" w:line="131" w:lineRule="exact"/>
              <w:rPr>
                <w:sz w:val="20"/>
                <w:szCs w:val="20"/>
                <w:color w:val="auto"/>
              </w:rPr>
            </w:pPr>
            <w:r>
              <w:rPr>
                <w:rFonts w:ascii="Arial" w:cs="Arial" w:eastAsia="Arial" w:hAnsi="Arial"/>
                <w:sz w:val="13"/>
                <w:szCs w:val="13"/>
                <w:b w:val="1"/>
                <w:bCs w:val="1"/>
                <w:color w:val="auto"/>
                <w:w w:val="99"/>
              </w:rPr>
              <w:t>Investment</w:t>
            </w:r>
          </w:p>
        </w:tc>
        <w:tc>
          <w:tcPr>
            <w:tcW w:w="138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3"/>
                <w:szCs w:val="13"/>
                <w:b w:val="1"/>
                <w:bCs w:val="1"/>
                <w:color w:val="auto"/>
              </w:rPr>
              <w:t>Administrative fees</w:t>
            </w:r>
          </w:p>
        </w:tc>
        <w:tc>
          <w:tcPr>
            <w:tcW w:w="104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Distribution and</w:t>
            </w:r>
          </w:p>
        </w:tc>
        <w:tc>
          <w:tcPr>
            <w:tcW w:w="12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Net revenues</w:t>
            </w:r>
          </w:p>
        </w:tc>
        <w:tc>
          <w:tcPr>
            <w:tcW w:w="0" w:type="dxa"/>
            <w:vAlign w:val="bottom"/>
          </w:tcPr>
          <w:p>
            <w:pPr>
              <w:spacing w:after="0"/>
              <w:rPr>
                <w:sz w:val="1"/>
                <w:szCs w:val="1"/>
                <w:color w:val="auto"/>
              </w:rPr>
            </w:pPr>
          </w:p>
        </w:tc>
      </w:tr>
      <w:tr>
        <w:trPr>
          <w:trHeight w:val="162"/>
        </w:trPr>
        <w:tc>
          <w:tcPr>
            <w:tcW w:w="1980" w:type="dxa"/>
            <w:vAlign w:val="bottom"/>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360" w:type="dxa"/>
            <w:vAlign w:val="bottom"/>
            <w:gridSpan w:val="3"/>
            <w:vMerge w:val="continue"/>
            <w:shd w:val="clear" w:color="auto" w:fill="CCEEFF"/>
          </w:tcPr>
          <w:p>
            <w:pPr>
              <w:spacing w:after="0"/>
              <w:rPr>
                <w:sz w:val="14"/>
                <w:szCs w:val="14"/>
                <w:color w:val="auto"/>
              </w:rPr>
            </w:pPr>
          </w:p>
        </w:tc>
        <w:tc>
          <w:tcPr>
            <w:tcW w:w="114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1080" w:type="dxa"/>
            <w:vAlign w:val="bottom"/>
            <w:gridSpan w:val="3"/>
            <w:vMerge w:val="continue"/>
            <w:shd w:val="clear" w:color="auto" w:fill="CCEEFF"/>
          </w:tcPr>
          <w:p>
            <w:pPr>
              <w:spacing w:after="0"/>
              <w:rPr>
                <w:sz w:val="14"/>
                <w:szCs w:val="14"/>
                <w:color w:val="auto"/>
              </w:rPr>
            </w:pPr>
          </w:p>
        </w:tc>
        <w:tc>
          <w:tcPr>
            <w:tcW w:w="108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b w:val="1"/>
                <w:bCs w:val="1"/>
                <w:color w:val="auto"/>
              </w:rPr>
              <w:t>advisory fees</w:t>
            </w:r>
          </w:p>
        </w:tc>
        <w:tc>
          <w:tcPr>
            <w:tcW w:w="1380" w:type="dxa"/>
            <w:vAlign w:val="bottom"/>
            <w:gridSpan w:val="3"/>
            <w:vMerge w:val="continue"/>
            <w:shd w:val="clear" w:color="auto" w:fill="CCEEFF"/>
          </w:tcPr>
          <w:p>
            <w:pPr>
              <w:spacing w:after="0"/>
              <w:rPr>
                <w:sz w:val="14"/>
                <w:szCs w:val="14"/>
                <w:color w:val="auto"/>
              </w:rPr>
            </w:pPr>
          </w:p>
        </w:tc>
        <w:tc>
          <w:tcPr>
            <w:tcW w:w="116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servicing fees</w:t>
            </w: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Arial" w:cs="Arial" w:eastAsia="Arial" w:hAnsi="Arial"/>
                <w:sz w:val="16"/>
                <w:szCs w:val="16"/>
                <w:color w:val="auto"/>
              </w:rPr>
              <w:t>U.S. mutual funds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2,638.8</w:t>
            </w:r>
          </w:p>
        </w:tc>
        <w:tc>
          <w:tcPr>
            <w:tcW w:w="100" w:type="dxa"/>
            <w:vAlign w:val="bottom"/>
          </w:tcPr>
          <w:p>
            <w:pPr>
              <w:spacing w:after="0"/>
              <w:rPr>
                <w:sz w:val="17"/>
                <w:szCs w:val="17"/>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2,939.9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2,557.6</w:t>
            </w:r>
          </w:p>
        </w:tc>
        <w:tc>
          <w:tcPr>
            <w:tcW w:w="100" w:type="dxa"/>
            <w:vAlign w:val="bottom"/>
          </w:tcPr>
          <w:p>
            <w:pPr>
              <w:spacing w:after="0"/>
              <w:rPr>
                <w:sz w:val="17"/>
                <w:szCs w:val="17"/>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215.3</w:t>
            </w:r>
          </w:p>
        </w:tc>
        <w:tc>
          <w:tcPr>
            <w:tcW w:w="12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2,863.3</w:t>
            </w: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Subadvised funds,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separate accounts,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collective investment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trusts, and other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products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1,452.1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Other clients</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34"/>
        </w:trPr>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4,149.2</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$1,302.3 million and $1,180.9 million for the three months ended September 30, 2020 and 2019, respectively. Total net revenues earned during the nine months ended September 30, 2020 and 2019 aggregate $3,652.8 million and $3,421.9 million, respectively. Accounts receivable from these products aggregate to $442.0 million at September 30, 2020, and $424.8 million at December 31, 2019.</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the second quarter of 2020, we changed our fee structure of the target date retirement funds such that our investment advisory fee revenue is now earned at the target date retirement fund level rather than at the underlying mutual fund level. As a result, we have modified our investment advisory fee and assets under management presentation below to separately breakout the fees earned from clients and related assets under management of our multi-asset portfolios. All prior periods have been recast to conform to this new presentation and to provide comparability.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60" w:type="dxa"/>
            <w:vAlign w:val="bottom"/>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6"/>
                <w:szCs w:val="16"/>
                <w:color w:val="auto"/>
              </w:rPr>
            </w:pPr>
          </w:p>
        </w:tc>
        <w:tc>
          <w:tcPr>
            <w:tcW w:w="2140" w:type="dxa"/>
            <w:vAlign w:val="bottom"/>
            <w:gridSpan w:val="4"/>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9/30/2019</w:t>
            </w: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1,641.4</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29"/>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r>
      <w:tr>
        <w:trPr>
          <w:trHeight w:val="223"/>
        </w:trPr>
        <w:tc>
          <w:tcPr>
            <w:tcW w:w="6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2,557.6</w:t>
            </w:r>
          </w:p>
        </w:tc>
      </w:tr>
      <w:tr>
        <w:trPr>
          <w:trHeight w:val="168"/>
        </w:trPr>
        <w:tc>
          <w:tcPr>
            <w:tcW w:w="6480" w:type="dxa"/>
            <w:vAlign w:val="bottom"/>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 investment trusts, and other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7"/>
        </w:trPr>
        <w:tc>
          <w:tcPr>
            <w:tcW w:w="648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w:t>
            </w:r>
          </w:p>
        </w:tc>
      </w:tr>
      <w:tr>
        <w:trPr>
          <w:trHeight w:val="229"/>
        </w:trPr>
        <w:tc>
          <w:tcPr>
            <w:tcW w:w="648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3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r>
      <w:tr>
        <w:trPr>
          <w:trHeight w:val="223"/>
        </w:trPr>
        <w:tc>
          <w:tcPr>
            <w:tcW w:w="6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1,210.2</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fees.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60" w:type="dxa"/>
            <w:vAlign w:val="bottom"/>
            <w:gridSpan w:val="5"/>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16"/>
                <w:szCs w:val="16"/>
                <w:color w:val="auto"/>
              </w:rPr>
            </w:pPr>
          </w:p>
        </w:tc>
        <w:tc>
          <w:tcPr>
            <w:tcW w:w="2160" w:type="dxa"/>
            <w:vAlign w:val="bottom"/>
            <w:gridSpan w:val="5"/>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20" w:type="dxa"/>
            <w:vAlign w:val="bottom"/>
          </w:tcPr>
          <w:p>
            <w:pPr>
              <w:spacing w:after="0"/>
              <w:rPr>
                <w:sz w:val="16"/>
                <w:szCs w:val="16"/>
                <w:color w:val="auto"/>
              </w:rPr>
            </w:pPr>
          </w:p>
        </w:tc>
      </w:tr>
      <w:tr>
        <w:trPr>
          <w:trHeight w:val="18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12/31/2019</w:t>
            </w:r>
          </w:p>
        </w:tc>
      </w:tr>
      <w:tr>
        <w:trPr>
          <w:trHeight w:val="209"/>
        </w:trPr>
        <w:tc>
          <w:tcPr>
            <w:tcW w:w="4360" w:type="dxa"/>
            <w:vAlign w:val="bottom"/>
          </w:tcPr>
          <w:p>
            <w:pPr>
              <w:ind w:left="2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4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r>
      <w:tr>
        <w:trPr>
          <w:trHeight w:val="168"/>
        </w:trPr>
        <w:tc>
          <w:tcPr>
            <w:tcW w:w="43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Subadvised funds, separate accounts, collective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trusts, and other investment products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291.7</w:t>
            </w: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Multi-asset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r>
      <w:tr>
        <w:trPr>
          <w:trHeight w:val="223"/>
        </w:trPr>
        <w:tc>
          <w:tcPr>
            <w:tcW w:w="4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1,206.8</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8.7% and 6.9% of our assets under management at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9/30/2020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12/31/2019</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 Rowe Price investment products - discretionary investments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w:t>
            </w: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T. Rowe Price investment products - 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181.1</w:t>
            </w:r>
          </w:p>
        </w:tc>
      </w:tr>
      <w:tr>
        <w:trPr>
          <w:trHeight w:val="230"/>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 Rowe Price investment products - supplemental savings plan liability economic hedges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T. Rowe Price investment products -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29"/>
        </w:trPr>
        <w:tc>
          <w:tcPr>
            <w:tcW w:w="8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 Rowe Price investment products - 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30"/>
        </w:trPr>
        <w:tc>
          <w:tcPr>
            <w:tcW w:w="8220" w:type="dxa"/>
            <w:vAlign w:val="bottom"/>
          </w:tcPr>
          <w:p>
            <w:pPr>
              <w:ind w:left="120"/>
              <w:spacing w:after="0"/>
              <w:rPr>
                <w:sz w:val="20"/>
                <w:szCs w:val="20"/>
                <w:color w:val="auto"/>
              </w:rPr>
            </w:pPr>
            <w:r>
              <w:rPr>
                <w:rFonts w:ascii="Arial" w:cs="Arial" w:eastAsia="Arial" w:hAnsi="Arial"/>
                <w:sz w:val="18"/>
                <w:szCs w:val="18"/>
                <w:color w:val="auto"/>
              </w:rPr>
              <w:t>T. Rowe Price investment products - 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29"/>
        </w:trPr>
        <w:tc>
          <w:tcPr>
            <w:tcW w:w="8220" w:type="dxa"/>
            <w:vAlign w:val="bottom"/>
          </w:tcPr>
          <w:p>
            <w:pPr>
              <w:ind w:left="12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2,939.8</w:t>
            </w:r>
          </w:p>
        </w:tc>
      </w:tr>
      <w:tr>
        <w:trPr>
          <w:trHeight w:val="21"/>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three- and nine-months ended September 30, 2020, net gains on investments included $75.5 million and $53.6 million, respectively, of net unrealized gains related to investments held at fair value that were still held at September 30, 2020. For the same periods of 2019, the net gains on investments included $4.8 million and $84.2 million, respectively, of net unrealized gains on investments held at fair value that were still held at September 30, 2019.</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nine months ended September 30, 2020 and 2019,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nine months ended September 30, 2019, certain T. Rowe Price investment products that were being accounted for as equity method investments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6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6"/>
                <w:szCs w:val="16"/>
                <w:color w:val="auto"/>
              </w:rPr>
            </w:pPr>
          </w:p>
        </w:tc>
        <w:tc>
          <w:tcPr>
            <w:tcW w:w="2460" w:type="dxa"/>
            <w:vAlign w:val="bottom"/>
            <w:gridSpan w:val="4"/>
            <w:shd w:val="clear" w:color="auto" w:fill="CCEEFF"/>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9/30/2019</w:t>
            </w:r>
          </w:p>
        </w:tc>
      </w:tr>
      <w:tr>
        <w:trPr>
          <w:trHeight w:val="168"/>
        </w:trPr>
        <w:tc>
          <w:tcPr>
            <w:tcW w:w="57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increase (decrease) in assets of consolidated T. Rowe Price</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188"/>
        </w:trPr>
        <w:tc>
          <w:tcPr>
            <w:tcW w:w="5760" w:type="dxa"/>
            <w:vAlign w:val="bottom"/>
          </w:tcPr>
          <w:p>
            <w:pPr>
              <w:ind w:left="20"/>
              <w:spacing w:after="0" w:line="189" w:lineRule="exact"/>
              <w:rPr>
                <w:sz w:val="20"/>
                <w:szCs w:val="20"/>
                <w:color w:val="auto"/>
              </w:rPr>
            </w:pPr>
            <w:r>
              <w:rPr>
                <w:rFonts w:ascii="Arial" w:cs="Arial" w:eastAsia="Arial" w:hAnsi="Arial"/>
                <w:sz w:val="18"/>
                <w:szCs w:val="18"/>
                <w:color w:val="auto"/>
              </w:rPr>
              <w:t>Net decrease in liabilities of consolidated T. Rowe Price investment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5760" w:type="dxa"/>
            <w:vAlign w:val="bottom"/>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16"/>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recognized upon deconsolidation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1" w:name="page12"/>
    <w:bookmarkEnd w:id="11"/>
    <w:p>
      <w:pPr>
        <w:jc w:val="both"/>
        <w:ind w:right="56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October 2020, UTI Asset Management Company Limited (India), one of our equity method investments, held an initial public offering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 As part of the offering, we sold a portion of our 26% interest and recorded a net gain on the sale of approximately $3.5 million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2020. Subsequent to the sale, we have an ownership interest of 23% in UTI Asset Management Company Limited (India).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investments at September 30, 2020 and December 31, 2019, include interests in variable interest entities that we do not consolidate as we are not deemed the primary beneficiary. Our maximum risk of loss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9/30/2020</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12/31/2019</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156.0</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Uncollected investment advisory and administrative fees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8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unfunded capital commitments totaling $13.2 million at September 30, 2020, and $18.1 million at December 31, 2019, relate primarily to the investment partnerships in which we have an existing investment. In addition to such amounts, a percentage of prior distributions may be called under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480" w:right="2220" w:hanging="480"/>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6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9/30/2020</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12/31/2019</w:t>
            </w:r>
          </w:p>
        </w:tc>
        <w:tc>
          <w:tcPr>
            <w:tcW w:w="820" w:type="dxa"/>
            <w:vAlign w:val="bottom"/>
            <w:tcBorders>
              <w:bottom w:val="single" w:sz="8" w:color="auto"/>
            </w:tcBorders>
            <w:shd w:val="clear" w:color="auto" w:fill="CCEEFF"/>
          </w:tcPr>
          <w:p>
            <w:pPr>
              <w:spacing w:after="0"/>
              <w:rPr>
                <w:sz w:val="16"/>
                <w:szCs w:val="16"/>
                <w:color w:val="auto"/>
              </w:rPr>
            </w:pP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Level 2</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 held in T. Rowe Price money market funds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T. Rowe Price investment products - discretionary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 - seed capital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188"/>
        </w:trPr>
        <w:tc>
          <w:tcPr>
            <w:tcW w:w="6160" w:type="dxa"/>
            <w:vAlign w:val="bottom"/>
          </w:tcPr>
          <w:p>
            <w:pPr>
              <w:ind w:left="20"/>
              <w:spacing w:after="0" w:line="189" w:lineRule="exact"/>
              <w:rPr>
                <w:sz w:val="20"/>
                <w:szCs w:val="20"/>
                <w:color w:val="auto"/>
              </w:rPr>
            </w:pPr>
            <w:r>
              <w:rPr>
                <w:rFonts w:ascii="Arial" w:cs="Arial" w:eastAsia="Arial" w:hAnsi="Arial"/>
                <w:sz w:val="18"/>
                <w:szCs w:val="18"/>
                <w:color w:val="auto"/>
              </w:rPr>
              <w:t>T. Rowe Price investment products - supplemental savings plan liability</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7"/>
        </w:trPr>
        <w:tc>
          <w:tcPr>
            <w:tcW w:w="6160" w:type="dxa"/>
            <w:vAlign w:val="bottom"/>
          </w:tcPr>
          <w:p>
            <w:pPr>
              <w:ind w:left="20"/>
              <w:spacing w:after="0"/>
              <w:rPr>
                <w:sz w:val="20"/>
                <w:szCs w:val="20"/>
                <w:color w:val="auto"/>
              </w:rPr>
            </w:pPr>
            <w:r>
              <w:rPr>
                <w:rFonts w:ascii="Arial" w:cs="Arial" w:eastAsia="Arial" w:hAnsi="Arial"/>
                <w:sz w:val="18"/>
                <w:szCs w:val="18"/>
                <w:color w:val="auto"/>
              </w:rPr>
              <w:t>economic hedges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1"/>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required by the accounting guidance, the fair value hierarchy level table above does not include the investment partnerships and other investments for which fair value is estimated using their NAV per share as a practical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300"/>
        <w:spacing w:after="0" w:line="261" w:lineRule="auto"/>
        <w:rPr>
          <w:sz w:val="20"/>
          <w:szCs w:val="20"/>
          <w:color w:val="auto"/>
        </w:rPr>
      </w:pPr>
      <w:r>
        <w:rPr>
          <w:rFonts w:ascii="Arial" w:cs="Arial" w:eastAsia="Arial" w:hAnsi="Arial"/>
          <w:sz w:val="18"/>
          <w:szCs w:val="18"/>
          <w:color w:val="auto"/>
        </w:rPr>
        <w:t>expedient. The carrying value of these investments as disclosed in Note 3 were $96.8 million at September 30, 2020, and $99.7 million at December 31,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7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2,276.9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929.4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1,055.6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1,116.7</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$5.1 million at September 30, 2020, and $9.1 million at December 31, 2019, of T. Rowe Price money market mutual funds.</w:t>
      </w:r>
    </w:p>
    <w:p>
      <w:pPr>
        <w:spacing w:after="0" w:line="15" w:lineRule="exact"/>
        <w:rPr>
          <w:rFonts w:ascii="Arial" w:cs="Arial" w:eastAsia="Arial" w:hAnsi="Arial"/>
          <w:sz w:val="9"/>
          <w:szCs w:val="9"/>
          <w:i w:val="1"/>
          <w:iCs w:val="1"/>
          <w:color w:val="auto"/>
        </w:rPr>
      </w:pPr>
    </w:p>
    <w:p>
      <w:pPr>
        <w:ind w:left="140" w:hanging="132"/>
        <w:spacing w:after="0"/>
        <w:tabs>
          <w:tab w:leader="none" w:pos="140" w:val="left"/>
        </w:tabs>
        <w:numPr>
          <w:ilvl w:val="0"/>
          <w:numId w:val="5"/>
        </w:numPr>
        <w:rPr>
          <w:rFonts w:ascii="Arial" w:cs="Arial" w:eastAsia="Arial" w:hAnsi="Arial"/>
          <w:sz w:val="9"/>
          <w:szCs w:val="9"/>
          <w:i w:val="1"/>
          <w:iCs w:val="1"/>
          <w:color w:val="auto"/>
        </w:rPr>
      </w:pPr>
      <w:r>
        <w:rPr>
          <w:rFonts w:ascii="Arial" w:cs="Arial" w:eastAsia="Arial" w:hAnsi="Arial"/>
          <w:sz w:val="14"/>
          <w:szCs w:val="14"/>
          <w:i w:val="1"/>
          <w:iCs w:val="1"/>
          <w:color w:val="auto"/>
        </w:rPr>
        <w:t>Investments includes $18.9 million at September 30, 2020, and $40.2 million at December 31, 2019 of other T. Rowe Price investment products.</w:t>
      </w:r>
    </w:p>
    <w:p>
      <w:pPr>
        <w:spacing w:after="0" w:line="23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right="80"/>
        <w:spacing w:after="0" w:line="261" w:lineRule="auto"/>
        <w:rPr>
          <w:sz w:val="20"/>
          <w:szCs w:val="20"/>
          <w:color w:val="auto"/>
        </w:rPr>
      </w:pPr>
      <w:r>
        <w:rPr>
          <w:rFonts w:ascii="Arial" w:cs="Arial" w:eastAsia="Arial" w:hAnsi="Arial"/>
          <w:sz w:val="18"/>
          <w:szCs w:val="18"/>
          <w:color w:val="auto"/>
        </w:rPr>
        <w:t>The operating results of the consolidated T. Rowe Price investment products for the three- and nine-months ended September 30, 2020 and 2019, are reflected in our unaudited condensed consolidated statements of income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6"/>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77"/>
              <w:spacing w:after="0" w:line="142"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center"/>
              <w:ind w:right="20"/>
              <w:spacing w:after="0"/>
              <w:rPr>
                <w:sz w:val="20"/>
                <w:szCs w:val="20"/>
                <w:color w:val="auto"/>
              </w:rPr>
            </w:pPr>
            <w:r>
              <w:rPr>
                <w:rFonts w:ascii="Arial" w:cs="Arial" w:eastAsia="Arial" w:hAnsi="Arial"/>
                <w:sz w:val="14"/>
                <w:szCs w:val="14"/>
                <w:b w:val="1"/>
                <w:bCs w:val="1"/>
                <w:color w:val="auto"/>
              </w:rPr>
              <w:t>Voting interest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180"/>
              <w:spacing w:after="0" w:line="142"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gridSpan w:val="2"/>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Operating expenses reflected in net operating income $</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6"/>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9/30/2019</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Voting</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117"/>
              <w:spacing w:after="0" w:line="142" w:lineRule="exact"/>
              <w:rPr>
                <w:sz w:val="20"/>
                <w:szCs w:val="20"/>
                <w:color w:val="auto"/>
              </w:rPr>
            </w:pPr>
            <w:r>
              <w:rPr>
                <w:rFonts w:ascii="Arial" w:cs="Arial" w:eastAsia="Arial" w:hAnsi="Arial"/>
                <w:sz w:val="14"/>
                <w:szCs w:val="14"/>
                <w:b w:val="1"/>
                <w:bCs w:val="1"/>
                <w:color w:val="auto"/>
              </w:rPr>
              <w:t>Variable</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Voting</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2" w:lineRule="exact"/>
              <w:rPr>
                <w:sz w:val="20"/>
                <w:szCs w:val="20"/>
                <w:color w:val="auto"/>
              </w:rPr>
            </w:pPr>
            <w:r>
              <w:rPr>
                <w:rFonts w:ascii="Arial" w:cs="Arial" w:eastAsia="Arial" w:hAnsi="Arial"/>
                <w:sz w:val="14"/>
                <w:szCs w:val="14"/>
                <w:b w:val="1"/>
                <w:bCs w:val="1"/>
                <w:color w:val="auto"/>
              </w:rPr>
              <w:t>Variable</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ind w:left="60"/>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117"/>
              <w:spacing w:after="0" w:line="135" w:lineRule="exact"/>
              <w:rPr>
                <w:sz w:val="20"/>
                <w:szCs w:val="20"/>
                <w:color w:val="auto"/>
              </w:rPr>
            </w:pPr>
            <w:r>
              <w:rPr>
                <w:rFonts w:ascii="Arial" w:cs="Arial" w:eastAsia="Arial" w:hAnsi="Arial"/>
                <w:sz w:val="14"/>
                <w:szCs w:val="14"/>
                <w:b w:val="1"/>
                <w:bCs w:val="1"/>
                <w:color w:val="auto"/>
              </w:rPr>
              <w:t>interest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interest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tcPr>
          <w:p>
            <w:pPr>
              <w:ind w:left="20"/>
              <w:spacing w:after="0" w:line="168"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operating expenses of the consolidated investment products are reflected in other operating expenses. In preparing our unaudited condensed consolidated financial statements, we eliminated operating expenses of $2.7 million and $2.6 million for the three months ended September 30, 2020 and 2019, respectively, against the investment advisory and administrative fees earned from these products. Operating expenses eliminated for the nine months ended September 30, 2020 and 2019, were $7.3 million and $6.3 million, respectively. The net investment income (loss) reflected in non-operating income (loss) includes dividend and interest income and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ind w:right="1020"/>
        <w:spacing w:after="0" w:line="261"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nine months ended September 30, 2020 and 2019.</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3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529.3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177"/>
        </w:trPr>
        <w:tc>
          <w:tcPr>
            <w:tcW w:w="4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equivalents of consolidated</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T. Rowe Price investment products</w:t>
            </w: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net cash provided by financing activities during the nine months ended September 30, 2020 and 2019 includes $95.2 million and $157.7 million, respectively, of net subscriptions we made into the consolidated T. Rowe Price investment products, net of dividends received. These cash flows were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4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9/30/2020</w:t>
            </w:r>
          </w:p>
        </w:tc>
        <w:tc>
          <w:tcPr>
            <w:tcW w:w="8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gridSpan w:val="4"/>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12/31/2019</w:t>
            </w:r>
          </w:p>
        </w:tc>
      </w:tr>
      <w:tr>
        <w:trPr>
          <w:trHeight w:val="183"/>
        </w:trPr>
        <w:tc>
          <w:tcPr>
            <w:tcW w:w="6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660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w:t>
            </w:r>
          </w:p>
        </w:tc>
      </w:tr>
      <w:tr>
        <w:trPr>
          <w:trHeight w:val="230"/>
        </w:trPr>
        <w:tc>
          <w:tcPr>
            <w:tcW w:w="6600" w:type="dxa"/>
            <w:vAlign w:val="bottom"/>
          </w:tcPr>
          <w:p>
            <w:pPr>
              <w:ind w:left="12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1,248.6</w:t>
            </w:r>
          </w:p>
        </w:tc>
      </w:tr>
      <w:tr>
        <w:trPr>
          <w:trHeight w:val="230"/>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66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7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Accounts payable and accrued expenses includes liabilities of $12.2 million at December 31, 2019, for common stock repurchases that settled during the first week of January 2020.</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nine months ended September 30,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jc w:val="center"/>
              <w:ind w:right="11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32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jc w:val="center"/>
              <w:ind w:right="118"/>
              <w:spacing w:after="0" w:line="135" w:lineRule="exact"/>
              <w:rPr>
                <w:sz w:val="20"/>
                <w:szCs w:val="20"/>
                <w:color w:val="auto"/>
              </w:rPr>
            </w:pPr>
            <w:r>
              <w:rPr>
                <w:rFonts w:ascii="Arial" w:cs="Arial" w:eastAsia="Arial" w:hAnsi="Arial"/>
                <w:sz w:val="14"/>
                <w:szCs w:val="14"/>
                <w:b w:val="1"/>
                <w:bCs w:val="1"/>
                <w:color w:val="auto"/>
                <w:w w:val="99"/>
              </w:rPr>
              <w:t>exercise</w:t>
            </w:r>
          </w:p>
        </w:tc>
        <w:tc>
          <w:tcPr>
            <w:tcW w:w="0" w:type="dxa"/>
            <w:vAlign w:val="bottom"/>
          </w:tcPr>
          <w:p>
            <w:pPr>
              <w:spacing w:after="0"/>
              <w:rPr>
                <w:sz w:val="1"/>
                <w:szCs w:val="1"/>
                <w:color w:val="auto"/>
              </w:rPr>
            </w:pPr>
          </w:p>
        </w:tc>
      </w:tr>
      <w:tr>
        <w:trPr>
          <w:trHeight w:val="176"/>
        </w:trPr>
        <w:tc>
          <w:tcPr>
            <w:tcW w:w="8320" w:type="dxa"/>
            <w:vAlign w:val="bottom"/>
            <w:shd w:val="clear" w:color="auto" w:fill="CCEEFF"/>
          </w:tcPr>
          <w:p>
            <w:pPr>
              <w:spacing w:after="0"/>
              <w:rPr>
                <w:sz w:val="15"/>
                <w:szCs w:val="15"/>
                <w:color w:val="auto"/>
              </w:rPr>
            </w:pPr>
          </w:p>
        </w:tc>
        <w:tc>
          <w:tcPr>
            <w:tcW w:w="14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480" w:type="dxa"/>
            <w:vAlign w:val="bottom"/>
          </w:tcPr>
          <w:p>
            <w:pPr>
              <w:jc w:val="right"/>
              <w:spacing w:after="0"/>
              <w:rPr>
                <w:sz w:val="20"/>
                <w:szCs w:val="20"/>
                <w:color w:val="auto"/>
              </w:rPr>
            </w:pPr>
            <w:r>
              <w:rPr>
                <w:rFonts w:ascii="Arial" w:cs="Arial" w:eastAsia="Arial" w:hAnsi="Arial"/>
                <w:sz w:val="18"/>
                <w:szCs w:val="18"/>
                <w:color w:val="auto"/>
              </w:rPr>
              <w:t>7,388,068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(2,555,527)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4,825,667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2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2020</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4,165,306</w:t>
            </w:r>
          </w:p>
        </w:tc>
        <w:tc>
          <w:tcPr>
            <w:tcW w:w="3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7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nine months ended September 30,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Restricted</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714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8"/>
              </w:rPr>
              <w:t>stock</w:t>
            </w:r>
          </w:p>
        </w:tc>
        <w:tc>
          <w:tcPr>
            <w:tcW w:w="100" w:type="dxa"/>
            <w:vAlign w:val="bottom"/>
            <w:shd w:val="clear" w:color="auto" w:fill="CCEEFF"/>
          </w:tcPr>
          <w:p>
            <w:pPr>
              <w:spacing w:after="0"/>
              <w:rPr>
                <w:sz w:val="11"/>
                <w:szCs w:val="11"/>
                <w:color w:val="auto"/>
              </w:rPr>
            </w:pPr>
          </w:p>
        </w:tc>
        <w:tc>
          <w:tcPr>
            <w:tcW w:w="12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14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Nonvested at December 31, 2019</w:t>
            </w:r>
          </w:p>
        </w:tc>
        <w:tc>
          <w:tcPr>
            <w:tcW w:w="1280" w:type="dxa"/>
            <w:vAlign w:val="bottom"/>
          </w:tcPr>
          <w:p>
            <w:pPr>
              <w:jc w:val="right"/>
              <w:spacing w:after="0"/>
              <w:rPr>
                <w:sz w:val="20"/>
                <w:szCs w:val="20"/>
                <w:color w:val="auto"/>
              </w:rPr>
            </w:pPr>
            <w:r>
              <w:rPr>
                <w:rFonts w:ascii="Arial" w:cs="Arial" w:eastAsia="Arial" w:hAnsi="Arial"/>
                <w:sz w:val="18"/>
                <w:szCs w:val="18"/>
                <w:color w:val="auto"/>
              </w:rPr>
              <w:t>7,404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6,718,261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53,484</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116.19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(82,764)</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6,574,702</w:t>
            </w:r>
          </w:p>
        </w:tc>
        <w:tc>
          <w:tcPr>
            <w:tcW w:w="3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Nonvested at September 30, 2020, includes 403,008 performance-based restricted stock units, including 318,768 restricted stock units for which the performance period has expired and the performance threshold has been met.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7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September 30, 2020. Estimated future compensation expense will change to reflect future grants of restricted stock awards and units, future option grants, changes in the probability of performance thresholds being met, and adjustments for actual forfeitures.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Fourth quarter 2020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2022 through 2026</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9"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5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6"/>
                <w:szCs w:val="16"/>
                <w:color w:val="auto"/>
              </w:rPr>
            </w:pPr>
          </w:p>
        </w:tc>
        <w:tc>
          <w:tcPr>
            <w:tcW w:w="2460" w:type="dxa"/>
            <w:vAlign w:val="bottom"/>
            <w:gridSpan w:val="4"/>
            <w:shd w:val="clear" w:color="auto" w:fill="CCEEFF"/>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9/30/2019</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1,586.0</w:t>
            </w:r>
          </w:p>
        </w:tc>
      </w:tr>
      <w:tr>
        <w:trPr>
          <w:trHeight w:val="188"/>
        </w:trPr>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Less: net income allocated to outstanding restricted stock and stock</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 holders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74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2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September 30, 2020 and 2019 are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940" w:type="dxa"/>
            <w:vAlign w:val="bottom"/>
            <w:gridSpan w:val="8"/>
            <w:shd w:val="clear" w:color="auto" w:fill="CCEEFF"/>
          </w:tcPr>
          <w:p>
            <w:pPr>
              <w:ind w:left="760"/>
              <w:spacing w:after="0"/>
              <w:rPr>
                <w:sz w:val="20"/>
                <w:szCs w:val="20"/>
                <w:color w:val="auto"/>
              </w:rPr>
            </w:pPr>
            <w:r>
              <w:rPr>
                <w:rFonts w:ascii="Arial" w:cs="Arial" w:eastAsia="Arial" w:hAnsi="Arial"/>
                <w:sz w:val="14"/>
                <w:szCs w:val="14"/>
                <w:b w:val="1"/>
                <w:bCs w:val="1"/>
                <w:color w:val="auto"/>
              </w:rPr>
              <w:t>Three months ended 9/30/2020</w:t>
            </w:r>
          </w:p>
        </w:tc>
        <w:tc>
          <w:tcPr>
            <w:tcW w:w="140" w:type="dxa"/>
            <w:vAlign w:val="bottom"/>
            <w:shd w:val="clear" w:color="auto" w:fill="CCEEFF"/>
          </w:tcPr>
          <w:p>
            <w:pPr>
              <w:spacing w:after="0"/>
              <w:rPr>
                <w:sz w:val="16"/>
                <w:szCs w:val="16"/>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9/30/2019</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1"/>
                <w:szCs w:val="11"/>
                <w:color w:val="auto"/>
              </w:rPr>
            </w:pPr>
          </w:p>
        </w:tc>
        <w:tc>
          <w:tcPr>
            <w:tcW w:w="11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1"/>
                <w:szCs w:val="11"/>
                <w:color w:val="auto"/>
              </w:rPr>
            </w:pPr>
          </w:p>
        </w:tc>
        <w:tc>
          <w:tcPr>
            <w:tcW w:w="13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3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1"/>
                <w:szCs w:val="11"/>
                <w:color w:val="auto"/>
              </w:rPr>
            </w:pP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16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75"/>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5"/>
                <w:szCs w:val="15"/>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57"/>
        </w:trPr>
        <w:tc>
          <w:tcPr>
            <w:tcW w:w="3160" w:type="dxa"/>
            <w:vAlign w:val="bottom"/>
          </w:tcPr>
          <w:p>
            <w:pPr>
              <w:ind w:left="20"/>
              <w:spacing w:after="0" w:line="158" w:lineRule="exact"/>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before reclassifications and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Reclassification adjustments recognized</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other comprehensive income (loss) in the table above excludes $20.8 million in the 2020 quarter and $(17.4) million in the 2019 quarter of other comprehensive income (loss) related to redeemable non-controlling interests held in our consolidated products.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17" w:name="page18"/>
    <w:bookmarkEnd w:id="17"/>
    <w:p>
      <w:pPr>
        <w:ind w:right="2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nine months ended September 30, 2020 and 2019, are presented in the table below.</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98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Nine months ended 9/30/2020</w:t>
            </w:r>
          </w:p>
        </w:tc>
        <w:tc>
          <w:tcPr>
            <w:tcW w:w="140" w:type="dxa"/>
            <w:vAlign w:val="bottom"/>
            <w:shd w:val="clear" w:color="auto" w:fill="CCEEFF"/>
          </w:tcPr>
          <w:p>
            <w:pPr>
              <w:spacing w:after="0"/>
              <w:rPr>
                <w:sz w:val="16"/>
                <w:szCs w:val="16"/>
                <w:color w:val="auto"/>
              </w:rPr>
            </w:pPr>
          </w:p>
        </w:tc>
        <w:tc>
          <w:tcPr>
            <w:tcW w:w="3840" w:type="dxa"/>
            <w:vAlign w:val="bottom"/>
            <w:gridSpan w:val="7"/>
            <w:shd w:val="clear" w:color="auto" w:fill="CCEEFF"/>
          </w:tcPr>
          <w:p>
            <w:pPr>
              <w:jc w:val="center"/>
              <w:ind w:right="95"/>
              <w:spacing w:after="0"/>
              <w:rPr>
                <w:sz w:val="20"/>
                <w:szCs w:val="20"/>
                <w:color w:val="auto"/>
              </w:rPr>
            </w:pPr>
            <w:r>
              <w:rPr>
                <w:rFonts w:ascii="Arial" w:cs="Arial" w:eastAsia="Arial" w:hAnsi="Arial"/>
                <w:sz w:val="14"/>
                <w:szCs w:val="14"/>
                <w:b w:val="1"/>
                <w:bCs w:val="1"/>
                <w:color w:val="auto"/>
              </w:rPr>
              <w:t>Nine months ended 9/30/2019</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3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1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products -</w:t>
            </w:r>
          </w:p>
        </w:tc>
        <w:tc>
          <w:tcPr>
            <w:tcW w:w="1380" w:type="dxa"/>
            <w:vAlign w:val="bottom"/>
            <w:gridSpan w:val="3"/>
            <w:vMerge w:val="continue"/>
          </w:tcPr>
          <w:p>
            <w:pPr>
              <w:spacing w:after="0"/>
              <w:rPr>
                <w:sz w:val="11"/>
                <w:szCs w:val="11"/>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translation</w:t>
            </w:r>
          </w:p>
        </w:tc>
        <w:tc>
          <w:tcPr>
            <w:tcW w:w="1300" w:type="dxa"/>
            <w:vAlign w:val="bottom"/>
            <w:gridSpan w:val="3"/>
            <w:vMerge w:val="continue"/>
          </w:tcPr>
          <w:p>
            <w:pPr>
              <w:spacing w:after="0"/>
              <w:rPr>
                <w:sz w:val="11"/>
                <w:szCs w:val="11"/>
                <w:color w:val="auto"/>
              </w:rPr>
            </w:pPr>
          </w:p>
        </w:tc>
        <w:tc>
          <w:tcPr>
            <w:tcW w:w="14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products - variable</w:t>
            </w:r>
          </w:p>
        </w:tc>
        <w:tc>
          <w:tcPr>
            <w:tcW w:w="100" w:type="dxa"/>
            <w:vAlign w:val="bottom"/>
          </w:tcPr>
          <w:p>
            <w:pPr>
              <w:spacing w:after="0"/>
              <w:rPr>
                <w:sz w:val="11"/>
                <w:szCs w:val="11"/>
                <w:color w:val="auto"/>
              </w:rPr>
            </w:pPr>
          </w:p>
        </w:tc>
        <w:tc>
          <w:tcPr>
            <w:tcW w:w="114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 entities</w:t>
            </w:r>
          </w:p>
        </w:tc>
        <w:tc>
          <w:tcPr>
            <w:tcW w:w="100" w:type="dxa"/>
            <w:vAlign w:val="bottom"/>
          </w:tcPr>
          <w:p>
            <w:pPr>
              <w:spacing w:after="0"/>
              <w:rPr>
                <w:sz w:val="15"/>
                <w:szCs w:val="15"/>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57"/>
        </w:trPr>
        <w:tc>
          <w:tcPr>
            <w:tcW w:w="3080" w:type="dxa"/>
            <w:vAlign w:val="bottom"/>
          </w:tcPr>
          <w:p>
            <w:pPr>
              <w:ind w:left="20"/>
              <w:spacing w:after="0" w:line="158" w:lineRule="exact"/>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1"/>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Reclassification adjustments recognized</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other comprehensive income (loss) in the table above excludes $13.9 million for the 2020 period and $(17.7) million for the 2019 period of other comprehensive income (loss) related to redeemable non-controlling interests held in our consolidated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Plaintiffs have filed a motion for partial summary judgment and defendants have filed a cross-motion for summary judgment, and briefing is underway. We cannot predict the eventual outcome, or whether it will have a material negative impact on our financial results, or estimate the possible loss or range of loss that may arise from any negative outcome.</w:t>
      </w:r>
    </w:p>
    <w:p>
      <w:pPr>
        <w:spacing w:after="0" w:line="235"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3"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2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2020, the related condensed consolidated statements of income and comprehensive income, and stockholders’ equity for the three-month and nine-month periods ended September 30, 2020 and 2019, the related condensed consolidated statements of cash flows for the nine-month periods ended September 30, 2020 and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2019, and the related consolidated statements of income, comprehensive income, stockholders’ equity, and cash flows for the year then ended (not presented herein); and in our report dated February 13, 2020, we expressed an unqualified opinion on those consolidated financial statements. In our opinion, the information set forth in the accompanying condensed consolidated balance sheet as of December 31, 2019, is fairly stated, in all material respects, in relation to the consolidated balance sheet from which it has been derived.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T. Rowe Price products. The other T. Rowe Price products include: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collective investment trusts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one-third of our operating expenses are impacted by fluctuations in our assets under management.</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distribution professionals, technologies, and new product offerings; and, most importantly, we provide our clients with strong investment management expertise and service both now and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Led by large-cap growth stocks, U.S. equities generated strong returns in the third quarter. Stocks rose for much of the summer, helped by better-than-expected second-quarter corporate earnings reports amid very low earnings expectations, as well as largely positive news flow about potential vaccines and treatments for the coronavirus. In fact, the S&amp;P 500 Index hit an all-time high during the quarter, surpassing its previous peak in February 2020. Stocks retreated a bit in September amid concerns about valuations in some sectors due to significant gains since late March. Some investors were also concerned about the durability of the economic recovery and disappointed that Congress failed to agree on new fiscal stimulus legislation.</w:t>
      </w:r>
    </w:p>
    <w:p>
      <w:pPr>
        <w:spacing w:after="0" w:line="23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Stocks in developed non-U.S. equity markets also advanced in U.S. dollar terms. European stock markets were mostly positive, led by Denmark, Ireland, and Sweden—in all three countries, equities returned about 15%. Developed Asian and Far East markets were mixed, but Japanese shares led the way, returning more than 7%.</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Emerging markets stocks outperformed developed non-U.S. equity markets. Asian emerging markets were mostly positive; Taiwanese shares led the region with a 17% gain. Latin American shares were mixed, as Argentine shares rose about 7% while Chilean shares fell 4%. Most emerging European markets declined. Turkey experienced one of the steepest drops, with stocks falling more than 15% in U.S. dollar terms amid an 11% decline in the lira versus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Returns of several major equity market indexes for the three- and nine-month periods ended September 30, 2020,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9/30/2020</w:t>
            </w: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5.6%</w:t>
            </w:r>
          </w:p>
        </w:tc>
      </w:tr>
      <w:tr>
        <w:trPr>
          <w:trHeight w:val="229"/>
        </w:trPr>
        <w:tc>
          <w:tcPr>
            <w:tcW w:w="8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11.0%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24.5%</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(8.7)%</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460" w:type="dxa"/>
            <w:vAlign w:val="bottom"/>
          </w:tcPr>
          <w:p>
            <w:pPr>
              <w:jc w:val="cente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(6.7)%</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w:t>
            </w:r>
          </w:p>
        </w:tc>
      </w:tr>
    </w:tbl>
    <w:p>
      <w:pPr>
        <w:spacing w:after="0" w:line="72" w:lineRule="exact"/>
        <w:rPr>
          <w:sz w:val="20"/>
          <w:szCs w:val="20"/>
          <w:color w:val="auto"/>
        </w:rPr>
      </w:pPr>
    </w:p>
    <w:p>
      <w:pPr>
        <w:ind w:left="180" w:hanging="13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Global bonds produced mostly positive returns. In the U.S. investment-grade market, corporate bonds were among the best performers, as credit spreads remained relatively narrow and, in some cases, tightened amid healthy demand for securities with a yield advantage. Treasuries and mortgage-backed securities lagged with close to flat returns. The Federal Reserve kept short-term interest rates near 0%; the 10-year U.S. Treasury note yield increased from 0.66% to 0.69%. Tax-free municipal bonds produced positive returns and outperformed the broad taxable bond market. High yield corporate bonds easily outperformed the investment-grade market.</w:t>
      </w:r>
    </w:p>
    <w:p>
      <w:pPr>
        <w:spacing w:after="0" w:line="22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Bonds in developed non-U.S. markets produced strong gains in U.S. dollar terms. Dollar weakness against the euro, the pound, and the yen boosted European and Japanese bond returns in dollar terms. Emerging markets bonds generally rose, but weakness in certain currencies weighed on the performance of some local bond markets in U.S. dollar terms.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nine-month periods ended September 30, 2020,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9/30/2020</w:t>
            </w: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6.8%</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460" w:type="dxa"/>
            <w:vAlign w:val="bottom"/>
          </w:tcPr>
          <w:p>
            <w:pPr>
              <w:jc w:val="cente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(1.1)%</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146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4.7%</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Assets under management ended the third quarter of 2020 at $1,310.4 billion, an increase of $90.4 billion from June 30, 2020. This increase was driven by market appreciation, partially offset by net cash outflows of $5.3 billion. In addition, we acquired client contracts from PNC Bank in September 2020 that added $1.2 billion of stable value assets under management. Clients transferred $2.4 billion in net assets from the U.S. mutual funds to collective investment trusts and other investment products, of which $1.6 billion transferred into the retirement date trusts. Market appreciation and income, net of dividends not reinvested, increased our assets under management by $94.5 billion in the third quarter of 2020.</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nine months ended September 30, 2020,assets under management increased $103.6 billion from the end of 2019. This increase was driven by market appreciation, partially offset by net cash inflows of $3.4 billion. In addition, we acquired client contracts from PNC Bank in September 2020 that added $1.2 billion of stable value assets under management. Clients transferred $11.2 billion in net assets from the U.S. mutual funds to collective investment trusts and other investment products, of which $7.7 billion transferred into the retirement date trusts. Market appreciation and income, net of dividends not reinvested, increased our assets under management by $99.0 billion in the nine months ended September 30, 2020.</w:t>
      </w:r>
    </w:p>
    <w:p>
      <w:pPr>
        <w:spacing w:after="0" w:line="2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tables detail changes in our assets under management, by vehicle and asset class during the three- and nine-month periods ended September 30,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300" w:type="dxa"/>
            <w:vAlign w:val="bottom"/>
            <w:tcBorders>
              <w:bottom w:val="single" w:sz="8" w:color="auto"/>
            </w:tcBorders>
            <w:gridSpan w:val="9"/>
            <w:shd w:val="clear" w:color="auto" w:fill="CCEEFF"/>
          </w:tcPr>
          <w:p>
            <w:pPr>
              <w:ind w:left="60"/>
              <w:spacing w:after="0"/>
              <w:rPr>
                <w:sz w:val="20"/>
                <w:szCs w:val="20"/>
                <w:color w:val="auto"/>
              </w:rPr>
            </w:pPr>
            <w:r>
              <w:rPr>
                <w:rFonts w:ascii="Arial" w:cs="Arial" w:eastAsia="Arial" w:hAnsi="Arial"/>
                <w:sz w:val="14"/>
                <w:szCs w:val="14"/>
                <w:b w:val="1"/>
                <w:bCs w:val="1"/>
                <w:color w:val="auto"/>
              </w:rPr>
              <w:t>Three months ended 9/30/2020</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4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9/30/2020</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Collective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Collective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rPr>
              <w:t>Subadvised</w:t>
            </w:r>
          </w:p>
        </w:tc>
        <w:tc>
          <w:tcPr>
            <w:tcW w:w="60" w:type="dxa"/>
            <w:vAlign w:val="bottom"/>
          </w:tcPr>
          <w:p>
            <w:pPr>
              <w:spacing w:after="0"/>
              <w:rPr>
                <w:sz w:val="11"/>
                <w:szCs w:val="11"/>
                <w:color w:val="auto"/>
              </w:rPr>
            </w:pPr>
          </w:p>
        </w:tc>
        <w:tc>
          <w:tcPr>
            <w:tcW w:w="110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Subadvised</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trusts and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trusts and</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funds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funds and</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vMerge w:val="restart"/>
          </w:tcPr>
          <w:p>
            <w:pPr>
              <w:spacing w:after="0"/>
              <w:rPr>
                <w:sz w:val="20"/>
                <w:szCs w:val="20"/>
                <w:color w:val="auto"/>
              </w:rPr>
            </w:pPr>
            <w:r>
              <w:rPr>
                <w:rFonts w:ascii="Arial" w:cs="Arial" w:eastAsia="Arial" w:hAnsi="Arial"/>
                <w:sz w:val="14"/>
                <w:szCs w:val="14"/>
                <w:color w:val="auto"/>
              </w:rPr>
              <w:t>(in billions)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mutual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separate</w:t>
            </w:r>
          </w:p>
        </w:tc>
        <w:tc>
          <w:tcPr>
            <w:tcW w:w="60" w:type="dxa"/>
            <w:vAlign w:val="bottom"/>
          </w:tcPr>
          <w:p>
            <w:pPr>
              <w:spacing w:after="0"/>
              <w:rPr>
                <w:sz w:val="11"/>
                <w:szCs w:val="11"/>
                <w:color w:val="auto"/>
              </w:rPr>
            </w:pPr>
          </w:p>
        </w:tc>
        <w:tc>
          <w:tcPr>
            <w:tcW w:w="110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mutual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separate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1"/>
                <w:szCs w:val="11"/>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9"/>
              </w:rPr>
              <w:t>funds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accounts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products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right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funds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268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color w:val="auto"/>
              </w:rPr>
              <w:t>Assets under management at</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670.8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327.5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1,220.0</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cash flows before client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transfers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line="216" w:lineRule="exact"/>
              <w:rPr>
                <w:sz w:val="20"/>
                <w:szCs w:val="20"/>
                <w:color w:val="auto"/>
              </w:rPr>
            </w:pPr>
            <w:r>
              <w:rPr>
                <w:rFonts w:ascii="Arial" w:cs="Arial" w:eastAsia="Arial" w:hAnsi="Arial"/>
                <w:sz w:val="16"/>
                <w:szCs w:val="16"/>
                <w:color w:val="auto"/>
              </w:rPr>
              <w:t>Client transfers</w:t>
            </w:r>
            <w:r>
              <w:rPr>
                <w:rFonts w:ascii="Arial" w:cs="Arial" w:eastAsia="Arial" w:hAnsi="Arial"/>
                <w:sz w:val="21"/>
                <w:szCs w:val="21"/>
                <w:color w:val="auto"/>
                <w:vertAlign w:val="superscript"/>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flows after client transfers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Net market appreciation and income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51.8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94.6</w:t>
            </w: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53.1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Net distributions not reinvested</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6"/>
                <w:szCs w:val="16"/>
                <w:color w:val="auto"/>
              </w:rPr>
              <w:t>Acquired AUM</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 during the period</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Assets under management at</w:t>
            </w:r>
          </w:p>
        </w:tc>
        <w:tc>
          <w:tcPr>
            <w:tcW w:w="1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716.2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354.3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1,310.4</w:t>
            </w: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716.2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354.3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1,310.4</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spacing w:after="0" w:line="174" w:lineRule="exact"/>
              <w:rPr>
                <w:sz w:val="20"/>
                <w:szCs w:val="20"/>
                <w:color w:val="auto"/>
              </w:rPr>
            </w:pPr>
            <w:r>
              <w:rPr>
                <w:rFonts w:ascii="Arial" w:cs="Arial" w:eastAsia="Arial" w:hAnsi="Arial"/>
                <w:sz w:val="16"/>
                <w:szCs w:val="16"/>
                <w:color w:val="auto"/>
              </w:rPr>
              <w:t>September 30, 2020</w:t>
            </w:r>
          </w:p>
        </w:tc>
        <w:tc>
          <w:tcPr>
            <w:tcW w:w="160" w:type="dxa"/>
            <w:vAlign w:val="bottom"/>
            <w:tcBorders>
              <w:bottom w:val="single" w:sz="8" w:color="auto"/>
            </w:tcBorders>
            <w:gridSpan w:val="2"/>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gridSpan w:val="2"/>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102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gridSpan w:val="8"/>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Three months ended 9/30/2020</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40" w:type="dxa"/>
            <w:vAlign w:val="bottom"/>
            <w:tcBorders>
              <w:bottom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9/30/2020</w:t>
            </w: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Fixed income,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rPr>
              <w:t>Fixed income,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including</w:t>
            </w:r>
          </w:p>
        </w:tc>
        <w:tc>
          <w:tcPr>
            <w:tcW w:w="60" w:type="dxa"/>
            <w:vAlign w:val="bottom"/>
          </w:tcPr>
          <w:p>
            <w:pPr>
              <w:spacing w:after="0"/>
              <w:rPr>
                <w:sz w:val="11"/>
                <w:szCs w:val="11"/>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9"/>
                <w:szCs w:val="9"/>
                <w:b w:val="1"/>
                <w:bCs w:val="1"/>
                <w:color w:val="auto"/>
              </w:rPr>
              <w:t>(2)</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right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rPr>
              <w:t>including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9"/>
                <w:szCs w:val="9"/>
                <w:b w:val="1"/>
                <w:bCs w:val="1"/>
                <w:color w:val="auto"/>
              </w:rPr>
              <w:t>(2)</w:t>
            </w:r>
          </w:p>
        </w:tc>
        <w:tc>
          <w:tcPr>
            <w:tcW w:w="180" w:type="dxa"/>
            <w:vAlign w:val="bottom"/>
          </w:tcPr>
          <w:p>
            <w:pPr>
              <w:spacing w:after="0"/>
              <w:rPr>
                <w:sz w:val="11"/>
                <w:szCs w:val="11"/>
                <w:color w:val="auto"/>
              </w:rPr>
            </w:pPr>
          </w:p>
        </w:tc>
        <w:tc>
          <w:tcPr>
            <w:tcW w:w="7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money market</w:t>
            </w:r>
          </w:p>
        </w:tc>
        <w:tc>
          <w:tcPr>
            <w:tcW w:w="6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right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money market</w:t>
            </w:r>
          </w:p>
        </w:tc>
        <w:tc>
          <w:tcPr>
            <w:tcW w:w="11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8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Assets under management at</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1,220.0</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tcPr>
          <w:p>
            <w:pPr>
              <w:ind w:left="20"/>
              <w:spacing w:after="0" w:line="175" w:lineRule="exact"/>
              <w:rPr>
                <w:sz w:val="20"/>
                <w:szCs w:val="20"/>
                <w:color w:val="auto"/>
              </w:rPr>
            </w:pPr>
            <w:r>
              <w:rPr>
                <w:rFonts w:ascii="Arial" w:cs="Arial" w:eastAsia="Arial" w:hAnsi="Arial"/>
                <w:sz w:val="16"/>
                <w:szCs w:val="16"/>
                <w:color w:val="auto"/>
              </w:rPr>
              <w:t>Net market appreciation and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tcPr>
          <w:p>
            <w:pPr>
              <w:ind w:left="20"/>
              <w:spacing w:after="0" w:line="204"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94.5</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AUM</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Assets under management at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785.8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1,310.4</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785.8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September 30, 2020</w:t>
            </w:r>
          </w:p>
        </w:tc>
        <w:tc>
          <w:tcPr>
            <w:tcW w:w="16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180" w:hanging="172"/>
        <w:spacing w:after="0" w:line="217" w:lineRule="auto"/>
        <w:tabs>
          <w:tab w:leader="none" w:pos="158"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Client transfers for subadvised funds and separate accounts as well as collective investment trusts and other investment products in the nine months ended September 30, 2020 have been updated to reflect an adjustment from the second quarter of 2020.</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ind w:left="140" w:hanging="132"/>
        <w:spacing w:after="0"/>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The underlying assets under management of the multi-asset portfolios have been aggregated and presented in this category and not reported in the equity and fixed income columns.</w:t>
      </w:r>
    </w:p>
    <w:p>
      <w:pPr>
        <w:spacing w:after="0" w:line="23" w:lineRule="exact"/>
        <w:rPr>
          <w:rFonts w:ascii="Arial" w:cs="Arial" w:eastAsia="Arial" w:hAnsi="Arial"/>
          <w:sz w:val="16"/>
          <w:szCs w:val="16"/>
          <w:i w:val="1"/>
          <w:iCs w:val="1"/>
          <w:color w:val="auto"/>
          <w:vertAlign w:val="superscript"/>
        </w:rPr>
      </w:pPr>
    </w:p>
    <w:p>
      <w:pPr>
        <w:ind w:left="160" w:hanging="152"/>
        <w:spacing w:after="0" w:line="186" w:lineRule="auto"/>
        <w:tabs>
          <w:tab w:leader="none" w:pos="160" w:val="left"/>
        </w:tabs>
        <w:numPr>
          <w:ilvl w:val="0"/>
          <w:numId w:val="8"/>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distributions reinvested and not reinvested.</w:t>
      </w:r>
    </w:p>
    <w:p>
      <w:pPr>
        <w:spacing w:after="0" w:line="24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Investment advisory clients outside the U.S. account for about 8.7% of our assets under management at September 30, 2020 and 6.9% at December 31, 2019.</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r>
      <w:tr>
        <w:trPr>
          <w:trHeight w:val="18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billions)</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6/30/2020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12/31/2019</w:t>
            </w: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Target date retirement U.S. mutual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164.8</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Target date separate accounts</w:t>
            </w:r>
          </w:p>
        </w:tc>
        <w:tc>
          <w:tcPr>
            <w:tcW w:w="2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8.4</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Target date retirement trusts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119.2</w:t>
            </w:r>
          </w:p>
        </w:tc>
      </w:tr>
      <w:tr>
        <w:trPr>
          <w:trHeight w:val="207"/>
        </w:trPr>
        <w:tc>
          <w:tcPr>
            <w:tcW w:w="65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296.6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292.4</w:t>
            </w:r>
          </w:p>
        </w:tc>
      </w:tr>
      <w:tr>
        <w:trPr>
          <w:trHeight w:val="23"/>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target date retirement products experienced net cash outflows of $5.5 billion in the third quarter of 2020 and net cash outflows of $5.0 billion in the first nine months of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5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is a key driver to attracting and retaining assets—and to our long-term success. We have expanded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to include specific asset classes, assets under management weighted performance, mutual fund performance against passive peers and composite performance against benchmarks. The following table presents investment performance for the one-, three-, five-, and 10-years ended September 30, 2020. Past performance is no guarantee of future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2"/>
        </w:trPr>
        <w:tc>
          <w:tcPr>
            <w:tcW w:w="3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67%</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111"/>
        </w:trPr>
        <w:tc>
          <w:tcPr>
            <w:tcW w:w="568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5780" w:type="dxa"/>
            <w:vAlign w:val="bottom"/>
            <w:gridSpan w:val="3"/>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3940" w:type="dxa"/>
            <w:vAlign w:val="bottom"/>
          </w:tcPr>
          <w:p>
            <w:pPr>
              <w:ind w:left="22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67%</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65%</w:t>
            </w: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3"/>
        </w:trPr>
        <w:tc>
          <w:tcPr>
            <w:tcW w:w="3940" w:type="dxa"/>
            <w:vAlign w:val="bottom"/>
          </w:tcPr>
          <w:p>
            <w:pPr>
              <w:ind w:left="22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68%</w:t>
            </w:r>
          </w:p>
        </w:tc>
      </w:tr>
      <w:tr>
        <w:trPr>
          <w:trHeight w:val="219"/>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r>
      <w:tr>
        <w:trPr>
          <w:trHeight w:val="149"/>
        </w:trPr>
        <w:tc>
          <w:tcPr>
            <w:tcW w:w="39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3" w:name="page24"/>
    <w:bookmarkEnd w:id="23"/>
    <w:p>
      <w:pPr>
        <w:spacing w:after="0" w:line="191" w:lineRule="auto"/>
        <w:framePr w:w="2260" w:h="147" w:wrap="auto" w:vAnchor="page" w:hAnchor="page" w:x="300" w:y="952"/>
        <w:rPr>
          <w:rFonts w:ascii="Arial" w:cs="Arial" w:eastAsia="Arial" w:hAnsi="Arial"/>
          <w:sz w:val="16"/>
          <w:szCs w:val="16"/>
          <w:b w:val="1"/>
          <w:bCs w:val="1"/>
          <w:color w:val="auto"/>
        </w:rPr>
      </w:pPr>
      <w:r>
        <w:rPr>
          <w:rFonts w:ascii="Arial" w:cs="Arial" w:eastAsia="Arial" w:hAnsi="Arial"/>
          <w:sz w:val="16"/>
          <w:szCs w:val="16"/>
          <w:b w:val="1"/>
          <w:bCs w:val="1"/>
          <w:color w:val="auto"/>
        </w:rPr>
        <w:t>AUM Weighted Performance</w:t>
      </w:r>
    </w:p>
    <w:tbl>
      <w:tblPr>
        <w:tblLayout w:type="fixed"/>
        <w:tblInd w:w="0" w:type="dxa"/>
        <w:tblCellMar>
          <w:top w:w="0" w:type="dxa"/>
          <w:left w:w="0" w:type="dxa"/>
          <w:bottom w:w="0" w:type="dxa"/>
          <w:right w:w="0" w:type="dxa"/>
        </w:tblCellMar>
      </w:tblPr>
      <w:tr>
        <w:trPr>
          <w:trHeight w:val="40"/>
        </w:trPr>
        <w:tc>
          <w:tcPr>
            <w:tcW w:w="20" w:type="dxa"/>
            <w:vAlign w:val="bottom"/>
            <w:tcBorders>
              <w:top w:val="single" w:sz="8" w:color="CCEEFF"/>
            </w:tcBorders>
            <w:shd w:val="clear" w:color="auto" w:fill="CCEEFF"/>
          </w:tcPr>
          <w:p>
            <w:pPr>
              <w:spacing w:after="0"/>
              <w:rPr>
                <w:sz w:val="3"/>
                <w:szCs w:val="3"/>
                <w:color w:val="auto"/>
              </w:rPr>
            </w:pPr>
          </w:p>
        </w:tc>
        <w:tc>
          <w:tcPr>
            <w:tcW w:w="2180" w:type="dxa"/>
            <w:vAlign w:val="bottom"/>
            <w:tcBorders>
              <w:top w:val="single" w:sz="8" w:color="auto"/>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7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760" w:type="dxa"/>
            <w:vAlign w:val="bottom"/>
            <w:tcBorders>
              <w:top w:val="single" w:sz="8" w:color="CCEEFF"/>
            </w:tcBorders>
            <w:shd w:val="clear" w:color="auto" w:fill="CCEEFF"/>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5760" w:type="dxa"/>
            <w:vAlign w:val="bottom"/>
            <w:gridSpan w:val="5"/>
          </w:tcPr>
          <w:p>
            <w:pPr>
              <w:spacing w:after="0" w:line="190"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49%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Multi-Asset</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97%</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34%</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Multi-Asset</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87%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All Funds</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77%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165"/>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78%</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44%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0"/>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All Composites</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bl>
    <w:p>
      <w:pPr>
        <w:spacing w:after="0" w:line="113" w:lineRule="exact"/>
        <w:rPr>
          <w:rFonts w:ascii="Arial" w:cs="Arial" w:eastAsia="Arial" w:hAnsi="Arial"/>
          <w:sz w:val="16"/>
          <w:szCs w:val="16"/>
          <w:b w:val="1"/>
          <w:bCs w:val="1"/>
          <w:color w:val="auto"/>
        </w:rPr>
      </w:pPr>
    </w:p>
    <w:p>
      <w:pPr>
        <w:ind w:right="40"/>
        <w:spacing w:after="0" w:line="229" w:lineRule="auto"/>
        <w:rPr>
          <w:sz w:val="20"/>
          <w:szCs w:val="20"/>
          <w:color w:val="auto"/>
        </w:rPr>
      </w:pPr>
      <w:r>
        <w:rPr>
          <w:rFonts w:ascii="Arial" w:cs="Arial" w:eastAsia="Arial" w:hAnsi="Arial"/>
          <w:sz w:val="18"/>
          <w:szCs w:val="18"/>
          <w:color w:val="auto"/>
        </w:rPr>
        <w:t>As of September 30, 2020, 74 of 124 (60%) of our rated U.S. mutual funds (across primary share classes) received an overall rating of 4 or 5 stars. By comparison, 32.5% of Morningstar's fund population is given a rate of four or five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85%</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our rated U.S. mutual funds (across primary share classes) ended the third quarter of 2020 with an overall rating of four or five stars.</w:t>
      </w:r>
    </w:p>
    <w:p>
      <w:pPr>
        <w:spacing w:after="0" w:line="213" w:lineRule="exact"/>
        <w:rPr>
          <w:rFonts w:ascii="Arial" w:cs="Arial" w:eastAsia="Arial" w:hAnsi="Arial"/>
          <w:sz w:val="16"/>
          <w:szCs w:val="16"/>
          <w:b w:val="1"/>
          <w:bCs w:val="1"/>
          <w:color w:val="auto"/>
        </w:rPr>
      </w:pPr>
    </w:p>
    <w:p>
      <w:pPr>
        <w:ind w:right="200" w:firstLine="8"/>
        <w:spacing w:after="0" w:line="212" w:lineRule="auto"/>
        <w:tabs>
          <w:tab w:leader="none" w:pos="122" w:val="left"/>
        </w:tabs>
        <w:numPr>
          <w:ilvl w:val="0"/>
          <w:numId w:val="9"/>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2020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jc w:val="both"/>
        <w:ind w:right="60" w:firstLine="8"/>
        <w:spacing w:after="0" w:line="198" w:lineRule="auto"/>
        <w:tabs>
          <w:tab w:leader="none" w:pos="134" w:val="left"/>
        </w:tabs>
        <w:numPr>
          <w:ilvl w:val="0"/>
          <w:numId w:val="9"/>
        </w:numPr>
        <w:rPr>
          <w:rFonts w:ascii="Arial" w:cs="Arial" w:eastAsia="Arial" w:hAnsi="Arial"/>
          <w:sz w:val="15"/>
          <w:szCs w:val="15"/>
          <w:i w:val="1"/>
          <w:iCs w:val="1"/>
          <w:color w:val="auto"/>
          <w:vertAlign w:val="superscript"/>
        </w:rPr>
      </w:pPr>
      <w:r>
        <w:rPr>
          <w:rFonts w:ascii="Arial" w:cs="Arial" w:eastAsia="Arial" w:hAnsi="Arial"/>
          <w:sz w:val="12"/>
          <w:szCs w:val="12"/>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1-year, 3-year, 5-year, and 10-year track record that are outperforming the Morningstar category median. The bottom chart reflects the percentage of T. Rowe Price funds AUM that has outperformed for the time periods indicated. Total AUM included for this analysis includes $456B for 1 year, $456B for 3 years, $456B for 5 years, and $449B for 10 years.</w:t>
      </w:r>
    </w:p>
    <w:p>
      <w:pPr>
        <w:spacing w:after="0" w:line="2" w:lineRule="exact"/>
        <w:rPr>
          <w:rFonts w:ascii="Arial" w:cs="Arial" w:eastAsia="Arial" w:hAnsi="Arial"/>
          <w:sz w:val="15"/>
          <w:szCs w:val="15"/>
          <w:i w:val="1"/>
          <w:iCs w:val="1"/>
          <w:color w:val="auto"/>
          <w:vertAlign w:val="superscript"/>
        </w:rPr>
      </w:pPr>
    </w:p>
    <w:p>
      <w:pPr>
        <w:ind w:firstLine="8"/>
        <w:spacing w:after="0" w:line="201" w:lineRule="auto"/>
        <w:tabs>
          <w:tab w:leader="none" w:pos="135"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1-year, 3-year, 5-year, and 10-year track record that are outperforming the passive peer universe. The bottom chart reflects the percentage of T. Rowe Price funds AUM that has outperformed for the time periods indicated. Total AUM included for this analysis includes $436B for 1 year, $396B for 3 years, $394B for 5 years, and $377B for 10 years.</w:t>
      </w:r>
    </w:p>
    <w:p>
      <w:pPr>
        <w:ind w:right="80"/>
        <w:spacing w:after="0" w:line="184" w:lineRule="auto"/>
        <w:rPr>
          <w:rFonts w:ascii="Arial" w:cs="Arial" w:eastAsia="Arial" w:hAnsi="Arial"/>
          <w:sz w:val="15"/>
          <w:szCs w:val="15"/>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1-year, 3-year, 5-year, and 10-year track record that are outperforming their benchmarks. The bottom chart reflects the percentage of T. Rowe Price composite AUM that has outperformed for the time periods indicated. Total AUM included for this analysis includes $1,207B for 1 year, $1,195B for 3 years, $1,180B for 5 years, and $1,146B for 10 years.</w:t>
      </w:r>
    </w:p>
    <w:p>
      <w:pPr>
        <w:spacing w:after="0" w:line="1" w:lineRule="exact"/>
        <w:rPr>
          <w:rFonts w:ascii="Arial" w:cs="Arial" w:eastAsia="Arial" w:hAnsi="Arial"/>
          <w:sz w:val="15"/>
          <w:szCs w:val="15"/>
          <w:color w:val="auto"/>
          <w:vertAlign w:val="superscript"/>
        </w:rPr>
      </w:pPr>
    </w:p>
    <w:p>
      <w:pPr>
        <w:jc w:val="both"/>
        <w:ind w:right="120" w:firstLine="8"/>
        <w:spacing w:after="0" w:line="211" w:lineRule="auto"/>
        <w:tabs>
          <w:tab w:leader="none" w:pos="135"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 10% get 5 stars and 22.5% get 4 stars). The Overall Morningstar Rating™ is derived from a weighted average of the performance figures associated with a fund’s 3-, 5-, and 10-year (if applicable) Morningstar Rating™ metrics.</w:t>
      </w:r>
    </w:p>
    <w:p>
      <w:pPr>
        <w:spacing w:after="0" w:line="200" w:lineRule="exact"/>
        <w:rPr>
          <w:rFonts w:ascii="Arial" w:cs="Arial" w:eastAsia="Arial" w:hAnsi="Arial"/>
          <w:sz w:val="16"/>
          <w:szCs w:val="16"/>
          <w:b w:val="1"/>
          <w:bCs w:val="1"/>
          <w:color w:val="auto"/>
        </w:rPr>
      </w:pPr>
    </w:p>
    <w:p>
      <w:pPr>
        <w:spacing w:after="0" w:line="253"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74" w:lineRule="exact"/>
        <w:rPr>
          <w:rFonts w:ascii="Arial" w:cs="Arial" w:eastAsia="Arial" w:hAnsi="Arial"/>
          <w:sz w:val="16"/>
          <w:szCs w:val="16"/>
          <w:b w:val="1"/>
          <w:bCs w:val="1"/>
          <w:color w:val="auto"/>
        </w:rPr>
      </w:pPr>
    </w:p>
    <w:p>
      <w:pPr>
        <w:ind w:right="300"/>
        <w:spacing w:after="0" w:line="273" w:lineRule="auto"/>
        <w:rPr>
          <w:sz w:val="20"/>
          <w:szCs w:val="20"/>
          <w:color w:val="auto"/>
        </w:rPr>
      </w:pPr>
      <w:r>
        <w:rPr>
          <w:rFonts w:ascii="Arial" w:cs="Arial" w:eastAsia="Arial" w:hAnsi="Arial"/>
          <w:sz w:val="17"/>
          <w:szCs w:val="17"/>
          <w:color w:val="auto"/>
        </w:rPr>
        <w:t>The following table and discussion sets forth information regarding our consolidated financial results for the three and nine months ended September 30, 2020 and 2019 on a U.S. GAAP basis as well as a non-GAAP basis. The non-GAAP basis adjusts for the impact of our consolidated T. Rowe Price investment products, the impact of market appreciation/depreciation on the supplemental savings plan liability and related economic hedges, investment gains/losses related to certain other investments, and certain nonrecurring charges and gains.</w:t>
      </w:r>
    </w:p>
    <w:p>
      <w:pPr>
        <w:spacing w:after="0" w:line="200" w:lineRule="exact"/>
        <w:rPr>
          <w:rFonts w:ascii="Arial" w:cs="Arial" w:eastAsia="Arial" w:hAnsi="Arial"/>
          <w:sz w:val="16"/>
          <w:szCs w:val="16"/>
          <w:b w:val="1"/>
          <w:bCs w:val="1"/>
          <w:color w:val="auto"/>
        </w:rPr>
      </w:pPr>
    </w:p>
    <w:p>
      <w:pPr>
        <w:spacing w:after="0" w:line="328"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Q3 2020 vs. Q3 2019</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YTD 2020 vs. YTD 2019</w:t>
            </w:r>
          </w:p>
        </w:tc>
      </w:tr>
      <w:tr>
        <w:trPr>
          <w:trHeight w:val="183"/>
        </w:trPr>
        <w:tc>
          <w:tcPr>
            <w:tcW w:w="20" w:type="dxa"/>
            <w:vAlign w:val="bottom"/>
          </w:tcPr>
          <w:p>
            <w:pPr>
              <w:spacing w:after="0"/>
              <w:rPr>
                <w:sz w:val="15"/>
                <w:szCs w:val="15"/>
                <w:color w:val="auto"/>
              </w:rPr>
            </w:pPr>
          </w:p>
        </w:tc>
        <w:tc>
          <w:tcPr>
            <w:tcW w:w="228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40" w:type="dxa"/>
            <w:vAlign w:val="bottom"/>
          </w:tcPr>
          <w:p>
            <w:pPr>
              <w:spacing w:after="0"/>
              <w:rPr>
                <w:sz w:val="15"/>
                <w:szCs w:val="15"/>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9/30/2020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9/30/2019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8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U.S. GAAP basis</w:t>
            </w:r>
          </w:p>
        </w:tc>
        <w:tc>
          <w:tcPr>
            <w:tcW w:w="8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228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1,469.3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1,303.4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165.9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3,767.8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323.1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3"/>
        </w:trPr>
        <w:tc>
          <w:tcPr>
            <w:tcW w:w="20" w:type="dxa"/>
            <w:vAlign w:val="bottom"/>
          </w:tcPr>
          <w:p>
            <w:pPr>
              <w:spacing w:after="0"/>
              <w:rPr>
                <w:sz w:val="18"/>
                <w:szCs w:val="18"/>
                <w:color w:val="auto"/>
              </w:rPr>
            </w:pPr>
          </w:p>
        </w:tc>
        <w:tc>
          <w:tcPr>
            <w:tcW w:w="2280" w:type="dxa"/>
            <w:vAlign w:val="bottom"/>
            <w:gridSpan w:val="4"/>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2,484.0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2,342.5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16"/>
        </w:trPr>
        <w:tc>
          <w:tcPr>
            <w:tcW w:w="20" w:type="dxa"/>
            <w:vAlign w:val="bottom"/>
          </w:tcPr>
          <w:p>
            <w:pPr>
              <w:spacing w:after="0"/>
              <w:rPr>
                <w:sz w:val="18"/>
                <w:szCs w:val="18"/>
                <w:color w:val="auto"/>
              </w:rPr>
            </w:pPr>
          </w:p>
        </w:tc>
        <w:tc>
          <w:tcPr>
            <w:tcW w:w="228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ind w:left="76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(263.9)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177"/>
        </w:trPr>
        <w:tc>
          <w:tcPr>
            <w:tcW w:w="20" w:type="dxa"/>
            <w:vAlign w:val="bottom"/>
            <w:shd w:val="clear" w:color="auto" w:fill="CCEEFF"/>
          </w:tcPr>
          <w:p>
            <w:pPr>
              <w:spacing w:after="0"/>
              <w:rPr>
                <w:sz w:val="15"/>
                <w:szCs w:val="15"/>
                <w:color w:val="auto"/>
              </w:rPr>
            </w:pPr>
          </w:p>
        </w:tc>
        <w:tc>
          <w:tcPr>
            <w:tcW w:w="228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Net income attributable to 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Rowe Price Group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177"/>
        </w:trPr>
        <w:tc>
          <w:tcPr>
            <w:tcW w:w="20" w:type="dxa"/>
            <w:vAlign w:val="bottom"/>
          </w:tcPr>
          <w:p>
            <w:pPr>
              <w:spacing w:after="0"/>
              <w:rPr>
                <w:sz w:val="15"/>
                <w:szCs w:val="15"/>
                <w:color w:val="auto"/>
              </w:rPr>
            </w:pPr>
          </w:p>
        </w:tc>
        <w:tc>
          <w:tcPr>
            <w:tcW w:w="2280" w:type="dxa"/>
            <w:vAlign w:val="bottom"/>
            <w:gridSpan w:val="4"/>
          </w:tcPr>
          <w:p>
            <w:pPr>
              <w:spacing w:after="0" w:line="178" w:lineRule="exact"/>
              <w:rPr>
                <w:sz w:val="20"/>
                <w:szCs w:val="20"/>
                <w:color w:val="auto"/>
              </w:rPr>
            </w:pPr>
            <w:r>
              <w:rPr>
                <w:rFonts w:ascii="Arial" w:cs="Arial" w:eastAsia="Arial" w:hAnsi="Arial"/>
                <w:sz w:val="16"/>
                <w:szCs w:val="16"/>
                <w:color w:val="auto"/>
              </w:rPr>
              <w:t>Diluted earnings per common</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280" w:type="dxa"/>
            <w:vAlign w:val="bottom"/>
            <w:gridSpan w:val="4"/>
          </w:tcPr>
          <w:p>
            <w:pPr>
              <w:spacing w:after="0"/>
              <w:rPr>
                <w:sz w:val="20"/>
                <w:szCs w:val="20"/>
                <w:color w:val="auto"/>
              </w:rPr>
            </w:pPr>
            <w:r>
              <w:rPr>
                <w:rFonts w:ascii="Arial" w:cs="Arial" w:eastAsia="Arial" w:hAnsi="Arial"/>
                <w:sz w:val="16"/>
                <w:szCs w:val="16"/>
                <w:color w:val="auto"/>
              </w:rPr>
              <w:t>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180"/>
        </w:trPr>
        <w:tc>
          <w:tcPr>
            <w:tcW w:w="20" w:type="dxa"/>
            <w:vAlign w:val="bottom"/>
            <w:shd w:val="clear" w:color="auto" w:fill="CCEEFF"/>
          </w:tcPr>
          <w:p>
            <w:pPr>
              <w:spacing w:after="0"/>
              <w:rPr>
                <w:sz w:val="15"/>
                <w:szCs w:val="15"/>
                <w:color w:val="auto"/>
              </w:rPr>
            </w:pPr>
          </w:p>
        </w:tc>
        <w:tc>
          <w:tcPr>
            <w:tcW w:w="2280" w:type="dxa"/>
            <w:vAlign w:val="bottom"/>
            <w:gridSpan w:val="4"/>
            <w:shd w:val="clear" w:color="auto" w:fill="CCEEFF"/>
          </w:tcPr>
          <w:p>
            <w:pPr>
              <w:spacing w:after="0" w:line="181" w:lineRule="exact"/>
              <w:rPr>
                <w:sz w:val="20"/>
                <w:szCs w:val="20"/>
                <w:color w:val="auto"/>
              </w:rPr>
            </w:pPr>
            <w:r>
              <w:rPr>
                <w:rFonts w:ascii="Arial" w:cs="Arial" w:eastAsia="Arial" w:hAnsi="Arial"/>
                <w:sz w:val="16"/>
                <w:szCs w:val="16"/>
                <w:color w:val="auto"/>
              </w:rPr>
              <w:t>Weighted average common</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2"/>
        </w:trPr>
        <w:tc>
          <w:tcPr>
            <w:tcW w:w="20" w:type="dxa"/>
            <w:vAlign w:val="bottom"/>
            <w:shd w:val="clear" w:color="auto" w:fill="CCEEFF"/>
          </w:tcPr>
          <w:p>
            <w:pPr>
              <w:spacing w:after="0"/>
              <w:rPr>
                <w:sz w:val="14"/>
                <w:szCs w:val="14"/>
                <w:color w:val="auto"/>
              </w:rPr>
            </w:pPr>
          </w:p>
        </w:tc>
        <w:tc>
          <w:tcPr>
            <w:tcW w:w="2280" w:type="dxa"/>
            <w:vAlign w:val="bottom"/>
            <w:gridSpan w:val="4"/>
            <w:shd w:val="clear" w:color="auto" w:fill="CCEEFF"/>
          </w:tcPr>
          <w:p>
            <w:pPr>
              <w:spacing w:after="0" w:line="162" w:lineRule="exact"/>
              <w:rPr>
                <w:sz w:val="20"/>
                <w:szCs w:val="20"/>
                <w:color w:val="auto"/>
              </w:rPr>
            </w:pPr>
            <w:r>
              <w:rPr>
                <w:rFonts w:ascii="Arial" w:cs="Arial" w:eastAsia="Arial" w:hAnsi="Arial"/>
                <w:sz w:val="16"/>
                <w:szCs w:val="16"/>
                <w:color w:val="auto"/>
              </w:rPr>
              <w:t>shares outstanding assuming</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1"/>
        </w:trPr>
        <w:tc>
          <w:tcPr>
            <w:tcW w:w="20" w:type="dxa"/>
            <w:vAlign w:val="bottom"/>
            <w:shd w:val="clear" w:color="auto" w:fill="CCEEFF"/>
          </w:tcPr>
          <w:p>
            <w:pPr>
              <w:spacing w:after="0"/>
              <w:rPr>
                <w:sz w:val="17"/>
                <w:szCs w:val="17"/>
                <w:color w:val="auto"/>
              </w:rPr>
            </w:pPr>
          </w:p>
        </w:tc>
        <w:tc>
          <w:tcPr>
            <w:tcW w:w="2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dilution</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94"/>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4"/>
            <w:shd w:val="clear" w:color="auto" w:fill="CCEEFF"/>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(2)</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830.5</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765.1</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8.5 %</w:t>
            </w:r>
          </w:p>
        </w:tc>
        <w:tc>
          <w:tcPr>
            <w:tcW w:w="14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2,434.2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2,286.3</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6.5 %</w:t>
            </w:r>
          </w:p>
        </w:tc>
      </w:tr>
      <w:tr>
        <w:trPr>
          <w:trHeight w:val="219"/>
        </w:trPr>
        <w:tc>
          <w:tcPr>
            <w:tcW w:w="20" w:type="dxa"/>
            <w:vAlign w:val="bottom"/>
            <w:shd w:val="clear" w:color="auto" w:fill="CCEEFF"/>
          </w:tcPr>
          <w:p>
            <w:pPr>
              <w:spacing w:after="0"/>
              <w:rPr>
                <w:sz w:val="19"/>
                <w:szCs w:val="19"/>
                <w:color w:val="auto"/>
              </w:rPr>
            </w:pPr>
          </w:p>
        </w:tc>
        <w:tc>
          <w:tcPr>
            <w:tcW w:w="2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16"/>
        </w:trPr>
        <w:tc>
          <w:tcPr>
            <w:tcW w:w="20" w:type="dxa"/>
            <w:vAlign w:val="bottom"/>
          </w:tcPr>
          <w:p>
            <w:pPr>
              <w:spacing w:after="0"/>
              <w:rPr>
                <w:sz w:val="18"/>
                <w:szCs w:val="18"/>
                <w:color w:val="auto"/>
              </w:rPr>
            </w:pPr>
          </w:p>
        </w:tc>
        <w:tc>
          <w:tcPr>
            <w:tcW w:w="2280" w:type="dxa"/>
            <w:vAlign w:val="bottom"/>
            <w:gridSpan w:val="4"/>
          </w:tcPr>
          <w:p>
            <w:pPr>
              <w:spacing w:after="0" w:line="216" w:lineRule="exact"/>
              <w:rPr>
                <w:sz w:val="20"/>
                <w:szCs w:val="20"/>
                <w:color w:val="auto"/>
              </w:rPr>
            </w:pPr>
            <w:r>
              <w:rPr>
                <w:rFonts w:ascii="Arial" w:cs="Arial" w:eastAsia="Arial" w:hAnsi="Arial"/>
                <w:sz w:val="16"/>
                <w:szCs w:val="16"/>
                <w:color w:val="auto"/>
              </w:rPr>
              <w:t>Non-operating income</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ind w:left="76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177"/>
        </w:trPr>
        <w:tc>
          <w:tcPr>
            <w:tcW w:w="20" w:type="dxa"/>
            <w:vAlign w:val="bottom"/>
            <w:shd w:val="clear" w:color="auto" w:fill="CCEEFF"/>
          </w:tcPr>
          <w:p>
            <w:pPr>
              <w:spacing w:after="0"/>
              <w:rPr>
                <w:sz w:val="15"/>
                <w:szCs w:val="15"/>
                <w:color w:val="auto"/>
              </w:rPr>
            </w:pPr>
          </w:p>
        </w:tc>
        <w:tc>
          <w:tcPr>
            <w:tcW w:w="228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Net income attributable to 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Rowe Price Group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177"/>
        </w:trPr>
        <w:tc>
          <w:tcPr>
            <w:tcW w:w="20" w:type="dxa"/>
            <w:vAlign w:val="bottom"/>
          </w:tcPr>
          <w:p>
            <w:pPr>
              <w:spacing w:after="0"/>
              <w:rPr>
                <w:sz w:val="15"/>
                <w:szCs w:val="15"/>
                <w:color w:val="auto"/>
              </w:rPr>
            </w:pPr>
          </w:p>
        </w:tc>
        <w:tc>
          <w:tcPr>
            <w:tcW w:w="2280" w:type="dxa"/>
            <w:vAlign w:val="bottom"/>
            <w:gridSpan w:val="4"/>
          </w:tcPr>
          <w:p>
            <w:pPr>
              <w:spacing w:after="0" w:line="178" w:lineRule="exact"/>
              <w:rPr>
                <w:sz w:val="20"/>
                <w:szCs w:val="20"/>
                <w:color w:val="auto"/>
              </w:rPr>
            </w:pPr>
            <w:r>
              <w:rPr>
                <w:rFonts w:ascii="Arial" w:cs="Arial" w:eastAsia="Arial" w:hAnsi="Arial"/>
                <w:sz w:val="16"/>
                <w:szCs w:val="16"/>
                <w:color w:val="auto"/>
              </w:rPr>
              <w:t>Diluted earnings per common</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2280" w:type="dxa"/>
            <w:vAlign w:val="bottom"/>
            <w:gridSpan w:val="4"/>
          </w:tcPr>
          <w:p>
            <w:pPr>
              <w:spacing w:after="0"/>
              <w:rPr>
                <w:sz w:val="20"/>
                <w:szCs w:val="20"/>
                <w:color w:val="auto"/>
              </w:rPr>
            </w:pPr>
            <w:r>
              <w:rPr>
                <w:rFonts w:ascii="Arial" w:cs="Arial" w:eastAsia="Arial" w:hAnsi="Arial"/>
                <w:sz w:val="16"/>
                <w:szCs w:val="16"/>
                <w:color w:val="auto"/>
              </w:rPr>
              <w:t>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98"/>
        </w:trPr>
        <w:tc>
          <w:tcPr>
            <w:tcW w:w="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180" w:type="dxa"/>
            <w:vAlign w:val="bottom"/>
            <w:gridSpan w:val="3"/>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175"/>
        </w:trPr>
        <w:tc>
          <w:tcPr>
            <w:tcW w:w="20" w:type="dxa"/>
            <w:vAlign w:val="bottom"/>
          </w:tcPr>
          <w:p>
            <w:pPr>
              <w:spacing w:after="0"/>
              <w:rPr>
                <w:sz w:val="15"/>
                <w:szCs w:val="15"/>
                <w:color w:val="auto"/>
              </w:rPr>
            </w:pPr>
          </w:p>
        </w:tc>
        <w:tc>
          <w:tcPr>
            <w:tcW w:w="3360" w:type="dxa"/>
            <w:vAlign w:val="bottom"/>
            <w:gridSpan w:val="7"/>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280" w:type="dxa"/>
            <w:vAlign w:val="bottom"/>
            <w:gridSpan w:val="4"/>
            <w:shd w:val="clear" w:color="auto" w:fill="CCEEFF"/>
          </w:tcPr>
          <w:p>
            <w:pPr>
              <w:spacing w:after="0" w:line="178" w:lineRule="exact"/>
              <w:rPr>
                <w:sz w:val="20"/>
                <w:szCs w:val="20"/>
                <w:color w:val="auto"/>
              </w:rPr>
            </w:pPr>
            <w:r>
              <w:rPr>
                <w:rFonts w:ascii="Arial" w:cs="Arial" w:eastAsia="Arial" w:hAnsi="Arial"/>
                <w:sz w:val="16"/>
                <w:szCs w:val="16"/>
                <w:color w:val="auto"/>
              </w:rPr>
              <w:t>Average assets under</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22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177"/>
        </w:trPr>
        <w:tc>
          <w:tcPr>
            <w:tcW w:w="20" w:type="dxa"/>
            <w:vAlign w:val="bottom"/>
          </w:tcPr>
          <w:p>
            <w:pPr>
              <w:spacing w:after="0"/>
              <w:rPr>
                <w:sz w:val="15"/>
                <w:szCs w:val="15"/>
                <w:color w:val="auto"/>
              </w:rPr>
            </w:pPr>
          </w:p>
        </w:tc>
        <w:tc>
          <w:tcPr>
            <w:tcW w:w="2280" w:type="dxa"/>
            <w:vAlign w:val="bottom"/>
            <w:gridSpan w:val="4"/>
          </w:tcPr>
          <w:p>
            <w:pPr>
              <w:spacing w:after="0" w:line="178" w:lineRule="exact"/>
              <w:rPr>
                <w:sz w:val="20"/>
                <w:szCs w:val="20"/>
                <w:color w:val="auto"/>
              </w:rPr>
            </w:pPr>
            <w:r>
              <w:rPr>
                <w:rFonts w:ascii="Arial" w:cs="Arial" w:eastAsia="Arial" w:hAnsi="Arial"/>
                <w:sz w:val="16"/>
                <w:szCs w:val="16"/>
                <w:color w:val="auto"/>
              </w:rPr>
              <w:t>Ending assets under</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280" w:type="dxa"/>
            <w:vAlign w:val="bottom"/>
            <w:gridSpan w:val="4"/>
          </w:tcPr>
          <w:p>
            <w:pPr>
              <w:spacing w:after="0"/>
              <w:rPr>
                <w:sz w:val="20"/>
                <w:szCs w:val="20"/>
                <w:color w:val="auto"/>
              </w:rPr>
            </w:pPr>
            <w:r>
              <w:rPr>
                <w:rFonts w:ascii="Arial" w:cs="Arial" w:eastAsia="Arial" w:hAnsi="Arial"/>
                <w:sz w:val="16"/>
                <w:szCs w:val="16"/>
                <w:color w:val="auto"/>
              </w:rPr>
              <w:t>management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1,126.3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1,310.4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1,126.3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16.3 %</w:t>
            </w:r>
          </w:p>
        </w:tc>
      </w:tr>
    </w:tbl>
    <w:p>
      <w:pPr>
        <w:spacing w:after="0" w:line="72"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The percentage change in non-operating income (loss) is not meaningful (n/m).</w:t>
      </w:r>
    </w:p>
    <w:p>
      <w:pPr>
        <w:spacing w:after="0" w:line="15" w:lineRule="exact"/>
        <w:rPr>
          <w:rFonts w:ascii="Arial" w:cs="Arial" w:eastAsia="Arial" w:hAnsi="Arial"/>
          <w:sz w:val="9"/>
          <w:szCs w:val="9"/>
          <w:i w:val="1"/>
          <w:iCs w:val="1"/>
          <w:color w:val="auto"/>
        </w:rPr>
      </w:pPr>
    </w:p>
    <w:p>
      <w:pPr>
        <w:ind w:left="140" w:hanging="132"/>
        <w:spacing w:after="0"/>
        <w:tabs>
          <w:tab w:leader="none" w:pos="140" w:val="left"/>
        </w:tabs>
        <w:numPr>
          <w:ilvl w:val="0"/>
          <w:numId w:val="11"/>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September 30, 2020</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2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Investment advisory revenues earned in the third quarter of 2020 increased over the comparable 2019 quarter as average assets under our management increased $162.7 billion, or 14.4%, to $ 1,292.9 billion. In the third quarter of 2020, we voluntarily waived $6.4 million, or less than 1% of our investment advisory fees from certain of our money market mutual funds, trusts and other investment portfolios in order to maintain a positive yield for investors. At September 30, 2020, combined net assets of the investment portfolios in which we waived fees in the third quarter of 2020 were $23.2 billion. We expect to continue to waive fees for at least the remainder of 2020.</w:t>
      </w:r>
    </w:p>
    <w:p>
      <w:pPr>
        <w:spacing w:after="0" w:line="2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average annualized effective fee rate earned during the third quarter of 2020 was 45.2 basis points, compared with 45.8 basis points earned during the third quarter of 2019. Our annualized effective fee rate declined primarily due to client transfers within the complex to lower fee vehicles or share classes over the last twelve months and the money market fee waivers.</w:t>
      </w:r>
    </w:p>
    <w:p>
      <w:pPr>
        <w:spacing w:after="0" w:line="21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$866.9 million in the third quarter of 2020 compared with $767.6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increase in operating expenses for the third quarter of 2020 compared to the third quarter of 2019 was primarily due to a $33.3 million increase in operating expenses related to the supplemental savings plan from higher market returns, higher salaries and annual bonus accrual, and the firm’s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25" w:name="page26"/>
    <w:bookmarkEnd w:id="25"/>
    <w:p>
      <w:pPr>
        <w:ind w:right="40"/>
        <w:spacing w:after="0" w:line="261" w:lineRule="auto"/>
        <w:rPr>
          <w:sz w:val="20"/>
          <w:szCs w:val="20"/>
          <w:color w:val="auto"/>
        </w:rPr>
      </w:pPr>
      <w:r>
        <w:rPr>
          <w:rFonts w:ascii="Arial" w:cs="Arial" w:eastAsia="Arial" w:hAnsi="Arial"/>
          <w:sz w:val="18"/>
          <w:szCs w:val="18"/>
          <w:color w:val="auto"/>
        </w:rPr>
        <w:t>continued strategic investments. For the third quarter of 2020, the higher expense related to the supplemental savings plan was largely offset by the non-operating gains earned on the investments used to economically hedge the related liability.</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a non-GAAP basis, our operating expenses in the third quarter of 2020 increased 8.5% to $830.5 million compared to the third quarter of 2019. Our non-GAAP operating expenses do not include the impact of our supplemental savings plan and consolidated sponsored investment products. See our non-GAAP reconciliations later in this Management’s Discussion and Analysis section.</w:t>
      </w:r>
    </w:p>
    <w:p>
      <w:pPr>
        <w:spacing w:after="0" w:line="21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third quarter of 2020 was 45.7%, compared to 46.2% earned in the 2019 quarter.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our operating margin for the third quarter of 2020 compared to the 2019 period was primarily driven by the higher expense related to our supplemental savings plan as market returns in the third quarter of 2020 outperformed the same period in 2019, partially offset by higher investment advisory fee revenue.</w:t>
      </w: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$2.73 for the third quarter of 2020 as compared to $2.23 for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22.4% increase was primarily driven by higher operating income and net investment gains recognized in the third quarter of 2020 as compared to the third quarter of 2019 as well as a 3.7% decline in weighted average shares outstanding. The primary drivers for the increase were partially offset by a higher effective income tax rate in 2020 quarter as compared to the 2019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diluted earnings per share was $2.55 for the third quarter of 2020 as compared to $2.13 for the third quarter of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diluted earnings per share was primarily due to higher operating income and lower weighted average shares outstanding.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September 30, 2020</w:t>
      </w:r>
    </w:p>
    <w:p>
      <w:pPr>
        <w:spacing w:after="0" w:line="3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revenues earned in the nine months ended September 30, 2020 increased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2019 period as average assets under our management increased $107.4 billion, or 9.8%, to $1,198.9 billion.</w:t>
      </w:r>
    </w:p>
    <w:p>
      <w:pPr>
        <w:spacing w:after="0" w:line="22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the second quarter of 2020, we began voluntarily waiving a portion of our money market advisory fees and fund expenses in order to maintain a positive yield for investors. We waived $9.1 million, or less than 1% of total investment advisory fees from certain of our money market mutual funds, trusts and other investment portfolios during the nine months ended September 30, 2020.</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average annualized effective fee rate earned on our assets under management during the nine months ended September 30, 2020 was 45.6 basis points compared with 46.2 basis points earned during the same period of 2019. Our annualized effective fee rate declined primarily due to client transfers within the complex to lower fee vehicles or share classes over the last twelve months and the money market fee waivers.</w:t>
      </w:r>
    </w:p>
    <w:p>
      <w:pPr>
        <w:spacing w:after="0" w:line="2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$2,484.0 million in the nine months ended September 30, 2020 compared with $2,342.5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2019 period. The increase in operating expenses was primarily due to higher salary and benefits expense, annual bonus accrual, stock-based compensation expense and our continued strategic investments. These increases were partially offset by a $6.5 million decrease in operating expenses related to the supplemental savings plan due to lower market returns in the nine months ended September 30, 2020 as compared to the nine months ended September 30, 2019.</w:t>
      </w:r>
    </w:p>
    <w:p>
      <w:pPr>
        <w:spacing w:after="0" w:line="2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 non-GAAP basis, our operating expenses for the nine months ended September 30, 2020 increased 6.5% to $2,434.2 million compared to the 2019 period. Our non-GAAP operating expenses do not include the impact of our supplemental savings plan and consolidated sponsored investment products. See our non-GAAP reconciliations later in this Management’s Discussion and Analysis section.</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narrowing our full-year 2020 non-GAAP operating expense growth guidance from a range of 3%-6% to a range of 4%-6%. The non-GAAP operating expense growth in the fourth quarter of 2020 compared to the same period in 2019 is expected to be lower than the 6.5% growth experienced year-to-date. For 2021, we currently estimate that our non-GAAP operating expenses will grow in the range of 6%-9%. These ranges include investments in our critical strategic initiatives to promote long-term growth of the business. We could elect to further adjust our expense growth should unforeseen circumstances arise, including significant market movements.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right="120"/>
        <w:spacing w:after="0" w:line="266"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nine months ended September 30, 2020 was 44.5%, compared to 43.5% earned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increase in our operating margin for the nine months ended September 30, 2020 compared to the 2019 period was primarily driven by higher net revenues and lower expense related to our supplemental savings plan.</w:t>
      </w:r>
    </w:p>
    <w:p>
      <w:pPr>
        <w:spacing w:after="0" w:line="20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$6.66 for the nine months ended September 30, 2020 as compared to $6.47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2019. The 2.9% increase was primarily driven by higher operating income and lower weighted average outstanding shares. These drivers of the increase were partially offset by lower net investment gains recognized in the nine months ended September 30, 2020 as compared to the 2019 period.</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 non-GAAP basis, diluted earnings per share was $6.69 for the nine months ended September 30, 2020 as compared to $ 6.04 for the 2019 period. The increase in adjusted diluted earnings per share was primarily due to higher operating income, lower weighted average outstanding shares, and a lower effective tax rate. The impact of these drivers were partially offset by lower net investment gains recognized in the 2020 period. See our non-GAAP reconciliations later in this Management’s Discussion and Analysis section.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Q3 2020 vs. Q3 2019</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2020 vs. YTD 2019</w:t>
            </w:r>
          </w:p>
        </w:tc>
      </w:tr>
      <w:tr>
        <w:trPr>
          <w:trHeight w:val="183"/>
        </w:trPr>
        <w:tc>
          <w:tcPr>
            <w:tcW w:w="2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9/30/2020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9/30/2019</w:t>
            </w: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8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9/30/2020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2280" w:type="dxa"/>
            <w:vAlign w:val="bottom"/>
          </w:tcPr>
          <w:p>
            <w:pPr>
              <w:ind w:left="120"/>
              <w:spacing w:after="0"/>
              <w:rPr>
                <w:sz w:val="20"/>
                <w:szCs w:val="20"/>
                <w:color w:val="auto"/>
              </w:rPr>
            </w:pPr>
            <w:r>
              <w:rPr>
                <w:rFonts w:ascii="Arial" w:cs="Arial" w:eastAsia="Arial" w:hAnsi="Arial"/>
                <w:sz w:val="16"/>
                <w:szCs w:val="16"/>
                <w:color w:val="auto"/>
              </w:rPr>
              <w:t>U.S. mutual funds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939.5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881.0</w:t>
            </w:r>
          </w:p>
        </w:tc>
        <w:tc>
          <w:tcPr>
            <w:tcW w:w="100" w:type="dxa"/>
            <w:vAlign w:val="bottom"/>
          </w:tcPr>
          <w:p>
            <w:pPr>
              <w:spacing w:after="0"/>
              <w:rPr>
                <w:sz w:val="18"/>
                <w:szCs w:val="18"/>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2,638.8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2,557.6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180"/>
        </w:trPr>
        <w:tc>
          <w:tcPr>
            <w:tcW w:w="228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Subadvised funds, separate</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2"/>
        </w:trPr>
        <w:tc>
          <w:tcPr>
            <w:tcW w:w="2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accounts, collective</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2"/>
        </w:trPr>
        <w:tc>
          <w:tcPr>
            <w:tcW w:w="22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investment trusts, and other</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98"/>
        </w:trPr>
        <w:tc>
          <w:tcPr>
            <w:tcW w:w="2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products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1,452.1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10"/>
        </w:trPr>
        <w:tc>
          <w:tcPr>
            <w:tcW w:w="2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165.9</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12.7 %</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4,090.9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323.1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r>
      <w:tr>
        <w:trPr>
          <w:trHeight w:val="145"/>
        </w:trPr>
        <w:tc>
          <w:tcPr>
            <w:tcW w:w="22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Administrative, distribution,</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servicing fees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2280" w:type="dxa"/>
            <w:vAlign w:val="bottom"/>
          </w:tcPr>
          <w:p>
            <w:pPr>
              <w:ind w:left="120"/>
              <w:spacing w:after="0"/>
              <w:rPr>
                <w:sz w:val="20"/>
                <w:szCs w:val="20"/>
                <w:color w:val="auto"/>
              </w:rPr>
            </w:pPr>
            <w:r>
              <w:rPr>
                <w:rFonts w:ascii="Arial" w:cs="Arial" w:eastAsia="Arial" w:hAnsi="Arial"/>
                <w:sz w:val="16"/>
                <w:szCs w:val="16"/>
                <w:color w:val="auto"/>
              </w:rPr>
              <w:t>Administrative fees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180"/>
        </w:trPr>
        <w:tc>
          <w:tcPr>
            <w:tcW w:w="228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Distribution and servicing</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8"/>
        </w:trPr>
        <w:tc>
          <w:tcPr>
            <w:tcW w:w="2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fees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0"/>
        </w:trPr>
        <w:tc>
          <w:tcPr>
            <w:tcW w:w="2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r>
        <w:trPr>
          <w:trHeight w:val="238"/>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4,473.8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324.6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Investment advisory revenues earned in the third quarter of 2020 from our U.S. mutual funds were $939.5 million, an increase of 6.6% from the comparable 2019 quarter. Average assets under management in these funds for the third quarter of 2020 increased 9.0% from the 2019 quarter to $708.8 billion.</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Investment advisory revenues earned in the nine months ended September 30, 2020 from the firm's U.S. mutual funds were $ 2,638.8 million, an increase of 3.2% from the comparable 2019 period. Average assets under management in these funds for the nine months ended September 30, 2020 increased 4.9% from the 2019 period to $664.0 billion.</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difference in the percentage of change in revenue compared with assets under management for both the 2020 quarter and year-to-date periods from the comparable 2019 periods is primarily due to client transfers within the complex to lower fee vehicles or shares classes during the last twelve months and the money market fee waivers.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Subadvised funds, separate accounts, collective investment trusts and other investment products (Other Portfolios)</w:t>
      </w:r>
    </w:p>
    <w:p>
      <w:pPr>
        <w:spacing w:after="0" w:line="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Investment advisory revenues earned in the third quarter of 2020 from these other portfolios were $529.8 million, an increase of 25.4% from the comparable 2019 quarter. Average assets under management for these products increased 21.8% from the 2019 quarter to $584.1 billion.</w:t>
      </w:r>
    </w:p>
    <w:p>
      <w:pPr>
        <w:spacing w:after="0" w:line="229"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Investment advisory revenues earned in the nine months ended September 30, 2020 from these other portfolios were $1,452.1 million, an increase of 20.0% from the 2019 period. Average assets under management for these products increased 16.7% from the 2019 period to $534.9 billion.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Inflows into the Japanese ITMs, which have a higher fee rate relative to other products, have caused total investment advisory fees earned from other portfolios to outpace the increase in average assets under management. These investment advisory revenues include distribution-related services we provide to the Japanese ITMs and then contract with third-party intermediaries to distribute these products. The costs we incur to pay the third-party intermediaries are recorded as part of distribution and servicing expenses.</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third quarter of 2020 were $126.5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$3.2 million, or 2.6%, from the comparable 2019 quarter. For the nine months ended September 30, 2020, these fees were $382.9 million, an increase of $1.5 million, or .4%, from the 2019 period. The increase for both periods was primarily due to increased retail transfer agent servicing activities. These increases were partially offset by lower 12b-1 revenue earned on certain share classes, including the Advisor and R classes, of the U.S. mutual funds as lower markets in 2020 as well as client transfers to lower fee vehicles and share classes over the last twelve months have reduced assets under management in these share classes. The decline in 12b-1 revenue is offset entirely by a reduction in the costs paid to third-party intermediaries that source these assets and reported in distribution and servicing expense.</w:t>
      </w:r>
    </w:p>
    <w:p>
      <w:pPr>
        <w:spacing w:after="0" w:line="23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net revenues reflect the elimination of advisory and administrative fee revenue earned from our consolidated T. Rowe Price investment products. The corresponding expenses recognized by these products, and consolidated in our financial statements, were also eliminated from operating expenses. For the third quarter, we eliminated net revenue of $2.7 million in 2020 and $2.6 million in 2019. For the nine months ended September 30, we eliminated net revenue of $7.3 million in 2020 and $6.3 million in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Q3 2020 vs. Q3 2019</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2020 vs. YTD 2019</w:t>
            </w:r>
          </w:p>
        </w:tc>
      </w:tr>
      <w:tr>
        <w:trPr>
          <w:trHeight w:val="183"/>
        </w:trPr>
        <w:tc>
          <w:tcPr>
            <w:tcW w:w="2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9/30/2020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6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9/30/2020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r>
      <w:tr>
        <w:trPr>
          <w:trHeight w:val="157"/>
        </w:trPr>
        <w:tc>
          <w:tcPr>
            <w:tcW w:w="22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Compensation and related</w:t>
            </w: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Product-related costs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180"/>
        </w:trPr>
        <w:tc>
          <w:tcPr>
            <w:tcW w:w="22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Technology, occupancy, and</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facility costs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177"/>
        </w:trPr>
        <w:tc>
          <w:tcPr>
            <w:tcW w:w="2240" w:type="dxa"/>
            <w:vAlign w:val="bottom"/>
          </w:tcPr>
          <w:p>
            <w:pPr>
              <w:ind w:left="20"/>
              <w:spacing w:after="0" w:line="178" w:lineRule="exact"/>
              <w:rPr>
                <w:sz w:val="20"/>
                <w:szCs w:val="20"/>
                <w:color w:val="auto"/>
              </w:rPr>
            </w:pPr>
            <w:r>
              <w:rPr>
                <w:rFonts w:ascii="Arial" w:cs="Arial" w:eastAsia="Arial" w:hAnsi="Arial"/>
                <w:sz w:val="16"/>
                <w:szCs w:val="16"/>
                <w:color w:val="auto"/>
              </w:rPr>
              <w:t>General, administrative, and</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6.9 %</w:t>
            </w:r>
          </w:p>
        </w:tc>
      </w:tr>
      <w:tr>
        <w:trPr>
          <w:trHeight w:val="23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u w:val="single" w:color="auto"/>
          <w:color w:val="auto"/>
        </w:rPr>
        <w:t>Compensation and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related costs were $552.3 million in the third quarter of 2020, an increase of $86.0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18.4%, compared to the 2019 quarter. The increase from the 2019 quarter was primarily due to $33.3 million in higher expense for our supplemental savings plan as strong market returns in the third quarter of 2020 increased the liability compared with a minor increase from market returns in the 2019 quarter. Additionally, increases in salaries, benefits, and related employee costs, which increased $25.7 million from the 2019 period, as well as higher non-cash stock-based compensation expense contributed to the increase in compensation and related costs in the 2020 period. An increase of 5.6% in our average staff size and, to a lesser extent, the modest increases in base salaries at the beginning of 2020, have contributed to higher associate-related costs. Our interim accrual for annual variable compensation, primarily bonus compensation, also increased $22.6 million in the third quarter of 2020 compared to the 2019 quarter. We recognize the interim bonus accrual ratably over the year using the ratio of recognized quarterly net revenues to currently forecasted annual net revenues. The interim bonus accrual each quarter will reflect changes in the annual bonus pool from fluctuations in annual net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ind w:right="20"/>
        <w:spacing w:after="0" w:line="261" w:lineRule="auto"/>
        <w:rPr>
          <w:sz w:val="20"/>
          <w:szCs w:val="20"/>
          <w:color w:val="auto"/>
        </w:rPr>
      </w:pPr>
      <w:r>
        <w:rPr>
          <w:rFonts w:ascii="Arial" w:cs="Arial" w:eastAsia="Arial" w:hAnsi="Arial"/>
          <w:sz w:val="18"/>
          <w:szCs w:val="18"/>
          <w:color w:val="auto"/>
        </w:rPr>
        <w:t>revenues. These increases in compensation and related costs were offset in part by higher labor capitalization related to internally developed software.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related costs were $1,542.0 million in the nine months ended September 30, 2020, an increase of $101.0 million, or</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7.0%, compared to the 2019 period. The increase in compensation and related costs from the 2019 period was primarily due to an increase in salaries, benefits and related employee costs, which have increased $57.8 million from the 2019 period. An increase of 5.6% in our average staff size and modest increases in base salaries at the beginning of 2020, and higher non-cash stock-based compensation expense have contributed to higher associate-related costs. Our interim accrual for annual variable compensation, primarily bonus compensation, also increased $33.4 million in 2020 from the 2019 period. These increases in compensation and related costs were offset in part by $ 6.5 million in lower expense for our supplemental savings plan and $21.7 million in higher labor capitalization related to internally developed software in 2020 period.</w:t>
      </w:r>
    </w:p>
    <w:p>
      <w:pPr>
        <w:spacing w:after="0" w:line="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costs were $73.5 million for the third quarter of 2020, an increase of 14.0%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$64.5 million recognized in the 2019 quarter. For the nine months ended September 30, 2020, these costs were $201.2 million, an increase of 3.0% over the $195.3 million recognized in the comparable 2019 period. The increase for both periods is primarily driven by higher distribution costs as a result of continued inflows into our Japanese ITMs. These increases were partially offset by client transfers to lower fee vehicles or share classes over the last twelve months that reduced assets under management for those mutual funds for which we pay distribution and servicing costs.</w:t>
      </w:r>
    </w:p>
    <w:p>
      <w:pPr>
        <w:spacing w:after="0" w:line="2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Distribution and servicing costs paid to third-party intermediaries that source the assets of certain share classes of our U.S. mutual funds are recognized in this expense line and are offset entirely by the 12b-1 revenue we earn and report in administrative, distribution, and servicing fees.</w:t>
      </w:r>
    </w:p>
    <w:p>
      <w:pPr>
        <w:spacing w:after="0" w:line="21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14.2 in the third quarter of 2020, a decrease of $2.9 million, or 17.0%,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$19.8 million recognized in the 2019 quarter. For the nine months ended September 30, 2020, these costs were $52.5 million, a decrease of $6.0 million, or 10.3%, compared to the 2019 period. The decrease for both periods is due primarily to fewer conference and promotional events in 2020 as compared to 2019.</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were $115.6 million in the third quarter of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$9.1 million, or 8.5%, compared to the $106.5 million recognized in the 2019 quarter. For the nine months ended September 30, 2020, these costs were $332.3 million, an increase of $22.8 million, or 7.4%, compared to the 2019 period. The increase for both periods is due primarily to the ongoing investment in our technology capabilities, including related depreciation and hosted solution licenses.</w:t>
      </w:r>
    </w:p>
    <w:p>
      <w:pPr>
        <w:spacing w:after="0" w:line="21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expenses were $74.5 million in the third quarter of 2020,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 million, or 1%, compared to the $75.2 million recognized in the 2019 quarter. The decrease in the third quarter of 2020 as compared to the 2019 period is due primarily to lower travel-related expenses that were largely offset by higher professional fees and third-party investment research costs.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nine months ended September 30, 2020, general, administrative, and other expenses were $238.0 million, an increase of $15.4 million, or 6.9%, compared to the 2019 period. The increase in the nine months ended September 30, 2020 as compared to the 2019 period is due to certain nonrecurring administrative expenses, along with higher third-party investment research costs and higher professional fees. These increases were partially offset by lower travel-related expenses.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Non-operating income for the third quarter of 2020 was $191.6 million, an increase of $148.6 million from non-operating income of $43.0 million in the 2019 quarter. For the nine months ended September 30, 2020, non-operating income was $106.4 million, a decrease of $263.9 million from non-operating income in the comparable 2019 period of $370.3 million. The following table details the components of non-operating income for the quarter and year-to-date periods.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tbl>
      <w:tblPr>
        <w:tblLayout w:type="fixed"/>
        <w:tblInd w:w="40" w:type="dxa"/>
        <w:tblCellMar>
          <w:top w:w="0" w:type="dxa"/>
          <w:left w:w="0" w:type="dxa"/>
          <w:bottom w:w="0" w:type="dxa"/>
          <w:right w:w="0" w:type="dxa"/>
        </w:tblCellMar>
      </w:tblPr>
      <w:tr>
        <w:trPr>
          <w:trHeight w:val="189"/>
        </w:trPr>
        <w:tc>
          <w:tcPr>
            <w:tcW w:w="6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80" w:type="dxa"/>
            <w:vAlign w:val="bottom"/>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6"/>
                <w:szCs w:val="16"/>
                <w:color w:val="auto"/>
              </w:rPr>
            </w:pPr>
          </w:p>
        </w:tc>
        <w:tc>
          <w:tcPr>
            <w:tcW w:w="2180" w:type="dxa"/>
            <w:vAlign w:val="bottom"/>
            <w:gridSpan w:val="4"/>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9/30/2020</w:t>
            </w:r>
          </w:p>
        </w:tc>
        <w:tc>
          <w:tcPr>
            <w:tcW w:w="1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9/30/2019</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9/30/2019</w:t>
            </w: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620" w:type="dxa"/>
            <w:vAlign w:val="bottom"/>
          </w:tcPr>
          <w:p>
            <w:pPr>
              <w:ind w:left="10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9"/>
        </w:trPr>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Market related gains and equity in earnings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23"/>
        </w:trPr>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cash and discretionary investments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6620" w:type="dxa"/>
            <w:vAlign w:val="bottom"/>
          </w:tcPr>
          <w:p>
            <w:pPr>
              <w:ind w:left="100"/>
              <w:spacing w:after="0"/>
              <w:rPr>
                <w:sz w:val="20"/>
                <w:szCs w:val="20"/>
                <w:color w:val="auto"/>
              </w:rPr>
            </w:pPr>
            <w:r>
              <w:rPr>
                <w:rFonts w:ascii="Arial" w:cs="Arial" w:eastAsia="Arial" w:hAnsi="Arial"/>
                <w:sz w:val="18"/>
                <w:szCs w:val="18"/>
                <w:color w:val="auto"/>
              </w:rPr>
              <w:t>Seed capital investments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620" w:type="dxa"/>
            <w:vAlign w:val="bottom"/>
          </w:tcPr>
          <w:p>
            <w:pPr>
              <w:ind w:left="200"/>
              <w:spacing w:after="0"/>
              <w:rPr>
                <w:sz w:val="20"/>
                <w:szCs w:val="20"/>
                <w:color w:val="auto"/>
              </w:rPr>
            </w:pPr>
            <w:r>
              <w:rPr>
                <w:rFonts w:ascii="Arial" w:cs="Arial" w:eastAsia="Arial" w:hAnsi="Arial"/>
                <w:sz w:val="18"/>
                <w:szCs w:val="18"/>
                <w:color w:val="auto"/>
              </w:rPr>
              <w:t>Market related gains and equity in earnings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gain (loss) recognized upon deconsolidation</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23"/>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r>
      <w:tr>
        <w:trPr>
          <w:trHeight w:val="230"/>
        </w:trPr>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investment income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gains on investments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194.0</w:t>
            </w:r>
          </w:p>
        </w:tc>
      </w:tr>
    </w:tbl>
    <w:p>
      <w:pPr>
        <w:spacing w:after="0" w:line="13" w:lineRule="exact"/>
        <w:rPr>
          <w:sz w:val="20"/>
          <w:szCs w:val="20"/>
          <w:color w:val="auto"/>
        </w:rPr>
      </w:pPr>
    </w:p>
    <w:p>
      <w:pPr>
        <w:sectPr>
          <w:pgSz w:w="11900" w:h="16838" w:orient="portrait"/>
          <w:cols w:equalWidth="0" w:num="1">
            <w:col w:w="11220"/>
          </w:cols>
          <w:pgMar w:left="320" w:top="1030" w:right="359" w:bottom="1440" w:gutter="0" w:footer="0" w:header="0"/>
        </w:sectPr>
      </w:pPr>
    </w:p>
    <w:p>
      <w:pPr>
        <w:ind w:left="40" w:right="780"/>
        <w:spacing w:after="0" w:line="276" w:lineRule="auto"/>
        <w:rPr>
          <w:sz w:val="20"/>
          <w:szCs w:val="20"/>
          <w:color w:val="auto"/>
        </w:rPr>
      </w:pPr>
      <w:r>
        <w:rPr>
          <w:rFonts w:ascii="Arial" w:cs="Arial" w:eastAsia="Arial" w:hAnsi="Arial"/>
          <w:sz w:val="18"/>
          <w:szCs w:val="18"/>
          <w:color w:val="auto"/>
        </w:rPr>
        <w:t>Net gains on consolidated sponsored investment portfolios Other income (loss), including foreign currency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-163830</wp:posOffset>
            </wp:positionV>
            <wp:extent cx="710628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Non-operating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29"/>
        </w:trPr>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r>
              <w:rPr>
                <w:rFonts w:ascii="Arial" w:cs="Arial" w:eastAsia="Arial" w:hAnsi="Arial"/>
                <w:sz w:val="18"/>
                <w:szCs w:val="18"/>
                <w:b w:val="1"/>
                <w:bCs w:val="1"/>
                <w:u w:val="single" w:color="auto"/>
                <w:color w:val="auto"/>
              </w:rPr>
              <w:t>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560"/>
          </w:cols>
          <w:pgMar w:left="320" w:top="1030" w:right="359" w:bottom="1440" w:gutter="0" w:footer="0" w:header="0"/>
          <w:type w:val="continuous"/>
        </w:sectPr>
      </w:pPr>
    </w:p>
    <w:p>
      <w:pPr>
        <w:spacing w:after="0" w:line="1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investment portfolio recognized significant gains in the third quarter of 2020 as strong markets continued into the third quarter of 2020. Our consolidated investment products and supplemental savings plan hedge portfolio comprised about 70% of the net gains recognized during the third quarter of 2020. Our cash and discretionary investment portfolio also experienced net investment gains of $25.6 million in the third quarter of 2020.</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Despite the global economies and markets disruption caused by the coronavirus pandemic in the first quarter of 2020, strong markets in the second quarter and third quarter of 2020 reversed net investment losses experienced in the first quarter of 2020. Our cash and discretionary investments and supplemental savings plan hedge portfolio comprised approximately 75% of the net gains recognized during the nine months ended September 30, 2020. The net investment gains returned by cash and discretionary investment portfolio was $50.2 million in the nine months ended September 30, 2020.</w:t>
      </w:r>
    </w:p>
    <w:p>
      <w:pPr>
        <w:spacing w:after="0" w:line="232"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table above includes the net investment income of the underlying portfolios included in the consolidated T. Rowe Price investment products and not just the net investment income related to our interest. The table below shows the impact that the consolidated T. Rowe Price investment products had on the individual lines of our unaudited condensed consolidated statements of income and the portion attributable to our interest:</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6"/>
                <w:szCs w:val="16"/>
                <w:color w:val="auto"/>
              </w:rPr>
            </w:pPr>
          </w:p>
        </w:tc>
        <w:tc>
          <w:tcPr>
            <w:tcW w:w="2260" w:type="dxa"/>
            <w:vAlign w:val="bottom"/>
            <w:gridSpan w:val="4"/>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5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9/30/2019</w:t>
            </w: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reflected in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investment income reflected in non-operating income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r>
      <w:tr>
        <w:trPr>
          <w:trHeight w:val="248"/>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on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88"/>
        </w:trPr>
        <w:tc>
          <w:tcPr>
            <w:tcW w:w="5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(loss) attributable to our interest in the consolidated T.</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188"/>
        </w:trPr>
        <w:tc>
          <w:tcPr>
            <w:tcW w:w="5660" w:type="dxa"/>
            <w:vAlign w:val="bottom"/>
          </w:tcPr>
          <w:p>
            <w:pPr>
              <w:spacing w:after="0" w:line="189" w:lineRule="exact"/>
              <w:rPr>
                <w:sz w:val="20"/>
                <w:szCs w:val="20"/>
                <w:color w:val="auto"/>
              </w:rPr>
            </w:pPr>
            <w:r>
              <w:rPr>
                <w:rFonts w:ascii="Arial" w:cs="Arial" w:eastAsia="Arial" w:hAnsi="Arial"/>
                <w:sz w:val="18"/>
                <w:szCs w:val="18"/>
                <w:color w:val="auto"/>
              </w:rPr>
              <w:t>Net income (loss) attributable to redeemable non-controlling interests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(unrelated third-party investors)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48"/>
        </w:trPr>
        <w:tc>
          <w:tcPr>
            <w:tcW w:w="5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effective tax rate for the third quarter of 2020 was 24.1%, compared with 22.4% in the 2019 quarter. The effective tax rate for the third quarter of 2020 increased as compared to the third quarter of 2019 primarily due to lower estimated annual net income attributable to redeemable non-controlling interests held in the firm's consolidated investment products, which are not taxable to the firm despite being included in pre-tax income, and lower discrete tax benefits associated with option exercises. These impacts were partially offset by a lower state effective tax rate, resulting primarily from the remeasurement of deferred tax liabilities related to the firm's investment portfolio.</w:t>
      </w:r>
    </w:p>
    <w:p>
      <w:pPr>
        <w:spacing w:after="0" w:line="23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Our effective tax rate for both the nine months ended September 30, 2020 and 2019 was 24.0%. The year-to-date 2020 effective tax rate reflects a lower state effective tax rate and higher discrete tax benefits associated with option exercises in the 2020 period, offset by lower estimated annual net income attributable to redeemable non-controlling interests held by the firm’s consolidated investment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tax rate for both the three- and nine-months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shd w:val="clear" w:color="auto" w:fill="CCEEFF"/>
          </w:tcPr>
          <w:p>
            <w:pPr>
              <w:spacing w:after="0"/>
              <w:rPr>
                <w:sz w:val="16"/>
                <w:szCs w:val="16"/>
                <w:color w:val="auto"/>
              </w:rPr>
            </w:pPr>
          </w:p>
        </w:tc>
        <w:tc>
          <w:tcPr>
            <w:tcW w:w="3260" w:type="dxa"/>
            <w:vAlign w:val="bottom"/>
            <w:gridSpan w:val="4"/>
            <w:shd w:val="clear" w:color="auto" w:fill="CCEEFF"/>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3"/>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280" w:type="dxa"/>
            <w:vAlign w:val="bottom"/>
            <w:tcBorders>
              <w:bottom w:val="single" w:sz="8" w:color="CCEEFF"/>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9/30/2019</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U.S. federal income tax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280" w:type="dxa"/>
            <w:vAlign w:val="bottom"/>
          </w:tcPr>
          <w:p>
            <w:pPr>
              <w:ind w:left="20"/>
              <w:spacing w:after="0" w:line="230"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20" w:type="dxa"/>
            <w:vAlign w:val="bottom"/>
          </w:tcPr>
          <w:p>
            <w:pPr>
              <w:jc w:val="right"/>
              <w:ind w:right="155"/>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4.4</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5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w:t>
            </w:r>
          </w:p>
        </w:tc>
      </w:tr>
      <w:tr>
        <w:trPr>
          <w:trHeight w:val="229"/>
        </w:trPr>
        <w:tc>
          <w:tcPr>
            <w:tcW w:w="5280" w:type="dxa"/>
            <w:vAlign w:val="bottom"/>
          </w:tcPr>
          <w:p>
            <w:pPr>
              <w:ind w:left="2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20" w:type="dxa"/>
            <w:vAlign w:val="bottom"/>
          </w:tcPr>
          <w:p>
            <w:pPr>
              <w:jc w:val="right"/>
              <w:ind w:right="11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15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r>
      <w:tr>
        <w:trPr>
          <w:trHeight w:val="223"/>
        </w:trPr>
        <w:tc>
          <w:tcPr>
            <w:tcW w:w="52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24.0 %</w:t>
            </w:r>
          </w:p>
        </w:tc>
      </w:tr>
      <w:tr>
        <w:trPr>
          <w:trHeight w:val="21"/>
        </w:trPr>
        <w:tc>
          <w:tcPr>
            <w:tcW w:w="5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effective tax rate will continue to experience volatility in future periods as the discrete tax benefits recognized from option exercises are impacted by market fluctuations in our stock price and timing of option exercises. The rate will also be impacted by net investment income recognized on our consolidated investment products that are driven by market fluctuations and changes in the proportion of their net income that is attributable to non-controlling interests.</w:t>
      </w:r>
    </w:p>
    <w:p>
      <w:pPr>
        <w:spacing w:after="0" w:line="23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non-GAAP tax rate primarily adjusts for the impact of the consolidated investment products, including the net income attributable to the redeemable non-controlling interests. Our non-GAAP effective tax rate increased to 24.1% in the third quarter of 2020 compared with 23.6% in third quarter of 2019, primarily due to lower discrete tax benefits associated with option exercises in the third quarter of 2020. For the nine months ended September 30, 2020, our non-GAAP effective tax rate was 23.9%, down from the 24.8% for the comparable 2019 period. The decrease in the non-GAAP effective tax rate for the nine months ended September 30, 2020 as compared to the 2019 period is primarily due to the lower effective state tax rate and higher discrete tax benefits associated with option exercises.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currently estimate that our GAAP and non-GAAP effective tax rate for the full-year 2020 will be in the range of 23% to 25%.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7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1" w:name="page32"/>
    <w:bookmarkEnd w:id="31"/>
    <w:p>
      <w:pPr>
        <w:ind w:right="3220"/>
        <w:spacing w:after="0" w:line="261" w:lineRule="auto"/>
        <w:rPr>
          <w:sz w:val="20"/>
          <w:szCs w:val="20"/>
          <w:color w:val="auto"/>
        </w:rPr>
      </w:pPr>
      <w:r>
        <w:rPr>
          <w:rFonts w:ascii="Arial" w:cs="Arial" w:eastAsia="Arial" w:hAnsi="Arial"/>
          <w:sz w:val="18"/>
          <w:szCs w:val="18"/>
          <w:color w:val="auto"/>
        </w:rPr>
        <w:t>The following schedules reconcile certain U.S. GAAP financial measures for the three months ended September 30, 2020 and 2019.</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7"/>
            <w:shd w:val="clear" w:color="auto" w:fill="CCEEFF"/>
          </w:tcPr>
          <w:p>
            <w:pPr>
              <w:jc w:val="center"/>
              <w:ind w:left="74"/>
              <w:spacing w:after="0"/>
              <w:rPr>
                <w:sz w:val="20"/>
                <w:szCs w:val="20"/>
                <w:color w:val="auto"/>
              </w:rPr>
            </w:pPr>
            <w:r>
              <w:rPr>
                <w:rFonts w:ascii="Arial" w:cs="Arial" w:eastAsia="Arial" w:hAnsi="Arial"/>
                <w:sz w:val="14"/>
                <w:szCs w:val="14"/>
                <w:b w:val="1"/>
                <w:bCs w:val="1"/>
                <w:color w:val="auto"/>
              </w:rPr>
              <w:t>Three months ended 9/30/2020</w:t>
            </w: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Net 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Non-operating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Provision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Net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(benefit) for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rPr>
              <w:t>attributable to 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income (loss)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(4)</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Rowe Price Group</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60"/>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643.2</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2.73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00" w:type="dxa"/>
            <w:vAlign w:val="bottom"/>
            <w:shd w:val="clear" w:color="auto" w:fill="CCEEFF"/>
          </w:tcPr>
          <w:p>
            <w:pPr>
              <w:ind w:left="120"/>
              <w:spacing w:after="0" w:line="165" w:lineRule="exact"/>
              <w:rPr>
                <w:sz w:val="20"/>
                <w:szCs w:val="20"/>
                <w:color w:val="auto"/>
              </w:rPr>
            </w:pPr>
            <w:r>
              <w:rPr>
                <w:rFonts w:ascii="Arial" w:cs="Arial" w:eastAsia="Arial" w:hAnsi="Arial"/>
                <w:sz w:val="16"/>
                <w:szCs w:val="16"/>
                <w:color w:val="auto"/>
              </w:rPr>
              <w:t>Consolidated T. Rowe Price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tcPr>
          <w:p>
            <w:pPr>
              <w:ind w:left="12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12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830.5</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768.0</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602.7</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2.55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1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340" w:type="dxa"/>
            <w:vAlign w:val="bottom"/>
            <w:tcBorders>
              <w:bottom w:val="single" w:sz="8" w:color="auto"/>
            </w:tcBorders>
            <w:gridSpan w:val="7"/>
            <w:shd w:val="clear" w:color="auto" w:fill="CCEEFF"/>
          </w:tcPr>
          <w:p>
            <w:pPr>
              <w:jc w:val="center"/>
              <w:ind w:left="54"/>
              <w:spacing w:after="0"/>
              <w:rPr>
                <w:sz w:val="20"/>
                <w:szCs w:val="20"/>
                <w:color w:val="auto"/>
              </w:rPr>
            </w:pPr>
            <w:r>
              <w:rPr>
                <w:rFonts w:ascii="Arial" w:cs="Arial" w:eastAsia="Arial" w:hAnsi="Arial"/>
                <w:sz w:val="14"/>
                <w:szCs w:val="14"/>
                <w:b w:val="1"/>
                <w:bCs w:val="1"/>
                <w:color w:val="auto"/>
              </w:rPr>
              <w:t>Three months ended 9/30/2019</w:t>
            </w: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Net 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Non-operating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Provision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Net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(benefit) for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attributable to 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Rowe Price Group</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w w:val="97"/>
              </w:rPr>
              <w:t>(13.3)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7"/>
              </w:rPr>
              <w:t>(11.2)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765.1</w:t>
            </w:r>
          </w:p>
        </w:tc>
        <w:tc>
          <w:tcPr>
            <w:tcW w:w="100" w:type="dxa"/>
            <w:vAlign w:val="bottom"/>
          </w:tcPr>
          <w:p>
            <w:pPr>
              <w:spacing w:after="0"/>
              <w:rPr>
                <w:sz w:val="19"/>
                <w:szCs w:val="19"/>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664.2</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9"/>
                <w:szCs w:val="19"/>
                <w:color w:val="auto"/>
              </w:rPr>
            </w:pPr>
          </w:p>
        </w:tc>
        <w:tc>
          <w:tcPr>
            <w:tcW w:w="3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521.7</w:t>
            </w:r>
          </w:p>
        </w:tc>
        <w:tc>
          <w:tcPr>
            <w:tcW w:w="40" w:type="dxa"/>
            <w:vAlign w:val="bottom"/>
          </w:tcPr>
          <w:p>
            <w:pPr>
              <w:spacing w:after="0"/>
              <w:rPr>
                <w:sz w:val="19"/>
                <w:szCs w:val="19"/>
                <w:color w:val="auto"/>
              </w:rPr>
            </w:pPr>
          </w:p>
        </w:tc>
        <w:tc>
          <w:tcPr>
            <w:tcW w:w="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reconcile certain U.S. GAAP financial measures for the nine months ended September 30, 2020 and 2019.</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Nine months ended 9/30/2020</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00"/>
              <w:spacing w:after="0" w:line="176"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(4)</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5"/>
                <w:szCs w:val="15"/>
                <w:color w:val="auto"/>
              </w:rPr>
            </w:pPr>
          </w:p>
        </w:tc>
        <w:tc>
          <w:tcPr>
            <w:tcW w:w="1020" w:type="dxa"/>
            <w:vAlign w:val="bottom"/>
          </w:tcPr>
          <w:p>
            <w:pPr>
              <w:jc w:val="right"/>
              <w:ind w:right="113"/>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160"/>
              <w:spacing w:after="0" w:line="165"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60" w:type="dxa"/>
            <w:vAlign w:val="bottom"/>
            <w:gridSpan w:val="5"/>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Nine months ended 9/30/2019</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Provision</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Net income</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(4)</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5"/>
                <w:szCs w:val="15"/>
                <w:color w:val="auto"/>
              </w:rPr>
            </w:pPr>
          </w:p>
        </w:tc>
        <w:tc>
          <w:tcPr>
            <w:tcW w:w="1020" w:type="dxa"/>
            <w:vAlign w:val="bottom"/>
          </w:tcPr>
          <w:p>
            <w:pPr>
              <w:jc w:val="right"/>
              <w:ind w:right="11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160"/>
              <w:spacing w:after="0" w:line="230"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60"/>
              <w:spacing w:after="0" w:line="230"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ind w:left="340" w:right="20" w:hanging="332"/>
        <w:spacing w:after="0" w:line="237" w:lineRule="auto"/>
        <w:tabs>
          <w:tab w:leader="none" w:pos="33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We remove the impact of the consolidated T. Rowe Price investment products as we believe they impact the reader’s ability to understand our core operating results.</w:t>
      </w:r>
    </w:p>
    <w:p>
      <w:pPr>
        <w:spacing w:after="0" w:line="243" w:lineRule="exact"/>
        <w:rPr>
          <w:rFonts w:ascii="Arial" w:cs="Arial" w:eastAsia="Arial" w:hAnsi="Arial"/>
          <w:sz w:val="22"/>
          <w:szCs w:val="22"/>
          <w:color w:val="auto"/>
          <w:vertAlign w:val="superscript"/>
        </w:rPr>
      </w:pPr>
    </w:p>
    <w:p>
      <w:pPr>
        <w:ind w:left="340" w:right="20" w:hanging="332"/>
        <w:spacing w:after="0" w:line="237" w:lineRule="auto"/>
        <w:tabs>
          <w:tab w:leader="none" w:pos="33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These non-GAAP adjustments remove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hedges against the related compensation expense and remove the net impact to help the reader's ability to understand our core operating results and to increase comparability period to period.</w:t>
      </w:r>
    </w:p>
    <w:p>
      <w:pPr>
        <w:spacing w:after="0" w:line="243" w:lineRule="exact"/>
        <w:rPr>
          <w:rFonts w:ascii="Arial" w:cs="Arial" w:eastAsia="Arial" w:hAnsi="Arial"/>
          <w:sz w:val="22"/>
          <w:szCs w:val="22"/>
          <w:color w:val="auto"/>
          <w:vertAlign w:val="superscript"/>
        </w:rPr>
      </w:pPr>
    </w:p>
    <w:p>
      <w:pPr>
        <w:ind w:left="340" w:right="260" w:hanging="332"/>
        <w:spacing w:after="0" w:line="238" w:lineRule="auto"/>
        <w:tabs>
          <w:tab w:leader="none" w:pos="33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non-consolidated seed investments and other investments that are not part of the cash and discretionary investment portfolio. We retain the investment gains recognized on our non-consolidated cash and discretionary investments as these assets and related income (loss) are considered part of our core operations.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246" w:lineRule="exact"/>
        <w:rPr>
          <w:rFonts w:ascii="Arial" w:cs="Arial" w:eastAsia="Arial" w:hAnsi="Arial"/>
          <w:sz w:val="22"/>
          <w:szCs w:val="22"/>
          <w:color w:val="auto"/>
          <w:vertAlign w:val="superscript"/>
        </w:rPr>
      </w:pPr>
    </w:p>
    <w:p>
      <w:pPr>
        <w:ind w:left="340" w:right="280" w:hanging="332"/>
        <w:spacing w:after="0" w:line="227" w:lineRule="auto"/>
        <w:tabs>
          <w:tab w:leader="none" w:pos="33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The income tax impacts were calculated in order to achieve an overall non-GAAP effective tax rate of 23.9% for the first nine months of 2020 and 24.8% for the first nine months of 2019. As such, the non-GAAP effective tax rate for the third quarter was 24.1% in 2020 and 23.6% in 2019. We estimate that our effective tax rate for the full-year 2020 on a non-GAAP basis will be in the range of 23% to 25%.</w:t>
      </w:r>
    </w:p>
    <w:p>
      <w:pPr>
        <w:spacing w:after="0" w:line="241" w:lineRule="exact"/>
        <w:rPr>
          <w:rFonts w:ascii="Arial" w:cs="Arial" w:eastAsia="Arial" w:hAnsi="Arial"/>
          <w:sz w:val="22"/>
          <w:szCs w:val="22"/>
          <w:color w:val="auto"/>
          <w:vertAlign w:val="superscript"/>
        </w:rPr>
      </w:pPr>
    </w:p>
    <w:p>
      <w:pPr>
        <w:ind w:left="340" w:right="180" w:hanging="332"/>
        <w:spacing w:after="0" w:line="227" w:lineRule="auto"/>
        <w:tabs>
          <w:tab w:leader="none" w:pos="33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126" w:lineRule="exact"/>
        <w:rPr>
          <w:sz w:val="20"/>
          <w:szCs w:val="20"/>
          <w:color w:val="auto"/>
        </w:rPr>
      </w:pPr>
    </w:p>
    <w:tbl>
      <w:tblPr>
        <w:tblLayout w:type="fixed"/>
        <w:tblInd w:w="680" w:type="dxa"/>
        <w:tblCellMar>
          <w:top w:w="0" w:type="dxa"/>
          <w:left w:w="0" w:type="dxa"/>
          <w:bottom w:w="0" w:type="dxa"/>
          <w:right w:w="0" w:type="dxa"/>
        </w:tblCellMar>
      </w:tblPr>
      <w:tr>
        <w:trPr>
          <w:trHeight w:val="189"/>
        </w:trPr>
        <w:tc>
          <w:tcPr>
            <w:tcW w:w="5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60" w:type="dxa"/>
            <w:vAlign w:val="bottom"/>
            <w:gridSpan w:val="4"/>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16"/>
                <w:szCs w:val="16"/>
                <w:color w:val="auto"/>
              </w:rPr>
            </w:pPr>
          </w:p>
        </w:tc>
        <w:tc>
          <w:tcPr>
            <w:tcW w:w="1960" w:type="dxa"/>
            <w:vAlign w:val="bottom"/>
            <w:gridSpan w:val="3"/>
            <w:shd w:val="clear" w:color="auto" w:fill="CCEEFF"/>
          </w:tcPr>
          <w:p>
            <w:pPr>
              <w:jc w:val="right"/>
              <w:ind w:right="38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9/30/2020</w:t>
            </w: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9/30/2019</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9/30/2020</w:t>
            </w: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9/30/2019</w:t>
            </w: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1,596.6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1,480.4</w:t>
            </w:r>
          </w:p>
        </w:tc>
      </w:tr>
      <w:tr>
        <w:trPr>
          <w:trHeight w:val="177"/>
        </w:trPr>
        <w:tc>
          <w:tcPr>
            <w:tcW w:w="5180" w:type="dxa"/>
            <w:vAlign w:val="bottom"/>
          </w:tcPr>
          <w:p>
            <w:pPr>
              <w:ind w:left="20"/>
              <w:spacing w:after="0" w:line="178" w:lineRule="exact"/>
              <w:rPr>
                <w:sz w:val="20"/>
                <w:szCs w:val="20"/>
                <w:color w:val="auto"/>
              </w:rPr>
            </w:pPr>
            <w:r>
              <w:rPr>
                <w:rFonts w:ascii="Arial" w:cs="Arial" w:eastAsia="Arial" w:hAnsi="Arial"/>
                <w:sz w:val="16"/>
                <w:szCs w:val="16"/>
                <w:color w:val="auto"/>
              </w:rPr>
              <w:t>Less: adjusted net income allocated to outstanding restricted stock</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stock unit holders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44.1</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37.7</w:t>
            </w: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1,552.5</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1,442.7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9/30/2020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12/31/2019</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1,781.8</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1,899.6</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3,681.4</w:t>
            </w: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w:t>
            </w:r>
          </w:p>
        </w:tc>
      </w:tr>
      <w:tr>
        <w:trPr>
          <w:trHeight w:val="230"/>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Cash and discretionary investments returned gains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3" w:right="359" w:bottom="1440" w:gutter="0" w:footer="0" w:header="0"/>
        </w:sectPr>
      </w:pPr>
    </w:p>
    <w:bookmarkStart w:id="33" w:name="page34"/>
    <w:bookmarkEnd w:id="33"/>
    <w:p>
      <w:pPr>
        <w:spacing w:after="0" w:line="253" w:lineRule="auto"/>
        <w:rPr>
          <w:sz w:val="20"/>
          <w:szCs w:val="20"/>
          <w:color w:val="auto"/>
        </w:rPr>
      </w:pPr>
      <w:r>
        <w:rPr>
          <w:rFonts w:ascii="Arial" w:cs="Arial" w:eastAsia="Arial" w:hAnsi="Arial"/>
          <w:sz w:val="18"/>
          <w:szCs w:val="18"/>
          <w:color w:val="auto"/>
        </w:rPr>
        <w:t>of $25.6 million and $50.2 million in the three- and nine-months ended September 30, 2020, respectively, as compared to investment gains of $18.8 million and $98.8 million in the three- and nine-months ended September 30, 2019, respectively. Cash and discretionary investments in T. Rowe Price products held by our subsidiaries outside the U.S. were $778.7 million at September 30, 2020 and $665.8 million at December 31, 2019. Given the availability of our financial resources and cash expected to be generated through future operations, we do not maintain an available external source of additional liquidity.</w:t>
      </w:r>
    </w:p>
    <w:p>
      <w:pPr>
        <w:spacing w:after="0" w:line="23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2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 Group’s interests in cash and investments relate to where they are presented on the unaudited condensed consolidated balance sheet as of September 30, 2020.</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152"/>
              <w:spacing w:after="0"/>
              <w:rPr>
                <w:sz w:val="20"/>
                <w:szCs w:val="20"/>
                <w:color w:val="auto"/>
              </w:rPr>
            </w:pPr>
            <w:r>
              <w:rPr>
                <w:rFonts w:ascii="Arial" w:cs="Arial" w:eastAsia="Arial" w:hAnsi="Arial"/>
                <w:sz w:val="14"/>
                <w:szCs w:val="14"/>
                <w:b w:val="1"/>
                <w:bCs w:val="1"/>
                <w:color w:val="auto"/>
              </w:rPr>
              <w:t>Investments</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9/30/2020</w:t>
            </w:r>
          </w:p>
        </w:tc>
        <w:tc>
          <w:tcPr>
            <w:tcW w:w="0" w:type="dxa"/>
            <w:vAlign w:val="bottom"/>
          </w:tcPr>
          <w:p>
            <w:pPr>
              <w:spacing w:after="0"/>
              <w:rPr>
                <w:sz w:val="1"/>
                <w:szCs w:val="1"/>
                <w:color w:val="auto"/>
              </w:rPr>
            </w:pPr>
          </w:p>
        </w:tc>
      </w:tr>
      <w:tr>
        <w:trPr>
          <w:trHeight w:val="176"/>
        </w:trPr>
        <w:tc>
          <w:tcPr>
            <w:tcW w:w="544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equivalents</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right="57"/>
              <w:spacing w:after="0" w:line="176" w:lineRule="exact"/>
              <w:rPr>
                <w:sz w:val="20"/>
                <w:szCs w:val="20"/>
                <w:color w:val="auto"/>
              </w:rPr>
            </w:pPr>
            <w:r>
              <w:rPr>
                <w:rFonts w:ascii="Arial" w:cs="Arial" w:eastAsia="Arial" w:hAnsi="Arial"/>
                <w:sz w:val="14"/>
                <w:szCs w:val="14"/>
                <w:b w:val="1"/>
                <w:bCs w:val="1"/>
                <w:color w:val="auto"/>
                <w:w w:val="99"/>
              </w:rPr>
              <w:t>products</w:t>
            </w:r>
            <w:r>
              <w:rPr>
                <w:rFonts w:ascii="Arial" w:cs="Arial" w:eastAsia="Arial" w:hAnsi="Arial"/>
                <w:sz w:val="18"/>
                <w:szCs w:val="18"/>
                <w:b w:val="1"/>
                <w:bCs w:val="1"/>
                <w:color w:val="auto"/>
                <w:w w:val="99"/>
                <w:vertAlign w:val="superscript"/>
              </w:rPr>
              <w:t>(1)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1,834.7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4,347.3</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0" w:type="dxa"/>
            <w:vAlign w:val="bottom"/>
          </w:tcPr>
          <w:p>
            <w:pPr>
              <w:spacing w:after="0"/>
              <w:rPr>
                <w:sz w:val="1"/>
                <w:szCs w:val="1"/>
                <w:color w:val="auto"/>
              </w:rPr>
            </w:pP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168"/>
        </w:trPr>
        <w:tc>
          <w:tcPr>
            <w:tcW w:w="554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 Rowe Price Group</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6,050.4</w:t>
            </w: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6,314.6</w:t>
            </w: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1,340.2</w:t>
            </w:r>
          </w:p>
        </w:tc>
        <w:tc>
          <w:tcPr>
            <w:tcW w:w="0" w:type="dxa"/>
            <w:vAlign w:val="bottom"/>
          </w:tcPr>
          <w:p>
            <w:pPr>
              <w:spacing w:after="0"/>
              <w:rPr>
                <w:sz w:val="1"/>
                <w:szCs w:val="1"/>
                <w:color w:val="auto"/>
              </w:rPr>
            </w:pPr>
          </w:p>
        </w:tc>
      </w:tr>
      <w:tr>
        <w:trPr>
          <w:trHeight w:val="168"/>
        </w:trPr>
        <w:tc>
          <w:tcPr>
            <w:tcW w:w="554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As reported on unaudited condensed consolidated balance sheet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3,030.8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7,654.8</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September 30, 2020</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80" w:right="60" w:hanging="172"/>
        <w:spacing w:after="0" w:line="254" w:lineRule="auto"/>
        <w:tabs>
          <w:tab w:leader="none" w:pos="158"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$284.4 million and the $771.2 million represent the total value at September 30, 2020 of our interest in the consolidated T. Rowe Price investment products. The total net assets of the T. Rowe Price investment products at September 30, 2020 of $2,395.8 million includes assets of $2,442.3 million, less the liabilities of $46.5 million as reflected in our unaudited condensed consolidated balance sheets.</w:t>
      </w:r>
    </w:p>
    <w:p>
      <w:pPr>
        <w:spacing w:after="0" w:line="218"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Additionally, in October 2020, UTI Asset Management Company Limited (India), one of our equity method investments, held an initial public offering in India. As part of the offering, we sold a portion of our 26% interest and received net proceeds of approximately $28.0 million and recorded a net gain on the sale of approximately $3.5 million in the fourth quarter of 2020. Subsequent to the sale, we have an ownership interest of 23% of UTI Asset Management Company Limited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increased our quarterly recurring dividend per common share in February 2020 by 18.4% to $.90 per common share from $.76 per common share. Additionally, we expended $1.2 billion in the first nine months of 2020 to repurchase 10.8 million shares, or 4.6%, of our outstanding common stock at an average price of $108.77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3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Since the end of 2017, we have returned $5.0 billion to stockholders through stock repurchases and our regular quarterly dividends, as follows: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Recurring</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c>
          <w:tcPr>
            <w:tcW w:w="0" w:type="dxa"/>
            <w:vAlign w:val="bottom"/>
          </w:tcPr>
          <w:p>
            <w:pPr>
              <w:spacing w:after="0"/>
              <w:rPr>
                <w:sz w:val="1"/>
                <w:szCs w:val="1"/>
                <w:color w:val="auto"/>
              </w:rPr>
            </w:pPr>
          </w:p>
        </w:tc>
      </w:tr>
      <w:tr>
        <w:trPr>
          <w:trHeight w:val="135"/>
        </w:trPr>
        <w:tc>
          <w:tcPr>
            <w:tcW w:w="69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1"/>
                <w:szCs w:val="11"/>
                <w:color w:val="auto"/>
              </w:rPr>
            </w:pPr>
          </w:p>
        </w:tc>
        <w:tc>
          <w:tcPr>
            <w:tcW w:w="1220" w:type="dxa"/>
            <w:vAlign w:val="bottom"/>
            <w:gridSpan w:val="2"/>
            <w:vMerge w:val="continue"/>
            <w:shd w:val="clear" w:color="auto" w:fill="CCEEFF"/>
          </w:tcPr>
          <w:p>
            <w:pPr>
              <w:spacing w:after="0"/>
              <w:rPr>
                <w:sz w:val="11"/>
                <w:szCs w:val="11"/>
                <w:color w:val="auto"/>
              </w:rPr>
            </w:pPr>
          </w:p>
        </w:tc>
        <w:tc>
          <w:tcPr>
            <w:tcW w:w="144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jc w:val="center"/>
              <w:ind w:right="78"/>
              <w:spacing w:after="0" w:line="135" w:lineRule="exact"/>
              <w:rPr>
                <w:sz w:val="20"/>
                <w:szCs w:val="20"/>
                <w:color w:val="auto"/>
              </w:rPr>
            </w:pPr>
            <w:r>
              <w:rPr>
                <w:rFonts w:ascii="Arial" w:cs="Arial" w:eastAsia="Arial" w:hAnsi="Arial"/>
                <w:sz w:val="14"/>
                <w:szCs w:val="14"/>
                <w:b w:val="1"/>
                <w:bCs w:val="1"/>
                <w:color w:val="auto"/>
              </w:rPr>
              <w:t>returned to</w:t>
            </w:r>
          </w:p>
        </w:tc>
        <w:tc>
          <w:tcPr>
            <w:tcW w:w="0" w:type="dxa"/>
            <w:vAlign w:val="bottom"/>
          </w:tcPr>
          <w:p>
            <w:pPr>
              <w:spacing w:after="0"/>
              <w:rPr>
                <w:sz w:val="1"/>
                <w:szCs w:val="1"/>
                <w:color w:val="auto"/>
              </w:rPr>
            </w:pPr>
          </w:p>
        </w:tc>
      </w:tr>
      <w:tr>
        <w:trPr>
          <w:trHeight w:val="176"/>
        </w:trPr>
        <w:tc>
          <w:tcPr>
            <w:tcW w:w="698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dividend</w:t>
            </w:r>
          </w:p>
        </w:tc>
        <w:tc>
          <w:tcPr>
            <w:tcW w:w="144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19"/>
                <w:szCs w:val="19"/>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Nine months ended 9/30/2020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We anticipate property and equipment expenditures for the full-year 2020 to be about $230 million, of which more than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74"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The following table summarizes the cash flows for the nine months ended September 30, 2020 and 2019, that are attributable to T. Rowe Price Group, our consolidated T. Rowe Price investment products, and the related eliminations required in preparing the statement.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9/30/2020</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91"/>
              <w:spacing w:after="0"/>
              <w:rPr>
                <w:sz w:val="20"/>
                <w:szCs w:val="20"/>
                <w:color w:val="auto"/>
              </w:rPr>
            </w:pPr>
            <w:r>
              <w:rPr>
                <w:rFonts w:ascii="Arial" w:cs="Arial" w:eastAsia="Arial" w:hAnsi="Arial"/>
                <w:sz w:val="14"/>
                <w:szCs w:val="14"/>
                <w:b w:val="1"/>
                <w:bCs w:val="1"/>
                <w:color w:val="auto"/>
              </w:rPr>
              <w:t>9/30/2019</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2"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2" w:lineRule="exact"/>
              <w:rPr>
                <w:sz w:val="20"/>
                <w:szCs w:val="20"/>
                <w:color w:val="auto"/>
              </w:rPr>
            </w:pPr>
            <w:r>
              <w:rPr>
                <w:rFonts w:ascii="Arial" w:cs="Arial" w:eastAsia="Arial" w:hAnsi="Arial"/>
                <w:sz w:val="14"/>
                <w:szCs w:val="14"/>
                <w:b w:val="1"/>
                <w:bCs w:val="1"/>
                <w:color w:val="auto"/>
              </w:rPr>
              <w:t>Cash flow</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35"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vMerge w:val="continue"/>
            <w:shd w:val="clear" w:color="auto" w:fill="CCEEFF"/>
          </w:tcPr>
          <w:p>
            <w:pPr>
              <w:spacing w:after="0"/>
              <w:rPr>
                <w:sz w:val="11"/>
                <w:szCs w:val="11"/>
                <w:color w:val="auto"/>
              </w:rPr>
            </w:pP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3"/>
            <w:vMerge w:val="continue"/>
            <w:shd w:val="clear" w:color="auto" w:fill="CCEEFF"/>
          </w:tcPr>
          <w:p>
            <w:pPr>
              <w:spacing w:after="0"/>
              <w:rPr>
                <w:sz w:val="11"/>
                <w:szCs w:val="11"/>
                <w:color w:val="auto"/>
              </w:rPr>
            </w:pP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consolidated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 Rowe Price</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 Rowe Price</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000" w:type="dxa"/>
            <w:vAlign w:val="bottom"/>
            <w:gridSpan w:val="2"/>
            <w:vMerge w:val="continue"/>
            <w:shd w:val="clear" w:color="auto" w:fill="CCEEFF"/>
          </w:tcPr>
          <w:p>
            <w:pPr>
              <w:spacing w:after="0"/>
              <w:rPr>
                <w:sz w:val="11"/>
                <w:szCs w:val="11"/>
                <w:color w:val="auto"/>
              </w:rPr>
            </w:pPr>
          </w:p>
        </w:tc>
        <w:tc>
          <w:tcPr>
            <w:tcW w:w="96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4"/>
                <w:szCs w:val="14"/>
                <w:b w:val="1"/>
                <w:bCs w:val="1"/>
                <w:color w:val="auto"/>
              </w:rPr>
              <w:t>investment</w:t>
            </w:r>
          </w:p>
        </w:tc>
        <w:tc>
          <w:tcPr>
            <w:tcW w:w="7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Elims</w:t>
            </w: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820" w:type="dxa"/>
            <w:vAlign w:val="bottom"/>
            <w:vMerge w:val="continue"/>
            <w:shd w:val="clear" w:color="auto" w:fill="CCEEFF"/>
          </w:tcPr>
          <w:p>
            <w:pPr>
              <w:spacing w:after="0"/>
              <w:rPr>
                <w:sz w:val="15"/>
                <w:szCs w:val="15"/>
                <w:color w:val="auto"/>
              </w:rPr>
            </w:pPr>
          </w:p>
        </w:tc>
        <w:tc>
          <w:tcPr>
            <w:tcW w:w="98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96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700" w:type="dxa"/>
            <w:vAlign w:val="bottom"/>
            <w:gridSpan w:val="2"/>
            <w:vMerge w:val="continue"/>
            <w:shd w:val="clear" w:color="auto" w:fill="CCEEFF"/>
          </w:tcPr>
          <w:p>
            <w:pPr>
              <w:spacing w:after="0"/>
              <w:rPr>
                <w:sz w:val="15"/>
                <w:szCs w:val="15"/>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$1,655.0</w:t>
            </w:r>
          </w:p>
        </w:tc>
        <w:tc>
          <w:tcPr>
            <w:tcW w:w="0" w:type="dxa"/>
            <w:vAlign w:val="bottom"/>
          </w:tcPr>
          <w:p>
            <w:pPr>
              <w:spacing w:after="0"/>
              <w:rPr>
                <w:sz w:val="1"/>
                <w:szCs w:val="1"/>
                <w:color w:val="auto"/>
              </w:rPr>
            </w:pPr>
          </w:p>
        </w:tc>
      </w:tr>
      <w:tr>
        <w:trPr>
          <w:trHeight w:val="188"/>
        </w:trPr>
        <w:tc>
          <w:tcPr>
            <w:tcW w:w="3820" w:type="dxa"/>
            <w:vAlign w:val="bottom"/>
          </w:tcPr>
          <w:p>
            <w:pPr>
              <w:ind w:left="120"/>
              <w:spacing w:after="0" w:line="189" w:lineRule="exact"/>
              <w:rPr>
                <w:sz w:val="20"/>
                <w:szCs w:val="20"/>
                <w:color w:val="auto"/>
              </w:rPr>
            </w:pPr>
            <w:r>
              <w:rPr>
                <w:rFonts w:ascii="Arial" w:cs="Arial" w:eastAsia="Arial" w:hAnsi="Arial"/>
                <w:sz w:val="18"/>
                <w:szCs w:val="18"/>
                <w:color w:val="auto"/>
              </w:rPr>
              <w:t>Adjustments to reconcile net income to net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120"/>
              <w:spacing w:after="0"/>
              <w:rPr>
                <w:sz w:val="20"/>
                <w:szCs w:val="20"/>
                <w:color w:val="auto"/>
              </w:rPr>
            </w:pPr>
            <w:r>
              <w:rPr>
                <w:rFonts w:ascii="Arial" w:cs="Arial" w:eastAsia="Arial" w:hAnsi="Arial"/>
                <w:sz w:val="18"/>
                <w:szCs w:val="18"/>
                <w:color w:val="auto"/>
              </w:rPr>
              <w:t>cash provided by operating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and amortization of property</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equipment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(gains) losses recognized on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188"/>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w w:val="99"/>
              </w:rPr>
              <w:t>Net investments in T. Rowe Price investment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20"/>
              <w:spacing w:after="0" w:line="176" w:lineRule="exact"/>
              <w:rPr>
                <w:sz w:val="20"/>
                <w:szCs w:val="20"/>
                <w:color w:val="auto"/>
              </w:rPr>
            </w:pPr>
            <w:r>
              <w:rPr>
                <w:rFonts w:ascii="Arial" w:cs="Arial" w:eastAsia="Arial" w:hAnsi="Arial"/>
                <w:sz w:val="18"/>
                <w:szCs w:val="18"/>
                <w:color w:val="auto"/>
              </w:rPr>
              <w:t>products used to economically hedge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20"/>
              <w:spacing w:after="0"/>
              <w:rPr>
                <w:sz w:val="20"/>
                <w:szCs w:val="20"/>
                <w:color w:val="auto"/>
              </w:rPr>
            </w:pPr>
            <w:r>
              <w:rPr>
                <w:rFonts w:ascii="Arial" w:cs="Arial" w:eastAsia="Arial" w:hAnsi="Arial"/>
                <w:sz w:val="18"/>
                <w:szCs w:val="18"/>
                <w:color w:val="auto"/>
              </w:rPr>
              <w:t>supplemental savings plan liability</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 in trading securities held by</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consolidated T. Rowe Price investment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 in assets and liabilities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Net cash provided by (used in) operating</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Net cash provided by (used in) investing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cash provided by (used in) financing</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(1,718.0)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Effect of exchange rate changes on cash and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Arial" w:cs="Arial" w:eastAsia="Arial" w:hAnsi="Arial"/>
                <w:sz w:val="18"/>
                <w:szCs w:val="18"/>
                <w:color w:val="auto"/>
                <w:w w:val="99"/>
              </w:rPr>
              <w:t>cash equivalents of consolidated T. Rowe Price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8"/>
        </w:trPr>
        <w:tc>
          <w:tcPr>
            <w:tcW w:w="38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2,306.2</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Operating activities attributable to T. Rowe Price Group during the first nine months of 2020 provided cash flows of $2,265.0 million as compared to $2,028.1 million during the first nine months of 2019. Operating cash flows attributable to T. Rowe Price Group increased $236.9 million, including $203.6 million in higher non-cash adjustments, including unrealized investment gains/losses, depreciation, and stock-based compensation expense; timing differences on the cash settlement of our assets and liabilities of $30.0 million; and the $3.3 million increase in net income from the first nine months of 2019. The non-cash adjustments were driven by a $161.5 million decrease in net investment gains in the first nine months of 2020 compared with the first nine months of 2019.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Net cash used in investing activities that are attributable to T. Rowe Price Group totaled $ 100.6 million in the first nine months of 2020 compared with $230.0 million in the 2019 period. During 2020, we received net proceeds from the sale of certain of our discretionary investments of $141.6 million compared to net proceeds of $77.0 million during 2019. In addition, while we increased our property and equipment expenditures by $6.5 million, we decreased the level of seed capital provided by $65.0 million. We eliminate our seed capital in those T. Rowe Price investment products we consolidate in preparing our unaudited condensed consolidated statement of cash flows. The remaining $40.8 million change in reported cash flows from investing activities is related to the net cash removed from our balance sheet from consolidating and deconsolidating investment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were $1,718.0 million in the first nine months of 2020 compared with $1,010.1 million in the 2019 period. During 2020, there was a $582.5 million increase in cash paid for common stock repurchases as we repurchased 5.1 million more shares of common stock in the first nine months of 2020 as compared to the first nine months of 2019. Additionally, there was a $85.3 million increase in dividends paid in 2020 as a result of an 18.4% increase in our quarterly dividend per share. The remaining change in reported cash flows from financing activities is primarily attributable to a $ 88.4 million decrease in net subscriptions received from redeemable non-controlling interest holders of our consolidated investment products during the first nine months of 2020 compared to the 2019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2019 Annual Report on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new products and services, capital expenditures, changes in our effective fee rate, the impact of the coronavirus pandemic,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10-Q and our Form 10-K Annual Report for 2019.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recent coronavirus outbreak.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38"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first quarter of 2020, the impact of the global coronavirus pandemic began to rapidly spread throughout the world and caused increasing disruption to populations, economic activity, and the global financial markets. While markets recovered sharply in the second and third quarters of 2020, the impact and ongoing uncertainty related to the pandemic continued into the end of September 2020. Since our investments in T. Rowe Price investment products are carried at fair value, these investments are subject to market risk. The following table presents the equity price risk from our investments in T. Rowe Price investment products. Investments in these products generally moderate market risk as they are diversified and invest in a number of different financial instruments. T. Rowe Price manages its cash and discretionary investments exposure to market risk by diversifying its investments among equity and fixed income portfolios. In addition, investment holdings may be altered from time to time in response to changes in market risks and other factors, as management deems appropriate. We do not actively manage the market risk related to our our seed capital investments.</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September 30, 2020 was determined by using the lower of each product’s lowest net asset value per share during the first nine months of 2020 or its net asset value per share at September 30, 2020,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9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8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Fair value 9/30/2020</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Potential lower</w:t>
            </w:r>
          </w:p>
        </w:tc>
        <w:tc>
          <w:tcPr>
            <w:tcW w:w="2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rPr>
              <w:t>Potential</w:t>
            </w: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40" w:type="dxa"/>
            <w:vAlign w:val="bottom"/>
            <w:vMerge w:val="continue"/>
            <w:shd w:val="clear" w:color="auto" w:fill="CCEEFF"/>
          </w:tcPr>
          <w:p>
            <w:pPr>
              <w:spacing w:after="0"/>
              <w:rPr>
                <w:sz w:val="15"/>
                <w:szCs w:val="15"/>
                <w:color w:val="auto"/>
              </w:rPr>
            </w:pPr>
          </w:p>
        </w:tc>
        <w:tc>
          <w:tcPr>
            <w:tcW w:w="154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value</w:t>
            </w:r>
          </w:p>
        </w:tc>
        <w:tc>
          <w:tcPr>
            <w:tcW w:w="2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w w:val="99"/>
              </w:rPr>
              <w:t>loss</w:t>
            </w: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8"/>
                <w:szCs w:val="18"/>
                <w:color w:val="auto"/>
              </w:rPr>
              <w:t>Investments in T. Rowe Price products</w:t>
            </w: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Discretionary investments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Seed capital not consolidated</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188"/>
        </w:trPr>
        <w:tc>
          <w:tcPr>
            <w:tcW w:w="5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Investments designated as an economic hedge of supplemental</w:t>
            </w: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savings plan liability held at fair value</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r>
              <w:rPr>
                <w:rFonts w:ascii="Arial" w:cs="Arial" w:eastAsia="Arial" w:hAnsi="Arial"/>
                <w:sz w:val="18"/>
                <w:szCs w:val="18"/>
                <w:u w:val="single" w:color="auto"/>
                <w:color w:val="auto"/>
              </w:rPr>
              <w:t>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investment in consolidated T. Rowe Price investment products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Discretionary investments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Seed capital</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partnerships and other investments held at fair value</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Any losses arising from the change in fair value of investments in T. Rowe Price products would result in a corresponding decrease, net of tax, in our net income attributable to T. Rowe Price Group.</w:t>
      </w:r>
    </w:p>
    <w:p>
      <w:pPr>
        <w:spacing w:after="0" w:line="22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direct investment in consolidated T. Rowe Price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T. Rowe Price investment products would also result in a corresponding decrease, net of tax, in our net income attributable to T. Rowe Price Group.</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Further, we have investments that are used to economically hedge the change in our supplemental savings plan liability. Since we are hedging the liability, the impact on our net income attributable to T. Rowe Price Group would result from any ineffectiveness of this economic hedge.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2020. Based on that evaluation, our principal executive and principal financial officers have concluded that our disclosure controls and procedures as of September 30, 2020,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3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2020, and has concluded that there was no change during the third quarter of 2020 that has materially affected, or is reasonably likely to materially affect, our internal control over financial reporting.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Plaintiffs have filed a motion for partial summary judgment and defendants have filed a cross-motion for summary judgment, and briefing is underway. We cannot predict the eventual outcome, or whether it will have a material negative impact on our financial results, or estimate the possible loss or range of loss that may arise from any negative outcome.</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23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risk factors appears in Item 1A. of our Annual Report on Form 10-K for the fiscal year ended December 31,</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2019 filed with the SEC on February 13, 2020. The following risk factor has occurred since previously reporting our risk factors in Item 1A. of our Annual Report on Form 10-K for the fiscal year ended December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financial condition, and results of operation may be adversely affected by the recent coronavirus outbreak.</w:t>
      </w:r>
    </w:p>
    <w:p>
      <w:pPr>
        <w:spacing w:after="0" w:line="247" w:lineRule="exact"/>
        <w:rPr>
          <w:sz w:val="20"/>
          <w:szCs w:val="20"/>
          <w:color w:val="auto"/>
        </w:rPr>
      </w:pPr>
    </w:p>
    <w:p>
      <w:pPr>
        <w:jc w:val="both"/>
        <w:ind w:right="400"/>
        <w:spacing w:after="0" w:line="251" w:lineRule="auto"/>
        <w:rPr>
          <w:sz w:val="20"/>
          <w:szCs w:val="20"/>
          <w:color w:val="auto"/>
        </w:rPr>
      </w:pPr>
      <w:r>
        <w:rPr>
          <w:rFonts w:ascii="Arial" w:cs="Arial" w:eastAsia="Arial" w:hAnsi="Arial"/>
          <w:sz w:val="18"/>
          <w:szCs w:val="18"/>
          <w:color w:val="auto"/>
        </w:rPr>
        <w:t xml:space="preserve">Beginning in early 2020, global financial markets have been monitoring and reacting to the novel coronavirus pandemic. The spread of the coronavirus has created significant volatility, uncertainty and economic disruption to the global economy and may impact our business, financial condition and results of operations. In particular global financial markets have seen increased volatility and significant changes in the value of investments. If the value of our </w:t>
      </w:r>
      <w:r>
        <w:rPr>
          <w:rFonts w:ascii="Arial" w:cs="Arial" w:eastAsia="Arial" w:hAnsi="Arial"/>
          <w:sz w:val="18"/>
          <w:szCs w:val="18"/>
          <w:color w:val="212529"/>
        </w:rPr>
        <w:t>assets under our management decreases, our revenue and operating</w:t>
      </w:r>
      <w:r>
        <w:rPr>
          <w:rFonts w:ascii="Arial" w:cs="Arial" w:eastAsia="Arial" w:hAnsi="Arial"/>
          <w:sz w:val="18"/>
          <w:szCs w:val="18"/>
          <w:color w:val="auto"/>
        </w:rPr>
        <w:t xml:space="preserve"> </w:t>
      </w:r>
      <w:r>
        <w:rPr>
          <w:rFonts w:ascii="Arial" w:cs="Arial" w:eastAsia="Arial" w:hAnsi="Arial"/>
          <w:sz w:val="18"/>
          <w:szCs w:val="18"/>
          <w:color w:val="212529"/>
        </w:rPr>
        <w:t>results could be materially impacted. Furthermore, w</w:t>
      </w:r>
      <w:r>
        <w:rPr>
          <w:rFonts w:ascii="Arial" w:cs="Arial" w:eastAsia="Arial" w:hAnsi="Arial"/>
          <w:sz w:val="18"/>
          <w:szCs w:val="18"/>
          <w:color w:val="000000"/>
        </w:rPr>
        <w:t>hile we have in place robust and well-established business continuity plans that</w:t>
      </w:r>
      <w:r>
        <w:rPr>
          <w:rFonts w:ascii="Arial" w:cs="Arial" w:eastAsia="Arial" w:hAnsi="Arial"/>
          <w:sz w:val="18"/>
          <w:szCs w:val="18"/>
          <w:color w:val="212529"/>
        </w:rPr>
        <w:t xml:space="preserve"> </w:t>
      </w:r>
      <w:r>
        <w:rPr>
          <w:rFonts w:ascii="Arial" w:cs="Arial" w:eastAsia="Arial" w:hAnsi="Arial"/>
          <w:sz w:val="18"/>
          <w:szCs w:val="18"/>
          <w:color w:val="000000"/>
        </w:rPr>
        <w:t>address the potential impact to our associates and our facilities, and a comprehensive suite of technologies which enable our associates to work remotely and conduct business, no assurance can be given that the steps we have taken will continue to be effective or appropriate. In the event that our associates become incapacitated by the coronavirus, our business operations may be impacted, which could lead to reputational and financial harm. Since our revenue is based on the market value and composition of the assets under our management, the ultimate impact on global financial markets and our clients’ decisions related to this event could adversely affect the Company’s revenue and operating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2020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3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8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1"/>
                <w:szCs w:val="11"/>
                <w:color w:val="auto"/>
              </w:rPr>
            </w:pPr>
          </w:p>
        </w:tc>
        <w:tc>
          <w:tcPr>
            <w:tcW w:w="16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3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00" w:type="dxa"/>
            <w:vAlign w:val="bottom"/>
            <w:vMerge w:val="restart"/>
            <w:shd w:val="clear" w:color="auto" w:fill="CCEEFF"/>
          </w:tcPr>
          <w:p>
            <w:pPr>
              <w:spacing w:after="0"/>
              <w:rPr>
                <w:sz w:val="11"/>
                <w:szCs w:val="11"/>
                <w:color w:val="auto"/>
              </w:rPr>
            </w:pPr>
          </w:p>
        </w:tc>
        <w:tc>
          <w:tcPr>
            <w:tcW w:w="188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9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July</w:t>
            </w:r>
          </w:p>
        </w:tc>
        <w:tc>
          <w:tcPr>
            <w:tcW w:w="1760" w:type="dxa"/>
            <w:vAlign w:val="bottom"/>
          </w:tcPr>
          <w:p>
            <w:pPr>
              <w:jc w:val="right"/>
              <w:spacing w:after="0"/>
              <w:rPr>
                <w:sz w:val="20"/>
                <w:szCs w:val="20"/>
                <w:color w:val="auto"/>
              </w:rPr>
            </w:pPr>
            <w:r>
              <w:rPr>
                <w:rFonts w:ascii="Arial" w:cs="Arial" w:eastAsia="Arial" w:hAnsi="Arial"/>
                <w:sz w:val="18"/>
                <w:szCs w:val="18"/>
                <w:color w:val="auto"/>
              </w:rPr>
              <w:t>64,123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128.93</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32,814</w:t>
            </w:r>
          </w:p>
        </w:tc>
        <w:tc>
          <w:tcPr>
            <w:tcW w:w="1860" w:type="dxa"/>
            <w:vAlign w:val="bottom"/>
            <w:gridSpan w:val="2"/>
          </w:tcPr>
          <w:p>
            <w:pPr>
              <w:jc w:val="right"/>
              <w:ind w:right="8"/>
              <w:spacing w:after="0"/>
              <w:rPr>
                <w:sz w:val="20"/>
                <w:szCs w:val="20"/>
                <w:color w:val="auto"/>
              </w:rPr>
            </w:pPr>
            <w:r>
              <w:rPr>
                <w:rFonts w:ascii="Arial" w:cs="Arial" w:eastAsia="Arial" w:hAnsi="Arial"/>
                <w:sz w:val="18"/>
                <w:szCs w:val="18"/>
                <w:color w:val="auto"/>
              </w:rPr>
              <w:t>22,703,350</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August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22,703,350</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September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1,090,792</w:t>
            </w:r>
          </w:p>
        </w:tc>
        <w:tc>
          <w:tcPr>
            <w:tcW w:w="18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21,612,558</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1,123,606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2020, 85,649 were related to shares surrendered in connection with employee stock option exercises and no shares were withheld to cover tax withholdings associated with the vesting of restricted stock awards.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5400" w:type="dxa"/>
            <w:vAlign w:val="bottom"/>
            <w:vMerge w:val="restart"/>
            <w:shd w:val="clear" w:color="auto" w:fill="CCEEFF"/>
          </w:tcPr>
          <w:p>
            <w:pPr>
              <w:ind w:left="202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vMerge w:val="restart"/>
            <w:shd w:val="clear" w:color="auto" w:fill="CCEEFF"/>
          </w:tcPr>
          <w:p>
            <w:pPr>
              <w:spacing w:after="0"/>
              <w:rPr>
                <w:sz w:val="11"/>
                <w:szCs w:val="11"/>
                <w:color w:val="auto"/>
              </w:rPr>
            </w:pPr>
          </w:p>
        </w:tc>
        <w:tc>
          <w:tcPr>
            <w:tcW w:w="1760" w:type="dxa"/>
            <w:vAlign w:val="bottom"/>
            <w:vMerge w:val="restart"/>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7/1/2020</w:t>
            </w:r>
          </w:p>
        </w:tc>
        <w:tc>
          <w:tcPr>
            <w:tcW w:w="120" w:type="dxa"/>
            <w:vAlign w:val="bottom"/>
            <w:shd w:val="clear" w:color="auto" w:fill="CCEEFF"/>
          </w:tcPr>
          <w:p>
            <w:pPr>
              <w:spacing w:after="0"/>
              <w:rPr>
                <w:sz w:val="11"/>
                <w:szCs w:val="11"/>
                <w:color w:val="auto"/>
              </w:rPr>
            </w:pPr>
          </w:p>
        </w:tc>
        <w:tc>
          <w:tcPr>
            <w:tcW w:w="2000" w:type="dxa"/>
            <w:vAlign w:val="bottom"/>
            <w:gridSpan w:val="2"/>
            <w:vMerge w:val="continue"/>
            <w:shd w:val="clear" w:color="auto" w:fill="CCEEFF"/>
          </w:tcPr>
          <w:p>
            <w:pPr>
              <w:spacing w:after="0"/>
              <w:rPr>
                <w:sz w:val="11"/>
                <w:szCs w:val="11"/>
                <w:color w:val="auto"/>
              </w:rPr>
            </w:pPr>
          </w:p>
        </w:tc>
        <w:tc>
          <w:tcPr>
            <w:tcW w:w="1780" w:type="dxa"/>
            <w:vAlign w:val="bottom"/>
            <w:shd w:val="clear" w:color="auto" w:fill="CCEEFF"/>
          </w:tcPr>
          <w:p>
            <w:pPr>
              <w:jc w:val="right"/>
              <w:ind w:right="19"/>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75"/>
        </w:trPr>
        <w:tc>
          <w:tcPr>
            <w:tcW w:w="54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9/30/2020</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1760" w:type="dxa"/>
            <w:vAlign w:val="bottom"/>
          </w:tcPr>
          <w:p>
            <w:pPr>
              <w:jc w:val="right"/>
              <w:spacing w:after="0"/>
              <w:rPr>
                <w:sz w:val="20"/>
                <w:szCs w:val="20"/>
                <w:color w:val="auto"/>
              </w:rPr>
            </w:pPr>
            <w:r>
              <w:rPr>
                <w:rFonts w:ascii="Arial" w:cs="Arial" w:eastAsia="Arial" w:hAnsi="Arial"/>
                <w:sz w:val="18"/>
                <w:szCs w:val="18"/>
                <w:color w:val="auto"/>
              </w:rPr>
              <w:t>7,736,164</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(1,123,606)</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6,612,558</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22,736,164</w:t>
            </w:r>
          </w:p>
        </w:tc>
        <w:tc>
          <w:tcPr>
            <w:tcW w:w="1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(1,123,606)</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21,612,558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29, 2020, we issued an earnings release reporting our results of operations for the third quarter of 2020 and the first nine months of 2020.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220"/>
          </w:cols>
          <w:pgMar w:left="320" w:top="886" w:right="35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300"/>
        <w:spacing w:after="0" w:line="227" w:lineRule="auto"/>
        <w:rPr>
          <w:rFonts w:ascii="Arial" w:cs="Arial" w:eastAsia="Arial" w:hAnsi="Arial"/>
          <w:sz w:val="18"/>
          <w:szCs w:val="18"/>
          <w:color w:val="auto"/>
        </w:rPr>
      </w:pPr>
      <w:hyperlink r:id="rId73">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73">
        <w:r>
          <w:rPr>
            <w:rFonts w:ascii="Arial" w:cs="Arial" w:eastAsia="Arial" w:hAnsi="Arial"/>
            <w:sz w:val="18"/>
            <w:szCs w:val="18"/>
            <w:color w:val="auto"/>
          </w:rPr>
          <w:t>reference from Form 10-Q Quarterly Report filed on July 25, 2018.)</w:t>
        </w:r>
      </w:hyperlink>
    </w:p>
    <w:p>
      <w:pPr>
        <w:spacing w:after="0" w:line="108" w:lineRule="exact"/>
        <w:rPr>
          <w:sz w:val="20"/>
          <w:szCs w:val="20"/>
          <w:color w:val="auto"/>
        </w:rPr>
      </w:pPr>
    </w:p>
    <w:p>
      <w:pPr>
        <w:ind w:right="360"/>
        <w:spacing w:after="0" w:line="227" w:lineRule="auto"/>
        <w:rPr>
          <w:rFonts w:ascii="Arial" w:cs="Arial" w:eastAsia="Arial" w:hAnsi="Arial"/>
          <w:sz w:val="18"/>
          <w:szCs w:val="18"/>
          <w:color w:val="auto"/>
        </w:rPr>
      </w:pPr>
      <w:hyperlink r:id="rId74">
        <w:r>
          <w:rPr>
            <w:rFonts w:ascii="Arial" w:cs="Arial" w:eastAsia="Arial" w:hAnsi="Arial"/>
            <w:sz w:val="18"/>
            <w:szCs w:val="18"/>
            <w:color w:val="auto"/>
          </w:rPr>
          <w:t>Amended and Restated By-Laws of T. Rowe Price Group, Inc. as of February 12, 2019. (Incorporated by reference</w:t>
        </w:r>
      </w:hyperlink>
      <w:r>
        <w:rPr>
          <w:rFonts w:ascii="Arial" w:cs="Arial" w:eastAsia="Arial" w:hAnsi="Arial"/>
          <w:sz w:val="18"/>
          <w:szCs w:val="18"/>
          <w:color w:val="auto"/>
        </w:rPr>
        <w:t xml:space="preserve"> </w:t>
      </w:r>
      <w:hyperlink r:id="rId74">
        <w:r>
          <w:rPr>
            <w:rFonts w:ascii="Arial" w:cs="Arial" w:eastAsia="Arial" w:hAnsi="Arial"/>
            <w:sz w:val="18"/>
            <w:szCs w:val="18"/>
            <w:color w:val="auto"/>
          </w:rPr>
          <w:t>from Form 8-K Current Report filed on February 13, 2019.)</w:t>
        </w:r>
      </w:hyperlink>
    </w:p>
    <w:p>
      <w:pPr>
        <w:spacing w:after="0" w:line="121" w:lineRule="exact"/>
        <w:rPr>
          <w:sz w:val="20"/>
          <w:szCs w:val="20"/>
          <w:color w:val="auto"/>
        </w:rPr>
      </w:pPr>
    </w:p>
    <w:p>
      <w:pPr>
        <w:spacing w:after="0"/>
        <w:rPr>
          <w:rFonts w:ascii="Arial" w:cs="Arial" w:eastAsia="Arial" w:hAnsi="Arial"/>
          <w:sz w:val="18"/>
          <w:szCs w:val="18"/>
          <w:color w:val="auto"/>
        </w:rPr>
      </w:pPr>
      <w:hyperlink w:anchor="page44">
        <w:r>
          <w:rPr>
            <w:rFonts w:ascii="Arial" w:cs="Arial" w:eastAsia="Arial" w:hAnsi="Arial"/>
            <w:sz w:val="18"/>
            <w:szCs w:val="18"/>
            <w:color w:val="auto"/>
          </w:rPr>
          <w:t>Report from KPMG LLP, independent registered public accounting firm, re unaudited interim financial information.</w:t>
        </w:r>
      </w:hyperlink>
    </w:p>
    <w:p>
      <w:pPr>
        <w:spacing w:after="0" w:line="158" w:lineRule="exact"/>
        <w:rPr>
          <w:sz w:val="20"/>
          <w:szCs w:val="20"/>
          <w:color w:val="auto"/>
        </w:rPr>
      </w:pPr>
    </w:p>
    <w:p>
      <w:pPr>
        <w:spacing w:after="0"/>
        <w:rPr>
          <w:rFonts w:ascii="Arial" w:cs="Arial" w:eastAsia="Arial" w:hAnsi="Arial"/>
          <w:sz w:val="18"/>
          <w:szCs w:val="18"/>
          <w:color w:val="auto"/>
        </w:rPr>
      </w:pPr>
      <w:hyperlink w:anchor="page45">
        <w:r>
          <w:rPr>
            <w:rFonts w:ascii="Arial" w:cs="Arial" w:eastAsia="Arial" w:hAnsi="Arial"/>
            <w:sz w:val="18"/>
            <w:szCs w:val="18"/>
            <w:color w:val="auto"/>
          </w:rPr>
          <w:t>Rule 13a-14(a) Certification of Principal Executive Officer.</w:t>
        </w:r>
      </w:hyperlink>
    </w:p>
    <w:p>
      <w:pPr>
        <w:spacing w:after="0" w:line="158" w:lineRule="exact"/>
        <w:rPr>
          <w:sz w:val="20"/>
          <w:szCs w:val="20"/>
          <w:color w:val="auto"/>
        </w:rPr>
      </w:pPr>
    </w:p>
    <w:p>
      <w:pPr>
        <w:spacing w:after="0"/>
        <w:rPr>
          <w:rFonts w:ascii="Arial" w:cs="Arial" w:eastAsia="Arial" w:hAnsi="Arial"/>
          <w:sz w:val="18"/>
          <w:szCs w:val="18"/>
          <w:color w:val="auto"/>
        </w:rPr>
      </w:pPr>
      <w:hyperlink w:anchor="page46">
        <w:r>
          <w:rPr>
            <w:rFonts w:ascii="Arial" w:cs="Arial" w:eastAsia="Arial" w:hAnsi="Arial"/>
            <w:sz w:val="18"/>
            <w:szCs w:val="18"/>
            <w:color w:val="auto"/>
          </w:rPr>
          <w:t>Rule 13a-14(a) Certification of Principal Financial Officer.</w:t>
        </w:r>
      </w:hyperlink>
    </w:p>
    <w:p>
      <w:pPr>
        <w:spacing w:after="0" w:line="158" w:lineRule="exact"/>
        <w:rPr>
          <w:sz w:val="20"/>
          <w:szCs w:val="20"/>
          <w:color w:val="auto"/>
        </w:rPr>
      </w:pPr>
    </w:p>
    <w:p>
      <w:pPr>
        <w:spacing w:after="0"/>
        <w:rPr>
          <w:rFonts w:ascii="Arial" w:cs="Arial" w:eastAsia="Arial" w:hAnsi="Arial"/>
          <w:sz w:val="18"/>
          <w:szCs w:val="18"/>
          <w:color w:val="auto"/>
        </w:rPr>
      </w:pPr>
      <w:hyperlink w:anchor="page47">
        <w:r>
          <w:rPr>
            <w:rFonts w:ascii="Arial" w:cs="Arial" w:eastAsia="Arial" w:hAnsi="Arial"/>
            <w:sz w:val="18"/>
            <w:szCs w:val="18"/>
            <w:color w:val="auto"/>
          </w:rPr>
          <w:t>Section 1350 Certifications.</w:t>
        </w:r>
      </w:hyperlink>
    </w:p>
    <w:p>
      <w:pPr>
        <w:spacing w:after="0" w:line="144" w:lineRule="exact"/>
        <w:rPr>
          <w:sz w:val="20"/>
          <w:szCs w:val="20"/>
          <w:color w:val="auto"/>
        </w:rPr>
      </w:pPr>
    </w:p>
    <w:p>
      <w:pPr>
        <w:spacing w:after="0"/>
        <w:rPr>
          <w:rFonts w:ascii="Arial" w:cs="Arial" w:eastAsia="Arial" w:hAnsi="Arial"/>
          <w:sz w:val="18"/>
          <w:szCs w:val="18"/>
          <w:color w:val="auto"/>
        </w:rPr>
      </w:pPr>
      <w:hyperlink w:anchor="page48">
        <w:r>
          <w:rPr>
            <w:rFonts w:ascii="Arial" w:cs="Arial" w:eastAsia="Arial" w:hAnsi="Arial"/>
            <w:sz w:val="18"/>
            <w:szCs w:val="18"/>
            <w:color w:val="auto"/>
          </w:rPr>
          <w:t>Earnings release issued October 29, 2020, reporting our results of operations for the third quarter of 2020.</w:t>
        </w:r>
      </w:hyperlink>
    </w:p>
    <w:p>
      <w:pPr>
        <w:spacing w:after="0" w:line="13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121" w:lineRule="exact"/>
        <w:rPr>
          <w:sz w:val="20"/>
          <w:szCs w:val="20"/>
          <w:color w:val="auto"/>
        </w:rPr>
      </w:pPr>
    </w:p>
    <w:p>
      <w:pPr>
        <w:sectPr>
          <w:pgSz w:w="11900" w:h="16838" w:orient="portrait"/>
          <w:cols w:equalWidth="0" w:num="2">
            <w:col w:w="1020" w:space="720"/>
            <w:col w:w="9480"/>
          </w:cols>
          <w:pgMar w:left="320" w:top="886"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tcPr>
          <w:p>
            <w:pPr>
              <w:ind w:left="50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w:t>
            </w:r>
          </w:p>
        </w:tc>
      </w:tr>
      <w:tr>
        <w:trPr>
          <w:trHeight w:val="217"/>
        </w:trPr>
        <w:tc>
          <w:tcPr>
            <w:tcW w:w="1220" w:type="dxa"/>
            <w:vAlign w:val="bottom"/>
          </w:tcPr>
          <w:p>
            <w:pPr>
              <w:spacing w:after="0"/>
              <w:rPr>
                <w:sz w:val="18"/>
                <w:szCs w:val="18"/>
                <w:color w:val="auto"/>
              </w:rPr>
            </w:pPr>
          </w:p>
        </w:tc>
        <w:tc>
          <w:tcPr>
            <w:tcW w:w="9900" w:type="dxa"/>
            <w:vAlign w:val="bottom"/>
          </w:tcPr>
          <w:p>
            <w:pPr>
              <w:ind w:left="500"/>
              <w:spacing w:after="0"/>
              <w:rPr>
                <w:sz w:val="20"/>
                <w:szCs w:val="20"/>
                <w:color w:val="auto"/>
              </w:rPr>
            </w:pPr>
            <w:r>
              <w:rPr>
                <w:rFonts w:ascii="Arial" w:cs="Arial" w:eastAsia="Arial" w:hAnsi="Arial"/>
                <w:sz w:val="18"/>
                <w:szCs w:val="18"/>
                <w:color w:val="auto"/>
              </w:rPr>
              <w:t>are embedded within the Inline XBRL 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Calculation Linkbase Document</w:t>
            </w:r>
          </w:p>
        </w:tc>
      </w:tr>
      <w:tr>
        <w:trPr>
          <w:trHeight w:val="364"/>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Label Linkbase 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Presentation Linkbase 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tcPr>
          <w:p>
            <w:pPr>
              <w:ind w:left="500"/>
              <w:spacing w:after="0"/>
              <w:rPr>
                <w:sz w:val="20"/>
                <w:szCs w:val="20"/>
                <w:color w:val="auto"/>
              </w:rPr>
            </w:pPr>
            <w:r>
              <w:rPr>
                <w:rFonts w:ascii="Arial" w:cs="Arial" w:eastAsia="Arial" w:hAnsi="Arial"/>
                <w:sz w:val="18"/>
                <w:szCs w:val="18"/>
                <w:color w:val="auto"/>
              </w:rPr>
              <w:t>XBRL Taxonomy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42" w:name="page43"/>
    <w:bookmarkEnd w:id="4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29,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120"/>
          </w:cols>
          <w:pgMar w:left="320" w:top="886" w:right="459" w:bottom="1440" w:gutter="0" w:footer="0" w:header="0"/>
        </w:sectPr>
      </w:pPr>
    </w:p>
    <w:bookmarkStart w:id="43" w:name="page44"/>
    <w:bookmarkEnd w:id="43"/>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1"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908" w:right="3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9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29, 2020 related to our review of interim financial information.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908" w:right="339" w:bottom="1440" w:gutter="0" w:footer="0" w:header="0"/>
          <w:type w:val="continuous"/>
        </w:sectPr>
      </w:pPr>
    </w:p>
    <w:bookmarkStart w:id="44" w:name="page45"/>
    <w:bookmarkEnd w:id="44"/>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2020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ectPr>
          <w:pgSz w:w="11900" w:h="16838" w:orient="portrait"/>
          <w:cols w:equalWidth="0" w:num="1">
            <w:col w:w="11220"/>
          </w:cols>
          <w:pgMar w:left="320" w:top="1003" w:right="359" w:bottom="1440" w:gutter="0" w:footer="0" w:header="0"/>
        </w:sectPr>
      </w:pPr>
    </w:p>
    <w:bookmarkStart w:id="45" w:name="page46"/>
    <w:bookmarkEnd w:id="45"/>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2020 of T. Rowe Price Group, Inc.;</w:t>
      </w:r>
    </w:p>
    <w:p>
      <w:pPr>
        <w:spacing w:after="0" w:line="90" w:lineRule="exact"/>
        <w:rPr>
          <w:sz w:val="20"/>
          <w:szCs w:val="20"/>
          <w:color w:val="auto"/>
        </w:rPr>
      </w:pPr>
    </w:p>
    <w:p>
      <w:pPr>
        <w:ind w:left="180" w:right="220" w:hanging="161"/>
        <w:spacing w:after="0" w:line="256"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sz w:val="20"/>
          <w:szCs w:val="20"/>
          <w:color w:val="auto"/>
        </w:rPr>
      </w:pPr>
    </w:p>
    <w:p>
      <w:pPr>
        <w:ind w:left="180" w:right="300" w:hanging="161"/>
        <w:spacing w:after="0" w:line="291"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180" w:right="280" w:hanging="161"/>
        <w:spacing w:after="0" w:line="265"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90" w:lineRule="exact"/>
        <w:rPr>
          <w:sz w:val="20"/>
          <w:szCs w:val="20"/>
          <w:color w:val="auto"/>
        </w:rPr>
      </w:pPr>
    </w:p>
    <w:p>
      <w:pPr>
        <w:ind w:left="180" w:right="280" w:firstLine="71"/>
        <w:spacing w:after="0" w:line="256"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80" w:right="140" w:firstLine="71"/>
        <w:spacing w:after="0" w:line="256"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180" w:hanging="161"/>
        <w:spacing w:after="0" w:line="291"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180" w:right="380" w:firstLine="71"/>
        <w:spacing w:after="0" w:line="261"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80" w:right="620" w:firstLine="71"/>
        <w:spacing w:after="0" w:line="261"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1003" w:right="359" w:bottom="1440" w:gutter="0" w:footer="0" w:header="0"/>
        </w:sectPr>
      </w:pPr>
    </w:p>
    <w:bookmarkStart w:id="46" w:name="page47"/>
    <w:bookmarkEnd w:id="46"/>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of T. Rowe Price Group, Inc., that:</w:t>
      </w:r>
    </w:p>
    <w:p>
      <w:pPr>
        <w:spacing w:after="0" w:line="104" w:lineRule="exact"/>
        <w:rPr>
          <w:sz w:val="20"/>
          <w:szCs w:val="20"/>
          <w:color w:val="auto"/>
        </w:rPr>
      </w:pPr>
    </w:p>
    <w:p>
      <w:pPr>
        <w:ind w:right="620" w:firstLine="8"/>
        <w:spacing w:after="0" w:line="261"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62" w:lineRule="exact"/>
        <w:rPr>
          <w:rFonts w:ascii="Arial" w:cs="Arial" w:eastAsia="Arial" w:hAnsi="Arial"/>
          <w:sz w:val="18"/>
          <w:szCs w:val="18"/>
          <w:color w:val="auto"/>
        </w:rPr>
      </w:pPr>
    </w:p>
    <w:p>
      <w:pPr>
        <w:ind w:firstLine="8"/>
        <w:spacing w:after="0" w:line="261"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October 29,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160"/>
          </w:cols>
          <w:pgMar w:left="320" w:top="1003" w:right="41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5863590" cy="548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THIRD QUARTER 2020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BALTIMORE (October 29, 2020) - T. Rowe Price Group, Inc. (NASDAQ-GS: TROW) today reported its results for the third quarter of 2020.</w:t>
      </w:r>
    </w:p>
    <w:p>
      <w:pPr>
        <w:spacing w:after="0" w:line="10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quarter at $1.31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0"/>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outflows of $5.3 billion for Q3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0"/>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$1.6 billion for Q3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0"/>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$2.73 for Q3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0"/>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$2.55 for Q3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20"/>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 w:type="dxa"/>
            <w:vAlign w:val="bottom"/>
            <w:tcBorders>
              <w:top w:val="single" w:sz="8" w:color="auto"/>
              <w:left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gridSpan w:val="5"/>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righ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gridSpan w:val="5"/>
            <w:shd w:val="clear" w:color="auto" w:fill="CCEEFF"/>
          </w:tcPr>
          <w:p>
            <w:pPr>
              <w:ind w:left="60"/>
              <w:spacing w:after="0"/>
              <w:rPr>
                <w:sz w:val="20"/>
                <w:szCs w:val="20"/>
                <w:color w:val="auto"/>
              </w:rPr>
            </w:pPr>
            <w:r>
              <w:rPr>
                <w:rFonts w:ascii="Arial" w:cs="Arial" w:eastAsia="Arial" w:hAnsi="Arial"/>
                <w:sz w:val="14"/>
                <w:szCs w:val="14"/>
                <w:color w:val="auto"/>
              </w:rPr>
              <w:t>Nine months ended</w:t>
            </w:r>
          </w:p>
        </w:tc>
        <w:tc>
          <w:tcPr>
            <w:tcW w:w="100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r>
      <w:tr>
        <w:trPr>
          <w:trHeight w:val="183"/>
        </w:trPr>
        <w:tc>
          <w:tcPr>
            <w:tcW w:w="4200" w:type="dxa"/>
            <w:vAlign w:val="bottom"/>
            <w:tcBorders>
              <w:left w:val="single" w:sz="8" w:color="auto"/>
            </w:tcBorders>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1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Arial" w:cs="Arial" w:eastAsia="Arial" w:hAnsi="Arial"/>
                <w:sz w:val="14"/>
                <w:szCs w:val="14"/>
                <w:color w:val="auto"/>
              </w:rPr>
              <w:t>9/30/2020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Arial" w:cs="Arial" w:eastAsia="Arial" w:hAnsi="Arial"/>
                <w:sz w:val="14"/>
                <w:szCs w:val="14"/>
                <w:color w:val="auto"/>
              </w:rPr>
              <w:t>9/30/2019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Arial" w:cs="Arial" w:eastAsia="Arial" w:hAnsi="Arial"/>
                <w:sz w:val="14"/>
                <w:szCs w:val="14"/>
                <w:color w:val="auto"/>
              </w:rPr>
              <w:t>9/30/2020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Arial" w:cs="Arial" w:eastAsia="Arial" w:hAnsi="Arial"/>
                <w:sz w:val="14"/>
                <w:szCs w:val="14"/>
                <w:color w:val="auto"/>
              </w:rPr>
              <w:t>9/30/2019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right w:val="single" w:sz="8" w:color="auto"/>
            </w:tcBorders>
          </w:tcPr>
          <w:p>
            <w:pPr>
              <w:jc w:val="right"/>
              <w:ind w:right="204"/>
              <w:spacing w:after="0"/>
              <w:rPr>
                <w:sz w:val="20"/>
                <w:szCs w:val="20"/>
                <w:color w:val="auto"/>
              </w:rPr>
            </w:pPr>
            <w:r>
              <w:rPr>
                <w:rFonts w:ascii="Arial" w:cs="Arial" w:eastAsia="Arial" w:hAnsi="Arial"/>
                <w:sz w:val="14"/>
                <w:szCs w:val="14"/>
                <w:color w:val="auto"/>
              </w:rPr>
              <w:t>% change</w:t>
            </w:r>
          </w:p>
        </w:tc>
      </w:tr>
      <w:tr>
        <w:trPr>
          <w:trHeight w:val="88"/>
        </w:trPr>
        <w:tc>
          <w:tcPr>
            <w:tcW w:w="40" w:type="dxa"/>
            <w:vAlign w:val="bottom"/>
            <w:tcBorders>
              <w:top w:val="single" w:sz="8" w:color="CCEEFF"/>
              <w:left w:val="single" w:sz="8" w:color="auto"/>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2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000" w:type="dxa"/>
            <w:vAlign w:val="bottom"/>
            <w:tcBorders>
              <w:top w:val="single" w:sz="8" w:color="auto"/>
              <w:right w:val="single" w:sz="8" w:color="auto"/>
            </w:tcBorders>
            <w:shd w:val="clear" w:color="auto" w:fill="CCEEFF"/>
          </w:tcPr>
          <w:p>
            <w:pPr>
              <w:spacing w:after="0"/>
              <w:rPr>
                <w:sz w:val="7"/>
                <w:szCs w:val="7"/>
                <w:color w:val="auto"/>
              </w:rPr>
            </w:pPr>
          </w:p>
        </w:tc>
      </w:tr>
      <w:tr>
        <w:trPr>
          <w:trHeight w:val="162"/>
        </w:trPr>
        <w:tc>
          <w:tcPr>
            <w:tcW w:w="4200" w:type="dxa"/>
            <w:vAlign w:val="bottom"/>
            <w:tcBorders>
              <w:left w:val="single" w:sz="8" w:color="auto"/>
            </w:tcBorders>
            <w:gridSpan w:val="5"/>
          </w:tcPr>
          <w:p>
            <w:pPr>
              <w:ind w:left="40"/>
              <w:spacing w:after="0" w:line="162" w:lineRule="exact"/>
              <w:rPr>
                <w:sz w:val="20"/>
                <w:szCs w:val="20"/>
                <w:color w:val="auto"/>
              </w:rPr>
            </w:pPr>
            <w:r>
              <w:rPr>
                <w:rFonts w:ascii="Arial" w:cs="Arial" w:eastAsia="Arial" w:hAnsi="Arial"/>
                <w:sz w:val="15"/>
                <w:szCs w:val="15"/>
                <w:b w:val="1"/>
                <w:bCs w:val="1"/>
                <w:color w:val="auto"/>
              </w:rPr>
              <w:t>U.S. GAAP basis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203"/>
        </w:trPr>
        <w:tc>
          <w:tcPr>
            <w:tcW w:w="420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Investment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12.7 %</w:t>
            </w:r>
          </w:p>
        </w:tc>
        <w:tc>
          <w:tcPr>
            <w:tcW w:w="14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4,090.9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8.6 %</w:t>
            </w:r>
          </w:p>
        </w:tc>
      </w:tr>
      <w:tr>
        <w:trPr>
          <w:trHeight w:val="198"/>
        </w:trPr>
        <w:tc>
          <w:tcPr>
            <w:tcW w:w="420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1,595.8</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1,426.7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11.9 %</w:t>
            </w:r>
          </w:p>
        </w:tc>
        <w:tc>
          <w:tcPr>
            <w:tcW w:w="14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4,473.8</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4,149.2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7.8 %</w:t>
            </w:r>
          </w:p>
        </w:tc>
      </w:tr>
      <w:tr>
        <w:trPr>
          <w:trHeight w:val="207"/>
        </w:trPr>
        <w:tc>
          <w:tcPr>
            <w:tcW w:w="420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12.9 %</w:t>
            </w:r>
          </w:p>
        </w:tc>
        <w:tc>
          <w:tcPr>
            <w:tcW w:w="14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2,484.0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6.0 %</w:t>
            </w:r>
          </w:p>
        </w:tc>
      </w:tr>
      <w:tr>
        <w:trPr>
          <w:trHeight w:val="198"/>
        </w:trPr>
        <w:tc>
          <w:tcPr>
            <w:tcW w:w="420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728.9</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659.1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10.6 %</w:t>
            </w:r>
          </w:p>
        </w:tc>
        <w:tc>
          <w:tcPr>
            <w:tcW w:w="14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1,989.8</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1,806.7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10.1 %</w:t>
            </w:r>
          </w:p>
        </w:tc>
      </w:tr>
      <w:tr>
        <w:trPr>
          <w:trHeight w:val="206"/>
        </w:trPr>
        <w:tc>
          <w:tcPr>
            <w:tcW w:w="4200" w:type="dxa"/>
            <w:vAlign w:val="bottom"/>
            <w:tcBorders>
              <w:left w:val="single" w:sz="8" w:color="auto"/>
            </w:tcBorders>
            <w:gridSpan w:val="5"/>
            <w:shd w:val="clear" w:color="auto" w:fill="CCEEFF"/>
          </w:tcPr>
          <w:p>
            <w:pPr>
              <w:ind w:left="40"/>
              <w:spacing w:after="0" w:line="206" w:lineRule="exact"/>
              <w:rPr>
                <w:sz w:val="20"/>
                <w:szCs w:val="20"/>
                <w:color w:val="auto"/>
              </w:rPr>
            </w:pPr>
            <w:r>
              <w:rPr>
                <w:rFonts w:ascii="Arial" w:cs="Arial" w:eastAsia="Arial" w:hAnsi="Arial"/>
                <w:sz w:val="15"/>
                <w:szCs w:val="15"/>
                <w:color w:val="auto"/>
              </w:rPr>
              <w:t>Non-operating income</w:t>
            </w:r>
            <w:r>
              <w:rPr>
                <w:rFonts w:ascii="Arial" w:cs="Arial" w:eastAsia="Arial" w:hAnsi="Arial"/>
                <w:sz w:val="19"/>
                <w:szCs w:val="1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ind w:left="680"/>
              <w:spacing w:after="0"/>
              <w:rPr>
                <w:sz w:val="20"/>
                <w:szCs w:val="20"/>
                <w:color w:val="auto"/>
              </w:rPr>
            </w:pPr>
            <w:r>
              <w:rPr>
                <w:rFonts w:ascii="Arial" w:cs="Arial" w:eastAsia="Arial" w:hAnsi="Arial"/>
                <w:sz w:val="15"/>
                <w:szCs w:val="15"/>
                <w:color w:val="auto"/>
              </w:rPr>
              <w:t>n/m</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8"/>
        </w:trPr>
        <w:tc>
          <w:tcPr>
            <w:tcW w:w="420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income attributable to T. Rowe Price Group</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643.2</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545.9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17.8 %</w:t>
            </w:r>
          </w:p>
        </w:tc>
        <w:tc>
          <w:tcPr>
            <w:tcW w:w="14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1,589.3</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1,586.0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.2 %</w:t>
            </w:r>
          </w:p>
        </w:tc>
      </w:tr>
      <w:tr>
        <w:trPr>
          <w:trHeight w:val="207"/>
        </w:trPr>
        <w:tc>
          <w:tcPr>
            <w:tcW w:w="420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22.4 %</w:t>
            </w:r>
          </w:p>
        </w:tc>
        <w:tc>
          <w:tcPr>
            <w:tcW w:w="14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2.9 %</w:t>
            </w:r>
          </w:p>
        </w:tc>
      </w:tr>
      <w:tr>
        <w:trPr>
          <w:trHeight w:val="159"/>
        </w:trPr>
        <w:tc>
          <w:tcPr>
            <w:tcW w:w="4200" w:type="dxa"/>
            <w:vAlign w:val="bottom"/>
            <w:tcBorders>
              <w:left w:val="single" w:sz="8" w:color="auto"/>
            </w:tcBorders>
            <w:gridSpan w:val="5"/>
          </w:tcPr>
          <w:p>
            <w:pPr>
              <w:ind w:left="40"/>
              <w:spacing w:after="0" w:line="159" w:lineRule="exact"/>
              <w:rPr>
                <w:sz w:val="20"/>
                <w:szCs w:val="20"/>
                <w:color w:val="auto"/>
              </w:rPr>
            </w:pPr>
            <w:r>
              <w:rPr>
                <w:rFonts w:ascii="Arial" w:cs="Arial" w:eastAsia="Arial" w:hAnsi="Arial"/>
                <w:sz w:val="15"/>
                <w:szCs w:val="15"/>
                <w:color w:val="auto"/>
              </w:rPr>
              <w:t>Weighted average common shares outstanding assuming</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88"/>
        </w:trPr>
        <w:tc>
          <w:tcPr>
            <w:tcW w:w="420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dilution</w:t>
            </w: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229.4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(3.0)%</w:t>
            </w:r>
          </w:p>
        </w:tc>
      </w:tr>
      <w:tr>
        <w:trPr>
          <w:trHeight w:val="112"/>
        </w:trPr>
        <w:tc>
          <w:tcPr>
            <w:tcW w:w="40" w:type="dxa"/>
            <w:vAlign w:val="bottom"/>
            <w:tcBorders>
              <w:left w:val="single" w:sz="8" w:color="auto"/>
            </w:tcBorders>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0" w:type="dxa"/>
            <w:vAlign w:val="bottom"/>
            <w:tcBorders>
              <w:right w:val="single" w:sz="8" w:color="auto"/>
            </w:tcBorders>
            <w:shd w:val="clear" w:color="auto" w:fill="CCEEFF"/>
          </w:tcPr>
          <w:p>
            <w:pPr>
              <w:spacing w:after="0"/>
              <w:rPr>
                <w:sz w:val="9"/>
                <w:szCs w:val="9"/>
                <w:color w:val="auto"/>
              </w:rPr>
            </w:pPr>
          </w:p>
        </w:tc>
      </w:tr>
      <w:tr>
        <w:trPr>
          <w:trHeight w:val="162"/>
        </w:trPr>
        <w:tc>
          <w:tcPr>
            <w:tcW w:w="4200" w:type="dxa"/>
            <w:vAlign w:val="bottom"/>
            <w:tcBorders>
              <w:left w:val="single" w:sz="8" w:color="auto"/>
            </w:tcBorders>
            <w:gridSpan w:val="5"/>
          </w:tcPr>
          <w:p>
            <w:pPr>
              <w:ind w:left="40"/>
              <w:spacing w:after="0" w:line="162"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18"/>
                <w:szCs w:val="18"/>
                <w:b w:val="1"/>
                <w:bCs w:val="1"/>
                <w:color w:val="auto"/>
                <w:vertAlign w:val="superscript"/>
              </w:rPr>
              <w:t>(2)</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203"/>
        </w:trPr>
        <w:tc>
          <w:tcPr>
            <w:tcW w:w="420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c>
          <w:tcPr>
            <w:tcW w:w="14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6.5 %</w:t>
            </w:r>
          </w:p>
        </w:tc>
      </w:tr>
      <w:tr>
        <w:trPr>
          <w:trHeight w:val="198"/>
        </w:trPr>
        <w:tc>
          <w:tcPr>
            <w:tcW w:w="420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768.0</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664.2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15.6 %</w:t>
            </w:r>
          </w:p>
        </w:tc>
        <w:tc>
          <w:tcPr>
            <w:tcW w:w="14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2,046.9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1,869.2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9.5 %</w:t>
            </w:r>
          </w:p>
        </w:tc>
      </w:tr>
      <w:tr>
        <w:trPr>
          <w:trHeight w:val="207"/>
        </w:trPr>
        <w:tc>
          <w:tcPr>
            <w:tcW w:w="4200" w:type="dxa"/>
            <w:vAlign w:val="bottom"/>
            <w:tcBorders>
              <w:left w:val="single" w:sz="8" w:color="auto"/>
            </w:tcBorders>
            <w:gridSpan w:val="5"/>
            <w:shd w:val="clear" w:color="auto" w:fill="CCEEFF"/>
          </w:tcPr>
          <w:p>
            <w:pPr>
              <w:ind w:left="40"/>
              <w:spacing w:after="0" w:line="206" w:lineRule="exact"/>
              <w:rPr>
                <w:sz w:val="20"/>
                <w:szCs w:val="20"/>
                <w:color w:val="auto"/>
              </w:rPr>
            </w:pPr>
            <w:r>
              <w:rPr>
                <w:rFonts w:ascii="Arial" w:cs="Arial" w:eastAsia="Arial" w:hAnsi="Arial"/>
                <w:sz w:val="15"/>
                <w:szCs w:val="15"/>
                <w:color w:val="auto"/>
              </w:rPr>
              <w:t>Non-operating income</w:t>
            </w:r>
            <w:r>
              <w:rPr>
                <w:rFonts w:ascii="Arial" w:cs="Arial" w:eastAsia="Arial" w:hAnsi="Arial"/>
                <w:sz w:val="19"/>
                <w:szCs w:val="1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ind w:left="680"/>
              <w:spacing w:after="0"/>
              <w:rPr>
                <w:sz w:val="20"/>
                <w:szCs w:val="20"/>
                <w:color w:val="auto"/>
              </w:rPr>
            </w:pPr>
            <w:r>
              <w:rPr>
                <w:rFonts w:ascii="Arial" w:cs="Arial" w:eastAsia="Arial" w:hAnsi="Arial"/>
                <w:sz w:val="15"/>
                <w:szCs w:val="15"/>
                <w:color w:val="auto"/>
              </w:rPr>
              <w:t>n/m</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8"/>
        </w:trPr>
        <w:tc>
          <w:tcPr>
            <w:tcW w:w="420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Net income attributable to T. Rowe Price Group</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602.7</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521.7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15.5 %</w:t>
            </w:r>
          </w:p>
        </w:tc>
        <w:tc>
          <w:tcPr>
            <w:tcW w:w="14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1,596.6</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1,480.4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7.8 %</w:t>
            </w:r>
          </w:p>
        </w:tc>
      </w:tr>
      <w:tr>
        <w:trPr>
          <w:trHeight w:val="207"/>
        </w:trPr>
        <w:tc>
          <w:tcPr>
            <w:tcW w:w="4200" w:type="dxa"/>
            <w:vAlign w:val="bottom"/>
            <w:tcBorders>
              <w:left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19.7 %</w:t>
            </w:r>
          </w:p>
        </w:tc>
        <w:tc>
          <w:tcPr>
            <w:tcW w:w="14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10.8 %</w:t>
            </w:r>
          </w:p>
        </w:tc>
      </w:tr>
      <w:tr>
        <w:trPr>
          <w:trHeight w:val="108"/>
        </w:trPr>
        <w:tc>
          <w:tcPr>
            <w:tcW w:w="40" w:type="dxa"/>
            <w:vAlign w:val="bottom"/>
            <w:tcBorders>
              <w:left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r>
      <w:tr>
        <w:trPr>
          <w:trHeight w:val="162"/>
        </w:trPr>
        <w:tc>
          <w:tcPr>
            <w:tcW w:w="4200" w:type="dxa"/>
            <w:vAlign w:val="bottom"/>
            <w:tcBorders>
              <w:left w:val="single" w:sz="8" w:color="auto"/>
            </w:tcBorders>
            <w:gridSpan w:val="5"/>
            <w:shd w:val="clear" w:color="auto" w:fill="CCEEFF"/>
          </w:tcPr>
          <w:p>
            <w:pPr>
              <w:ind w:left="40"/>
              <w:spacing w:after="0" w:line="162" w:lineRule="exact"/>
              <w:rPr>
                <w:sz w:val="20"/>
                <w:szCs w:val="20"/>
                <w:color w:val="auto"/>
              </w:rPr>
            </w:pPr>
            <w:r>
              <w:rPr>
                <w:rFonts w:ascii="Arial" w:cs="Arial" w:eastAsia="Arial" w:hAnsi="Arial"/>
                <w:sz w:val="15"/>
                <w:szCs w:val="15"/>
                <w:b w:val="1"/>
                <w:bCs w:val="1"/>
                <w:color w:val="auto"/>
              </w:rPr>
              <w:t xml:space="preserve">Assets under Management </w:t>
            </w:r>
            <w:r>
              <w:rPr>
                <w:rFonts w:ascii="Arial" w:cs="Arial" w:eastAsia="Arial" w:hAnsi="Arial"/>
                <w:sz w:val="12"/>
                <w:szCs w:val="12"/>
                <w:color w:val="auto"/>
              </w:rPr>
              <w:t>(in billions)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tcBorders>
              <w:right w:val="single" w:sz="8" w:color="auto"/>
            </w:tcBorders>
            <w:shd w:val="clear" w:color="auto" w:fill="CCEEFF"/>
          </w:tcPr>
          <w:p>
            <w:pPr>
              <w:spacing w:after="0"/>
              <w:rPr>
                <w:sz w:val="14"/>
                <w:szCs w:val="14"/>
                <w:color w:val="auto"/>
              </w:rPr>
            </w:pPr>
          </w:p>
        </w:tc>
      </w:tr>
      <w:tr>
        <w:trPr>
          <w:trHeight w:val="20"/>
        </w:trPr>
        <w:tc>
          <w:tcPr>
            <w:tcW w:w="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right w:val="single" w:sz="8" w:color="auto"/>
            </w:tcBorders>
            <w:shd w:val="clear" w:color="auto" w:fill="CCEEFF"/>
          </w:tcPr>
          <w:p>
            <w:pPr>
              <w:spacing w:after="0" w:line="20" w:lineRule="exact"/>
              <w:rPr>
                <w:sz w:val="1"/>
                <w:szCs w:val="1"/>
                <w:color w:val="auto"/>
              </w:rPr>
            </w:pPr>
          </w:p>
        </w:tc>
      </w:tr>
      <w:tr>
        <w:trPr>
          <w:trHeight w:val="198"/>
        </w:trPr>
        <w:tc>
          <w:tcPr>
            <w:tcW w:w="4200" w:type="dxa"/>
            <w:vAlign w:val="bottom"/>
            <w:tcBorders>
              <w:left w:val="single" w:sz="8" w:color="auto"/>
            </w:tcBorders>
            <w:gridSpan w:val="5"/>
          </w:tcPr>
          <w:p>
            <w:pPr>
              <w:ind w:left="40"/>
              <w:spacing w:after="0"/>
              <w:rPr>
                <w:sz w:val="20"/>
                <w:szCs w:val="20"/>
                <w:color w:val="auto"/>
              </w:rPr>
            </w:pPr>
            <w:r>
              <w:rPr>
                <w:rFonts w:ascii="Arial" w:cs="Arial" w:eastAsia="Arial" w:hAnsi="Arial"/>
                <w:sz w:val="15"/>
                <w:szCs w:val="15"/>
                <w:color w:val="auto"/>
              </w:rPr>
              <w:t>Average assets under management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1,292.9</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1,130.2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14.4 %</w:t>
            </w:r>
          </w:p>
        </w:tc>
        <w:tc>
          <w:tcPr>
            <w:tcW w:w="14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1,198.9</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1,091.5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9.8 %</w:t>
            </w:r>
          </w:p>
        </w:tc>
      </w:tr>
      <w:tr>
        <w:trPr>
          <w:trHeight w:val="203"/>
        </w:trPr>
        <w:tc>
          <w:tcPr>
            <w:tcW w:w="4200" w:type="dxa"/>
            <w:vAlign w:val="bottom"/>
            <w:tcBorders>
              <w:left w:val="single" w:sz="8" w:color="auto"/>
              <w:bottom w:val="single" w:sz="8" w:color="auto"/>
            </w:tcBorders>
            <w:gridSpan w:val="5"/>
            <w:shd w:val="clear" w:color="auto" w:fill="CCEEFF"/>
          </w:tcPr>
          <w:p>
            <w:pPr>
              <w:ind w:left="40"/>
              <w:spacing w:after="0"/>
              <w:rPr>
                <w:sz w:val="20"/>
                <w:szCs w:val="20"/>
                <w:color w:val="auto"/>
              </w:rPr>
            </w:pPr>
            <w:r>
              <w:rPr>
                <w:rFonts w:ascii="Arial" w:cs="Arial" w:eastAsia="Arial" w:hAnsi="Arial"/>
                <w:sz w:val="15"/>
                <w:szCs w:val="15"/>
                <w:color w:val="auto"/>
              </w:rPr>
              <w:t>Ending assets under management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1,310.4</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1,126.3</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16.3 %</w:t>
            </w:r>
          </w:p>
        </w:tc>
        <w:tc>
          <w:tcPr>
            <w:tcW w:w="140" w:type="dxa"/>
            <w:vAlign w:val="bottom"/>
            <w:tcBorders>
              <w:right w:val="single" w:sz="8" w:color="auto"/>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1,310.4</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1,126.3</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16.3 %</w:t>
            </w:r>
          </w:p>
        </w:tc>
      </w:tr>
    </w:tbl>
    <w:p>
      <w:pPr>
        <w:spacing w:after="0" w:line="40"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80" w:right="60" w:hanging="172"/>
        <w:spacing w:after="0" w:line="223" w:lineRule="auto"/>
        <w:tabs>
          <w:tab w:leader="none" w:pos="153"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The firm believes the non-GAAP financial measures provide relevant and meaningful information to investors about its core operating results. See the reconciliation to the comparable U.S. GAAP measures at the end of this earnings release.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Management Commentary</w:t>
      </w:r>
    </w:p>
    <w:p>
      <w:pPr>
        <w:spacing w:after="0" w:line="126" w:lineRule="exact"/>
        <w:rPr>
          <w:sz w:val="20"/>
          <w:szCs w:val="20"/>
          <w:color w:val="auto"/>
        </w:rPr>
      </w:pPr>
    </w:p>
    <w:p>
      <w:pPr>
        <w:ind w:right="20"/>
        <w:spacing w:after="0" w:line="363" w:lineRule="auto"/>
        <w:rPr>
          <w:sz w:val="20"/>
          <w:szCs w:val="20"/>
          <w:color w:val="auto"/>
        </w:rPr>
      </w:pPr>
      <w:r>
        <w:rPr>
          <w:rFonts w:ascii="Arial" w:cs="Arial" w:eastAsia="Arial" w:hAnsi="Arial"/>
          <w:sz w:val="18"/>
          <w:szCs w:val="18"/>
          <w:color w:val="auto"/>
        </w:rPr>
        <w:t>William J. Stromberg, president and chief executive officer, commented: “We continued to operate successfully during these unprecedented times. Following a powerful market rebound in the second quarter, the S&amp;P 500 Index hit an all-time high in Q3, surpassing its February 2020 peak. Stocks retreated a bit in September, and apprehensions around the durability of the economic recovery loomed as Congress failed to agree on new fiscal stimulus legislation.</w:t>
      </w:r>
    </w:p>
    <w:p>
      <w:pPr>
        <w:spacing w:after="0" w:line="233" w:lineRule="exact"/>
        <w:rPr>
          <w:sz w:val="20"/>
          <w:szCs w:val="20"/>
          <w:color w:val="auto"/>
        </w:rPr>
      </w:pPr>
    </w:p>
    <w:p>
      <w:pPr>
        <w:spacing w:after="0" w:line="365" w:lineRule="auto"/>
        <w:rPr>
          <w:sz w:val="20"/>
          <w:szCs w:val="20"/>
          <w:color w:val="auto"/>
        </w:rPr>
      </w:pPr>
      <w:r>
        <w:rPr>
          <w:rFonts w:ascii="Arial" w:cs="Arial" w:eastAsia="Arial" w:hAnsi="Arial"/>
          <w:sz w:val="18"/>
          <w:szCs w:val="18"/>
          <w:color w:val="auto"/>
        </w:rPr>
        <w:t>“In this period of uncertainty, we continue to anchor to our culture and remain focused on delivering for our clients and our stockholders. More than ever, strong long-term performance, outstanding client service, and broadly scaled investment capabilities are critical for active asset managers. In the third quarter:</w:t>
      </w:r>
    </w:p>
    <w:p>
      <w:pPr>
        <w:spacing w:after="0" w:line="271" w:lineRule="exact"/>
        <w:rPr>
          <w:sz w:val="20"/>
          <w:szCs w:val="20"/>
          <w:color w:val="auto"/>
        </w:rPr>
      </w:pPr>
    </w:p>
    <w:p>
      <w:pPr>
        <w:ind w:left="660" w:right="140" w:hanging="328"/>
        <w:spacing w:after="0" w:line="336" w:lineRule="auto"/>
        <w:tabs>
          <w:tab w:leader="none" w:pos="656" w:val="left"/>
        </w:tabs>
        <w:numPr>
          <w:ilvl w:val="0"/>
          <w:numId w:val="22"/>
        </w:numPr>
        <w:rPr>
          <w:rFonts w:ascii="Arial" w:cs="Arial" w:eastAsia="Arial" w:hAnsi="Arial"/>
          <w:sz w:val="22"/>
          <w:szCs w:val="22"/>
          <w:b w:val="1"/>
          <w:bCs w:val="1"/>
          <w:color w:val="40AEFF"/>
        </w:rPr>
      </w:pPr>
      <w:r>
        <w:rPr>
          <w:rFonts w:ascii="Arial" w:cs="Arial" w:eastAsia="Arial" w:hAnsi="Arial"/>
          <w:sz w:val="18"/>
          <w:szCs w:val="18"/>
          <w:color w:val="auto"/>
        </w:rPr>
        <w:t>Long-term investment performance remained strong. U.S. Equity, International Equity, and Multi-Asset continued to outperform on a long-term basis, with International Equity and Multi-Asset seeing particularly resilient results in the short-term. Fixed Income continued to show improvement, led by outperformance in our High Yield, Dynamic Global and Low Duration strategies.</w:t>
      </w:r>
    </w:p>
    <w:p>
      <w:pPr>
        <w:spacing w:after="0" w:line="294" w:lineRule="exact"/>
        <w:rPr>
          <w:rFonts w:ascii="Arial" w:cs="Arial" w:eastAsia="Arial" w:hAnsi="Arial"/>
          <w:sz w:val="22"/>
          <w:szCs w:val="22"/>
          <w:b w:val="1"/>
          <w:bCs w:val="1"/>
          <w:color w:val="40AEFF"/>
        </w:rPr>
      </w:pPr>
    </w:p>
    <w:p>
      <w:pPr>
        <w:ind w:left="660" w:right="100" w:hanging="328"/>
        <w:spacing w:after="0" w:line="343" w:lineRule="auto"/>
        <w:tabs>
          <w:tab w:leader="none" w:pos="656" w:val="left"/>
        </w:tabs>
        <w:numPr>
          <w:ilvl w:val="0"/>
          <w:numId w:val="22"/>
        </w:numPr>
        <w:rPr>
          <w:rFonts w:ascii="Arial" w:cs="Arial" w:eastAsia="Arial" w:hAnsi="Arial"/>
          <w:sz w:val="22"/>
          <w:szCs w:val="22"/>
          <w:b w:val="1"/>
          <w:bCs w:val="1"/>
          <w:color w:val="40AEFF"/>
        </w:rPr>
      </w:pPr>
      <w:r>
        <w:rPr>
          <w:rFonts w:ascii="Arial" w:cs="Arial" w:eastAsia="Arial" w:hAnsi="Arial"/>
          <w:sz w:val="18"/>
          <w:szCs w:val="18"/>
          <w:color w:val="auto"/>
        </w:rPr>
        <w:t>Despite solid performance, firmwide net outflows of $5.3 billion were driven by ongoing pressure from passive in U.S. Equity, as well as a few institutional losses in U.S. Defined Contribution and some participant-level headwinds from the CARES Act. Nonetheless, we were pleased to see positive net flows in EMEA and APAC where we have been investing to strengthen our distribution capabilities.</w:t>
      </w:r>
    </w:p>
    <w:p>
      <w:pPr>
        <w:spacing w:after="0" w:line="290" w:lineRule="exact"/>
        <w:rPr>
          <w:rFonts w:ascii="Arial" w:cs="Arial" w:eastAsia="Arial" w:hAnsi="Arial"/>
          <w:sz w:val="22"/>
          <w:szCs w:val="22"/>
          <w:b w:val="1"/>
          <w:bCs w:val="1"/>
          <w:color w:val="40AEFF"/>
        </w:rPr>
      </w:pPr>
    </w:p>
    <w:p>
      <w:pPr>
        <w:jc w:val="both"/>
        <w:ind w:left="660" w:right="260" w:hanging="328"/>
        <w:spacing w:after="0" w:line="343" w:lineRule="auto"/>
        <w:tabs>
          <w:tab w:leader="none" w:pos="656" w:val="left"/>
        </w:tabs>
        <w:numPr>
          <w:ilvl w:val="0"/>
          <w:numId w:val="22"/>
        </w:numPr>
        <w:rPr>
          <w:rFonts w:ascii="Arial" w:cs="Arial" w:eastAsia="Arial" w:hAnsi="Arial"/>
          <w:sz w:val="22"/>
          <w:szCs w:val="22"/>
          <w:b w:val="1"/>
          <w:bCs w:val="1"/>
          <w:color w:val="40AEFF"/>
        </w:rPr>
      </w:pPr>
      <w:r>
        <w:rPr>
          <w:rFonts w:ascii="Arial" w:cs="Arial" w:eastAsia="Arial" w:hAnsi="Arial"/>
          <w:sz w:val="18"/>
          <w:szCs w:val="18"/>
          <w:color w:val="auto"/>
        </w:rPr>
        <w:t>We brought to market our first four active exchange-traded funds (ETFs) in early August. The Blue Chip Growth, Dividend Growth, Equity Income, and Growth Stock ETFs are now available on the major custodial platforms, which will bring our strategic investing capabilities to an even broader U.S. Intermediaries audience. We have been pleased with the investor interest and how our ETFs have traded to date.</w:t>
      </w:r>
    </w:p>
    <w:p>
      <w:pPr>
        <w:spacing w:after="0" w:line="290" w:lineRule="exact"/>
        <w:rPr>
          <w:rFonts w:ascii="Arial" w:cs="Arial" w:eastAsia="Arial" w:hAnsi="Arial"/>
          <w:sz w:val="22"/>
          <w:szCs w:val="22"/>
          <w:b w:val="1"/>
          <w:bCs w:val="1"/>
          <w:color w:val="40AEFF"/>
        </w:rPr>
      </w:pPr>
    </w:p>
    <w:p>
      <w:pPr>
        <w:ind w:left="660" w:hanging="328"/>
        <w:spacing w:after="0" w:line="367" w:lineRule="auto"/>
        <w:tabs>
          <w:tab w:leader="none" w:pos="656" w:val="left"/>
        </w:tabs>
        <w:numPr>
          <w:ilvl w:val="0"/>
          <w:numId w:val="22"/>
        </w:numPr>
        <w:rPr>
          <w:rFonts w:ascii="Arial" w:cs="Arial" w:eastAsia="Arial" w:hAnsi="Arial"/>
          <w:sz w:val="21"/>
          <w:szCs w:val="21"/>
          <w:b w:val="1"/>
          <w:bCs w:val="1"/>
          <w:color w:val="40AEFF"/>
        </w:rPr>
      </w:pPr>
      <w:r>
        <w:rPr>
          <w:rFonts w:ascii="Arial" w:cs="Arial" w:eastAsia="Arial" w:hAnsi="Arial"/>
          <w:sz w:val="17"/>
          <w:szCs w:val="17"/>
          <w:color w:val="auto"/>
        </w:rPr>
        <w:t>We launched our sixth Japanese Investment Trust (ITM), the Global Technology ITM, and continued to develop our product pipeline, including a new Short Duration Income Fund, scheduled to launch in December, and the expansion of our sustainable product lineup.</w:t>
      </w:r>
    </w:p>
    <w:p>
      <w:pPr>
        <w:spacing w:after="0" w:line="249" w:lineRule="exact"/>
        <w:rPr>
          <w:rFonts w:ascii="Arial" w:cs="Arial" w:eastAsia="Arial" w:hAnsi="Arial"/>
          <w:sz w:val="21"/>
          <w:szCs w:val="21"/>
          <w:b w:val="1"/>
          <w:bCs w:val="1"/>
          <w:color w:val="40AEFF"/>
        </w:rPr>
      </w:pPr>
    </w:p>
    <w:p>
      <w:pPr>
        <w:ind w:left="660" w:right="240" w:hanging="328"/>
        <w:spacing w:after="0" w:line="343" w:lineRule="auto"/>
        <w:tabs>
          <w:tab w:leader="none" w:pos="656" w:val="left"/>
        </w:tabs>
        <w:numPr>
          <w:ilvl w:val="0"/>
          <w:numId w:val="22"/>
        </w:numPr>
        <w:rPr>
          <w:rFonts w:ascii="Arial" w:cs="Arial" w:eastAsia="Arial" w:hAnsi="Arial"/>
          <w:sz w:val="22"/>
          <w:szCs w:val="22"/>
          <w:b w:val="1"/>
          <w:bCs w:val="1"/>
          <w:color w:val="40AEFF"/>
        </w:rPr>
      </w:pPr>
      <w:r>
        <w:rPr>
          <w:rFonts w:ascii="Arial" w:cs="Arial" w:eastAsia="Arial" w:hAnsi="Arial"/>
          <w:sz w:val="18"/>
          <w:szCs w:val="18"/>
          <w:color w:val="auto"/>
        </w:rPr>
        <w:t>With the recent publication of the Principles for Responsible Investment (PRI) ratings for 2020, we were pleased to receive an 'A+' rating across each of the modules we report on, marking the third consecutive year in which we have been above the median in every category. These high ratings are a reflection of our ongoing efforts to further-integrate environmental, social and governance (ESG) factors into our investment process.</w:t>
      </w:r>
    </w:p>
    <w:p>
      <w:pPr>
        <w:spacing w:after="0" w:line="290" w:lineRule="exact"/>
        <w:rPr>
          <w:rFonts w:ascii="Arial" w:cs="Arial" w:eastAsia="Arial" w:hAnsi="Arial"/>
          <w:sz w:val="22"/>
          <w:szCs w:val="22"/>
          <w:b w:val="1"/>
          <w:bCs w:val="1"/>
          <w:color w:val="40AEFF"/>
        </w:rPr>
      </w:pPr>
    </w:p>
    <w:p>
      <w:pPr>
        <w:ind w:left="660" w:right="120" w:hanging="328"/>
        <w:spacing w:after="0" w:line="333" w:lineRule="auto"/>
        <w:tabs>
          <w:tab w:leader="none" w:pos="656" w:val="left"/>
        </w:tabs>
        <w:numPr>
          <w:ilvl w:val="0"/>
          <w:numId w:val="22"/>
        </w:numPr>
        <w:rPr>
          <w:rFonts w:ascii="Arial" w:cs="Arial" w:eastAsia="Arial" w:hAnsi="Arial"/>
          <w:sz w:val="22"/>
          <w:szCs w:val="22"/>
          <w:b w:val="1"/>
          <w:bCs w:val="1"/>
          <w:color w:val="40AEFF"/>
        </w:rPr>
      </w:pPr>
      <w:r>
        <w:rPr>
          <w:rFonts w:ascii="Arial" w:cs="Arial" w:eastAsia="Arial" w:hAnsi="Arial"/>
          <w:sz w:val="18"/>
          <w:szCs w:val="18"/>
          <w:color w:val="auto"/>
        </w:rPr>
        <w:t>Our balance sheet remained strong, and our approach to capital management remained unchanged. Buybacks of 1.1 million shares brought year-to-date repurchases to 10.8 million shares as of September 30.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2" w:right="339" w:bottom="1440" w:gutter="0" w:footer="0" w:header="0"/>
        </w:sectPr>
      </w:pPr>
    </w:p>
    <w:bookmarkStart w:id="49" w:name="page50"/>
    <w:bookmarkEnd w:id="49"/>
    <w:p>
      <w:pPr>
        <w:ind w:right="600"/>
        <w:spacing w:after="0" w:line="371" w:lineRule="auto"/>
        <w:rPr>
          <w:sz w:val="20"/>
          <w:szCs w:val="20"/>
          <w:color w:val="auto"/>
        </w:rPr>
      </w:pPr>
      <w:r>
        <w:rPr>
          <w:rFonts w:ascii="Arial" w:cs="Arial" w:eastAsia="Arial" w:hAnsi="Arial"/>
          <w:sz w:val="18"/>
          <w:szCs w:val="18"/>
          <w:color w:val="auto"/>
        </w:rPr>
        <w:t>“I am grateful to our associates for their ongoing commitment to delivering for our clients, and the resiliency that they continue to show through these extraordinary times.”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85" w:lineRule="exact"/>
        <w:rPr>
          <w:sz w:val="20"/>
          <w:szCs w:val="20"/>
          <w:color w:val="auto"/>
        </w:rPr>
      </w:pPr>
    </w:p>
    <w:p>
      <w:pPr>
        <w:spacing w:after="0" w:line="360" w:lineRule="auto"/>
        <w:rPr>
          <w:sz w:val="20"/>
          <w:szCs w:val="20"/>
          <w:color w:val="auto"/>
        </w:rPr>
      </w:pPr>
      <w:r>
        <w:rPr>
          <w:rFonts w:ascii="Arial" w:cs="Arial" w:eastAsia="Arial" w:hAnsi="Arial"/>
          <w:sz w:val="18"/>
          <w:szCs w:val="18"/>
          <w:color w:val="auto"/>
        </w:rPr>
        <w:t>During Q3 2020, assets under management increased $90.4 billion to $1.31 trillion. This increase was driven by market appreciation, partially offset by net cash outflows of $5.3 billion. The firm acquired client contracts from PNC Bank in September 2020 that added $1.2 billion of stable value assets under management. Clients transferred</w:t>
      </w:r>
    </w:p>
    <w:p>
      <w:pPr>
        <w:ind w:right="480"/>
        <w:spacing w:after="0" w:line="365" w:lineRule="auto"/>
        <w:rPr>
          <w:sz w:val="20"/>
          <w:szCs w:val="20"/>
          <w:color w:val="auto"/>
        </w:rPr>
      </w:pPr>
      <w:r>
        <w:rPr>
          <w:rFonts w:ascii="Arial" w:cs="Arial" w:eastAsia="Arial" w:hAnsi="Arial"/>
          <w:sz w:val="18"/>
          <w:szCs w:val="18"/>
          <w:color w:val="auto"/>
        </w:rPr>
        <w:t>$2.4 billion in net assets from the U.S. mutual funds to collective investment trusts and other investment products, of which $1.6 billion transferred into the retirement date trusts. The components of the change in assets under management, by vehicle and asset class, are shown in the tables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8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14"/>
                <w:szCs w:val="14"/>
                <w:color w:val="auto"/>
              </w:rPr>
              <w:t>Three months ended 9/30/2020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300" w:type="dxa"/>
            <w:vAlign w:val="bottom"/>
            <w:tcBorders>
              <w:bottom w:val="single" w:sz="8" w:color="auto"/>
            </w:tcBorders>
            <w:gridSpan w:val="10"/>
            <w:shd w:val="clear" w:color="auto" w:fill="CCEEFF"/>
          </w:tcPr>
          <w:p>
            <w:pPr>
              <w:ind w:left="60"/>
              <w:spacing w:after="0"/>
              <w:rPr>
                <w:sz w:val="20"/>
                <w:szCs w:val="20"/>
                <w:color w:val="auto"/>
              </w:rPr>
            </w:pPr>
            <w:r>
              <w:rPr>
                <w:rFonts w:ascii="Arial" w:cs="Arial" w:eastAsia="Arial" w:hAnsi="Arial"/>
                <w:sz w:val="14"/>
                <w:szCs w:val="14"/>
                <w:color w:val="auto"/>
              </w:rPr>
              <w:t>Nine months ended 9/30/2020</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color w:val="auto"/>
              </w:rPr>
              <w:t>Collective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80"/>
              <w:spacing w:after="0" w:line="147" w:lineRule="exact"/>
              <w:rPr>
                <w:sz w:val="20"/>
                <w:szCs w:val="20"/>
                <w:color w:val="auto"/>
              </w:rPr>
            </w:pPr>
            <w:r>
              <w:rPr>
                <w:rFonts w:ascii="Arial" w:cs="Arial" w:eastAsia="Arial" w:hAnsi="Arial"/>
                <w:sz w:val="14"/>
                <w:szCs w:val="14"/>
                <w:color w:val="auto"/>
              </w:rPr>
              <w:t>Collective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investment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rPr>
              <w:t>investment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vMerge w:val="restart"/>
          </w:tcPr>
          <w:p>
            <w:pPr>
              <w:jc w:val="right"/>
              <w:ind w:right="40"/>
              <w:spacing w:after="0"/>
              <w:rPr>
                <w:sz w:val="20"/>
                <w:szCs w:val="20"/>
                <w:color w:val="auto"/>
              </w:rPr>
            </w:pPr>
            <w:r>
              <w:rPr>
                <w:rFonts w:ascii="Arial" w:cs="Arial" w:eastAsia="Arial" w:hAnsi="Arial"/>
                <w:sz w:val="14"/>
                <w:szCs w:val="14"/>
                <w:color w:val="auto"/>
              </w:rPr>
              <w:t>Subadvised funds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trusts and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6"/>
            <w:vMerge w:val="restart"/>
          </w:tcPr>
          <w:p>
            <w:pPr>
              <w:jc w:val="center"/>
              <w:ind w:right="100"/>
              <w:spacing w:after="0"/>
              <w:rPr>
                <w:sz w:val="20"/>
                <w:szCs w:val="20"/>
                <w:color w:val="auto"/>
              </w:rPr>
            </w:pPr>
            <w:r>
              <w:rPr>
                <w:rFonts w:ascii="Arial" w:cs="Arial" w:eastAsia="Arial" w:hAnsi="Arial"/>
                <w:sz w:val="14"/>
                <w:szCs w:val="14"/>
                <w:color w:val="auto"/>
              </w:rPr>
              <w:t>Subadvised funds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80"/>
              <w:spacing w:after="0" w:line="135" w:lineRule="exact"/>
              <w:rPr>
                <w:sz w:val="20"/>
                <w:szCs w:val="20"/>
                <w:color w:val="auto"/>
              </w:rPr>
            </w:pPr>
            <w:r>
              <w:rPr>
                <w:rFonts w:ascii="Arial" w:cs="Arial" w:eastAsia="Arial" w:hAnsi="Arial"/>
                <w:sz w:val="14"/>
                <w:szCs w:val="14"/>
                <w:color w:val="auto"/>
              </w:rPr>
              <w:t>trusts and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6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U.S. mutual</w:t>
            </w:r>
          </w:p>
        </w:tc>
        <w:tc>
          <w:tcPr>
            <w:tcW w:w="12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color w:val="auto"/>
              </w:rPr>
              <w:t>U.S. mutual</w:t>
            </w:r>
          </w:p>
        </w:tc>
        <w:tc>
          <w:tcPr>
            <w:tcW w:w="120" w:type="dxa"/>
            <w:vAlign w:val="bottom"/>
          </w:tcPr>
          <w:p>
            <w:pPr>
              <w:spacing w:after="0"/>
              <w:rPr>
                <w:sz w:val="11"/>
                <w:szCs w:val="11"/>
                <w:color w:val="auto"/>
              </w:rPr>
            </w:pPr>
          </w:p>
        </w:tc>
        <w:tc>
          <w:tcPr>
            <w:tcW w:w="132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80"/>
              <w:spacing w:after="0" w:line="135"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color w:val="auto"/>
              </w:rPr>
              <w:t>(in billions)</w:t>
            </w:r>
          </w:p>
        </w:tc>
        <w:tc>
          <w:tcPr>
            <w:tcW w:w="9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and separate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rPr>
              <w:t>investment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5"/>
          </w:tcPr>
          <w:p>
            <w:pPr>
              <w:jc w:val="center"/>
              <w:ind w:right="260"/>
              <w:spacing w:after="0" w:line="135" w:lineRule="exact"/>
              <w:rPr>
                <w:sz w:val="20"/>
                <w:szCs w:val="20"/>
                <w:color w:val="auto"/>
              </w:rPr>
            </w:pPr>
            <w:r>
              <w:rPr>
                <w:rFonts w:ascii="Arial" w:cs="Arial" w:eastAsia="Arial" w:hAnsi="Arial"/>
                <w:sz w:val="14"/>
                <w:szCs w:val="14"/>
                <w:color w:val="auto"/>
              </w:rPr>
              <w:t>and separate</w:t>
            </w:r>
          </w:p>
        </w:tc>
        <w:tc>
          <w:tcPr>
            <w:tcW w:w="80" w:type="dxa"/>
            <w:vAlign w:val="bottom"/>
          </w:tcPr>
          <w:p>
            <w:pPr>
              <w:spacing w:after="0"/>
              <w:rPr>
                <w:sz w:val="11"/>
                <w:szCs w:val="11"/>
                <w:color w:val="auto"/>
              </w:rPr>
            </w:pPr>
          </w:p>
        </w:tc>
        <w:tc>
          <w:tcPr>
            <w:tcW w:w="104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rPr>
              <w:t>investment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20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20" w:type="dxa"/>
            <w:vAlign w:val="bottom"/>
            <w:gridSpan w:val="2"/>
            <w:vMerge w:val="continue"/>
          </w:tcPr>
          <w:p>
            <w:pPr>
              <w:spacing w:after="0"/>
              <w:rPr>
                <w:sz w:val="14"/>
                <w:szCs w:val="14"/>
                <w:color w:val="auto"/>
              </w:rPr>
            </w:pPr>
          </w:p>
        </w:tc>
        <w:tc>
          <w:tcPr>
            <w:tcW w:w="960" w:type="dxa"/>
            <w:vAlign w:val="bottom"/>
            <w:gridSpan w:val="4"/>
          </w:tcPr>
          <w:p>
            <w:pPr>
              <w:ind w:left="260"/>
              <w:spacing w:after="0"/>
              <w:rPr>
                <w:sz w:val="20"/>
                <w:szCs w:val="20"/>
                <w:color w:val="auto"/>
              </w:rPr>
            </w:pPr>
            <w:r>
              <w:rPr>
                <w:rFonts w:ascii="Arial" w:cs="Arial" w:eastAsia="Arial" w:hAnsi="Arial"/>
                <w:sz w:val="14"/>
                <w:szCs w:val="14"/>
                <w:color w:val="auto"/>
              </w:rPr>
              <w:t>funds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accounts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products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color w:val="auto"/>
                <w:w w:val="99"/>
              </w:rPr>
              <w:t>funds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color w:val="auto"/>
              </w:rPr>
              <w:t>accounts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color w:val="auto"/>
              </w:rPr>
              <w:t>products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20" w:type="dxa"/>
            <w:vAlign w:val="bottom"/>
            <w:tcBorders>
              <w:top w:val="single" w:sz="8" w:color="CCEEFF"/>
            </w:tcBorders>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Assets under management at</w:t>
            </w: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670.8</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221.7</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1,220.0</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3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Net cash flows before client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transfers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Client transfers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20" w:type="dxa"/>
            <w:vAlign w:val="bottom"/>
            <w:tcBorders>
              <w:top w:val="single" w:sz="8" w:color="CCEEFF"/>
            </w:tcBorders>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Net cash flows after client</w:t>
            </w: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transfers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3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Net market appreciation and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gains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94.6</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14.3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distributions not reinvested</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Acquired AUM</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Assets under management at</w:t>
            </w:r>
          </w:p>
        </w:tc>
        <w:tc>
          <w:tcPr>
            <w:tcW w:w="26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716.2</w:t>
            </w:r>
          </w:p>
        </w:tc>
        <w:tc>
          <w:tcPr>
            <w:tcW w:w="10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354.3</w:t>
            </w:r>
          </w:p>
        </w:tc>
        <w:tc>
          <w:tcPr>
            <w:tcW w:w="40" w:type="dxa"/>
            <w:vAlign w:val="bottom"/>
            <w:shd w:val="clear" w:color="auto" w:fill="CCEEFF"/>
          </w:tcPr>
          <w:p>
            <w:pPr>
              <w:spacing w:after="0"/>
              <w:rPr>
                <w:sz w:val="15"/>
                <w:szCs w:val="15"/>
                <w:color w:val="auto"/>
              </w:rPr>
            </w:pPr>
          </w:p>
        </w:tc>
        <w:tc>
          <w:tcPr>
            <w:tcW w:w="100" w:type="dxa"/>
            <w:vAlign w:val="bottom"/>
            <w:gridSpan w:val="2"/>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239.9</w:t>
            </w:r>
          </w:p>
        </w:tc>
        <w:tc>
          <w:tcPr>
            <w:tcW w:w="100" w:type="dxa"/>
            <w:vAlign w:val="bottom"/>
            <w:shd w:val="clear" w:color="auto" w:fill="CCEEFF"/>
          </w:tcPr>
          <w:p>
            <w:pPr>
              <w:spacing w:after="0"/>
              <w:rPr>
                <w:sz w:val="15"/>
                <w:szCs w:val="15"/>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1,310.4</w:t>
            </w: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716.2</w:t>
            </w:r>
          </w:p>
        </w:tc>
        <w:tc>
          <w:tcPr>
            <w:tcW w:w="12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354.3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239.9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320" w:type="dxa"/>
            <w:vAlign w:val="bottom"/>
            <w:tcBorders>
              <w:bottom w:val="single" w:sz="8" w:color="CCEEFF"/>
            </w:tcBorders>
            <w:gridSpan w:val="2"/>
            <w:shd w:val="clear" w:color="auto" w:fill="CCEEFF"/>
          </w:tcPr>
          <w:p>
            <w:pPr>
              <w:ind w:left="20"/>
              <w:spacing w:after="0" w:line="174" w:lineRule="exact"/>
              <w:rPr>
                <w:sz w:val="20"/>
                <w:szCs w:val="20"/>
                <w:color w:val="auto"/>
              </w:rPr>
            </w:pPr>
            <w:r>
              <w:rPr>
                <w:rFonts w:ascii="Arial" w:cs="Arial" w:eastAsia="Arial" w:hAnsi="Arial"/>
                <w:sz w:val="16"/>
                <w:szCs w:val="16"/>
                <w:color w:val="auto"/>
              </w:rPr>
              <w:t>September 30, 2020</w:t>
            </w: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114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tcPr>
          <w:p>
            <w:pPr>
              <w:spacing w:after="0"/>
              <w:rPr>
                <w:sz w:val="7"/>
                <w:szCs w:val="7"/>
                <w:color w:val="auto"/>
              </w:rPr>
            </w:pPr>
          </w:p>
        </w:tc>
        <w:tc>
          <w:tcPr>
            <w:tcW w:w="120" w:type="dxa"/>
            <w:vAlign w:val="bottom"/>
            <w:gridSpan w:val="2"/>
          </w:tcPr>
          <w:p>
            <w:pPr>
              <w:spacing w:after="0"/>
              <w:rPr>
                <w:sz w:val="7"/>
                <w:szCs w:val="7"/>
                <w:color w:val="auto"/>
              </w:rPr>
            </w:pPr>
          </w:p>
        </w:tc>
        <w:tc>
          <w:tcPr>
            <w:tcW w:w="1000" w:type="dxa"/>
            <w:vAlign w:val="bottom"/>
            <w:gridSpan w:val="3"/>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gridSpan w:val="7"/>
            <w:shd w:val="clear" w:color="auto" w:fill="CCEEFF"/>
          </w:tcPr>
          <w:p>
            <w:pPr>
              <w:jc w:val="center"/>
              <w:ind w:right="40"/>
              <w:spacing w:after="0"/>
              <w:rPr>
                <w:sz w:val="20"/>
                <w:szCs w:val="20"/>
                <w:color w:val="auto"/>
              </w:rPr>
            </w:pPr>
            <w:r>
              <w:rPr>
                <w:rFonts w:ascii="Arial" w:cs="Arial" w:eastAsia="Arial" w:hAnsi="Arial"/>
                <w:sz w:val="14"/>
                <w:szCs w:val="14"/>
                <w:color w:val="auto"/>
              </w:rPr>
              <w:t>Three months ended 9/30/2020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0" w:type="dxa"/>
            <w:vAlign w:val="bottom"/>
            <w:tcBorders>
              <w:bottom w:val="single" w:sz="8" w:color="auto"/>
            </w:tcBorders>
            <w:gridSpan w:val="9"/>
            <w:shd w:val="clear" w:color="auto" w:fill="CCEEFF"/>
          </w:tcPr>
          <w:p>
            <w:pPr>
              <w:ind w:left="60"/>
              <w:spacing w:after="0"/>
              <w:rPr>
                <w:sz w:val="20"/>
                <w:szCs w:val="20"/>
                <w:color w:val="auto"/>
              </w:rPr>
            </w:pPr>
            <w:r>
              <w:rPr>
                <w:rFonts w:ascii="Arial" w:cs="Arial" w:eastAsia="Arial" w:hAnsi="Arial"/>
                <w:sz w:val="14"/>
                <w:szCs w:val="14"/>
                <w:color w:val="auto"/>
              </w:rPr>
              <w:t>Nine months ended 9/30/2020</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40"/>
              <w:spacing w:after="0" w:line="147" w:lineRule="exact"/>
              <w:rPr>
                <w:sz w:val="20"/>
                <w:szCs w:val="20"/>
                <w:color w:val="auto"/>
              </w:rPr>
            </w:pPr>
            <w:r>
              <w:rPr>
                <w:rFonts w:ascii="Arial" w:cs="Arial" w:eastAsia="Arial" w:hAnsi="Arial"/>
                <w:sz w:val="14"/>
                <w:szCs w:val="14"/>
                <w:color w:val="auto"/>
              </w:rPr>
              <w:t>Fixed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ind w:left="80"/>
              <w:spacing w:after="0" w:line="147" w:lineRule="exact"/>
              <w:rPr>
                <w:sz w:val="20"/>
                <w:szCs w:val="20"/>
                <w:color w:val="auto"/>
              </w:rPr>
            </w:pPr>
            <w:r>
              <w:rPr>
                <w:rFonts w:ascii="Arial" w:cs="Arial" w:eastAsia="Arial" w:hAnsi="Arial"/>
                <w:sz w:val="14"/>
                <w:szCs w:val="14"/>
                <w:color w:val="auto"/>
              </w:rPr>
              <w:t>Fixed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2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Equity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rPr>
              <w:t>including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Multi-asset</w:t>
            </w:r>
            <w:r>
              <w:rPr>
                <w:rFonts w:ascii="Arial" w:cs="Arial" w:eastAsia="Arial" w:hAnsi="Arial"/>
                <w:sz w:val="9"/>
                <w:szCs w:val="9"/>
                <w:color w:val="auto"/>
              </w:rPr>
              <w:t>(2)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right w:val="single" w:sz="8" w:color="auto"/>
            </w:tcBorders>
            <w:gridSpan w:val="3"/>
            <w:vMerge w:val="restart"/>
          </w:tcPr>
          <w:p>
            <w:pPr>
              <w:ind w:left="1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4"/>
                <w:szCs w:val="14"/>
                <w:color w:val="auto"/>
              </w:rPr>
              <w:t>including</w:t>
            </w:r>
          </w:p>
        </w:tc>
        <w:tc>
          <w:tcPr>
            <w:tcW w:w="80" w:type="dxa"/>
            <w:vAlign w:val="bottom"/>
          </w:tcPr>
          <w:p>
            <w:pPr>
              <w:spacing w:after="0"/>
              <w:rPr>
                <w:sz w:val="11"/>
                <w:szCs w:val="11"/>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color w:val="auto"/>
              </w:rPr>
              <w:t>Multi-asset</w:t>
            </w:r>
            <w:r>
              <w:rPr>
                <w:rFonts w:ascii="Arial" w:cs="Arial" w:eastAsia="Arial" w:hAnsi="Arial"/>
                <w:sz w:val="9"/>
                <w:szCs w:val="9"/>
                <w:color w:val="auto"/>
              </w:rPr>
              <w:t>(2)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color w:val="auto"/>
              </w:rPr>
              <w:t>money market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right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4"/>
                <w:szCs w:val="14"/>
                <w:color w:val="auto"/>
              </w:rPr>
              <w:t>money market</w:t>
            </w:r>
          </w:p>
        </w:tc>
        <w:tc>
          <w:tcPr>
            <w:tcW w:w="8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28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Assets under management at</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348.1</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1,220.0</w:t>
            </w:r>
          </w:p>
        </w:tc>
        <w:tc>
          <w:tcPr>
            <w:tcW w:w="100" w:type="dxa"/>
            <w:vAlign w:val="bottom"/>
            <w:tcBorders>
              <w:right w:val="single" w:sz="8" w:color="auto"/>
            </w:tcBorders>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698.9</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280" w:type="dxa"/>
            <w:vAlign w:val="bottom"/>
          </w:tcPr>
          <w:p>
            <w:pPr>
              <w:ind w:left="20"/>
              <w:spacing w:after="0" w:line="175" w:lineRule="exact"/>
              <w:rPr>
                <w:sz w:val="20"/>
                <w:szCs w:val="20"/>
                <w:color w:val="auto"/>
              </w:rPr>
            </w:pPr>
            <w:r>
              <w:rPr>
                <w:rFonts w:ascii="Arial" w:cs="Arial" w:eastAsia="Arial" w:hAnsi="Arial"/>
                <w:sz w:val="16"/>
                <w:szCs w:val="16"/>
                <w:color w:val="auto"/>
              </w:rPr>
              <w:t>Net market appreciation and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80" w:type="dxa"/>
            <w:vAlign w:val="bottom"/>
          </w:tcPr>
          <w:p>
            <w:pPr>
              <w:ind w:left="20"/>
              <w:spacing w:after="0" w:line="204" w:lineRule="exact"/>
              <w:rPr>
                <w:sz w:val="20"/>
                <w:szCs w:val="20"/>
                <w:color w:val="auto"/>
              </w:rPr>
            </w:pPr>
            <w:r>
              <w:rPr>
                <w:rFonts w:ascii="Arial" w:cs="Arial" w:eastAsia="Arial" w:hAnsi="Arial"/>
                <w:sz w:val="16"/>
                <w:szCs w:val="16"/>
                <w:color w:val="auto"/>
              </w:rPr>
              <w:t>gains</w:t>
            </w:r>
            <w:r>
              <w:rPr>
                <w:rFonts w:ascii="Arial" w:cs="Arial" w:eastAsia="Arial" w:hAnsi="Arial"/>
                <w:sz w:val="21"/>
                <w:szCs w:val="21"/>
                <w:color w:val="auto"/>
                <w:vertAlign w:val="superscript"/>
              </w:rPr>
              <w:t>(3)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70.7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94.5</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4"/>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AUM</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during the period</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66.9</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15.4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4"/>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22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Assets under management at</w:t>
            </w:r>
          </w:p>
        </w:tc>
        <w:tc>
          <w:tcPr>
            <w:tcW w:w="360" w:type="dxa"/>
            <w:vAlign w:val="bottom"/>
            <w:gridSpan w:val="2"/>
            <w:vMerge w:val="restart"/>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785.8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40" w:type="dxa"/>
            <w:vAlign w:val="bottom"/>
            <w:shd w:val="clear" w:color="auto" w:fill="CCEEFF"/>
          </w:tcPr>
          <w:p>
            <w:pPr>
              <w:spacing w:after="0"/>
              <w:rPr>
                <w:sz w:val="13"/>
                <w:szCs w:val="13"/>
                <w:color w:val="auto"/>
              </w:rPr>
            </w:pPr>
          </w:p>
        </w:tc>
        <w:tc>
          <w:tcPr>
            <w:tcW w:w="240" w:type="dxa"/>
            <w:vAlign w:val="bottom"/>
            <w:gridSpan w:val="3"/>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363.5</w:t>
            </w:r>
          </w:p>
        </w:tc>
        <w:tc>
          <w:tcPr>
            <w:tcW w:w="2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1,310.4</w:t>
            </w:r>
          </w:p>
        </w:tc>
        <w:tc>
          <w:tcPr>
            <w:tcW w:w="1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3"/>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785.8</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28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September 30, 2020</w:t>
            </w:r>
          </w:p>
        </w:tc>
        <w:tc>
          <w:tcPr>
            <w:tcW w:w="3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78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80" w:right="20" w:hanging="172"/>
        <w:spacing w:after="0" w:line="222" w:lineRule="auto"/>
        <w:tabs>
          <w:tab w:leader="none" w:pos="14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Client transfers for subadvised funds and separate accounts as well as collective investment trusts and other investment products in the nine months ended September 30, 2020 have been updated to reflect an adjustment from the second quarter of 2020.</w:t>
      </w:r>
    </w:p>
    <w:p>
      <w:pPr>
        <w:ind w:left="120" w:hanging="112"/>
        <w:spacing w:after="0"/>
        <w:tabs>
          <w:tab w:leader="none" w:pos="120" w:val="left"/>
        </w:tabs>
        <w:numPr>
          <w:ilvl w:val="0"/>
          <w:numId w:val="23"/>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The underlying assets under management of the multi-asset portfolios have been aggregated and presented in this category and not reported in the equity and fixed income columns.</w:t>
      </w:r>
    </w:p>
    <w:p>
      <w:pPr>
        <w:ind w:left="140" w:hanging="132"/>
        <w:spacing w:after="0" w:line="198" w:lineRule="auto"/>
        <w:tabs>
          <w:tab w:leader="none" w:pos="14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distributions not reinvested.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27" w:right="339" w:bottom="1440" w:gutter="0" w:footer="0" w:header="0"/>
        </w:sectPr>
      </w:pPr>
    </w:p>
    <w:bookmarkStart w:id="50" w:name="page51"/>
    <w:bookmarkEnd w:id="50"/>
    <w:p>
      <w:pPr>
        <w:ind w:right="420"/>
        <w:spacing w:after="0" w:line="360" w:lineRule="auto"/>
        <w:rPr>
          <w:sz w:val="20"/>
          <w:szCs w:val="20"/>
          <w:color w:val="auto"/>
        </w:rPr>
      </w:pPr>
      <w:r>
        <w:rPr>
          <w:rFonts w:ascii="Arial" w:cs="Arial" w:eastAsia="Arial" w:hAnsi="Arial"/>
          <w:sz w:val="18"/>
          <w:szCs w:val="18"/>
          <w:color w:val="auto"/>
        </w:rPr>
        <w:t>Assets under management in the firm's target date retirement products, which are reported as part of the multi-asset column in the table above, were $296.6 billion at September 30, 2020, compared with $284.2 billion at</w:t>
      </w:r>
    </w:p>
    <w:p>
      <w:pPr>
        <w:ind w:right="2720"/>
        <w:spacing w:after="0" w:line="371" w:lineRule="auto"/>
        <w:rPr>
          <w:sz w:val="20"/>
          <w:szCs w:val="20"/>
          <w:color w:val="auto"/>
        </w:rPr>
      </w:pPr>
      <w:r>
        <w:rPr>
          <w:rFonts w:ascii="Arial" w:cs="Arial" w:eastAsia="Arial" w:hAnsi="Arial"/>
          <w:sz w:val="18"/>
          <w:szCs w:val="18"/>
          <w:color w:val="auto"/>
        </w:rPr>
        <w:t>June 30, 2020 and $292.4 billion at December 31, 2019. These portfolios experienced net cash outflows of $5.5 billion in Q3 2020 and $5.0 billion in the first nine months of 2020.</w:t>
      </w:r>
    </w:p>
    <w:p>
      <w:pPr>
        <w:spacing w:after="0" w:line="224" w:lineRule="exact"/>
        <w:rPr>
          <w:sz w:val="20"/>
          <w:szCs w:val="20"/>
          <w:color w:val="auto"/>
        </w:rPr>
      </w:pPr>
    </w:p>
    <w:p>
      <w:pPr>
        <w:ind w:right="160"/>
        <w:spacing w:after="0" w:line="371" w:lineRule="auto"/>
        <w:rPr>
          <w:sz w:val="20"/>
          <w:szCs w:val="20"/>
          <w:color w:val="auto"/>
        </w:rPr>
      </w:pPr>
      <w:r>
        <w:rPr>
          <w:rFonts w:ascii="Arial" w:cs="Arial" w:eastAsia="Arial" w:hAnsi="Arial"/>
          <w:sz w:val="18"/>
          <w:szCs w:val="18"/>
          <w:color w:val="auto"/>
        </w:rPr>
        <w:t>Investors domiciled outside the United States accounted for 8.7% of the firm's assets under management at September 30, 2020 and 6.9% at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04" w:lineRule="exact"/>
        <w:rPr>
          <w:sz w:val="20"/>
          <w:szCs w:val="20"/>
          <w:color w:val="auto"/>
        </w:rPr>
      </w:pPr>
    </w:p>
    <w:p>
      <w:pPr>
        <w:ind w:right="260"/>
        <w:spacing w:after="0" w:line="378"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Q3 2020 were $1.6 billion, up 11.9% from Q3 2019. Average assets under management in Q3 2020 were $1.29</w:t>
      </w:r>
      <w:r>
        <w:rPr>
          <w:rFonts w:ascii="Arial" w:cs="Arial" w:eastAsia="Arial" w:hAnsi="Arial"/>
          <w:sz w:val="18"/>
          <w:szCs w:val="18"/>
          <w:b w:val="1"/>
          <w:bCs w:val="1"/>
          <w:color w:val="auto"/>
        </w:rPr>
        <w:t xml:space="preserve"> </w:t>
      </w:r>
      <w:r>
        <w:rPr>
          <w:rFonts w:ascii="Arial" w:cs="Arial" w:eastAsia="Arial" w:hAnsi="Arial"/>
          <w:sz w:val="18"/>
          <w:szCs w:val="18"/>
          <w:color w:val="auto"/>
        </w:rPr>
        <w:t>trillion, an increase of 14.4% from Q3 2019. The firm voluntarily waived money market advisory fees in Q3 2020 of $6.4 million to maintain positive yields for investors.</w:t>
      </w:r>
    </w:p>
    <w:p>
      <w:pPr>
        <w:spacing w:after="0" w:line="124" w:lineRule="exact"/>
        <w:rPr>
          <w:sz w:val="20"/>
          <w:szCs w:val="20"/>
          <w:color w:val="auto"/>
        </w:rPr>
      </w:pPr>
    </w:p>
    <w:p>
      <w:pPr>
        <w:ind w:left="660" w:right="280" w:hanging="328"/>
        <w:spacing w:after="0" w:line="333" w:lineRule="auto"/>
        <w:tabs>
          <w:tab w:leader="none" w:pos="656"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Investment advisory revenues earned in Q3 2020 from the firm's U.S. mutual funds were $939.5 million, an increase of 6.6% from Q3 2019. Average assets under management in these funds increased 9.0% to $708.8 billion in Q3 2020 from Q3 2019.</w:t>
      </w:r>
    </w:p>
    <w:p>
      <w:pPr>
        <w:spacing w:after="0" w:line="279" w:lineRule="exact"/>
        <w:rPr>
          <w:rFonts w:ascii="Arial" w:cs="Arial" w:eastAsia="Arial" w:hAnsi="Arial"/>
          <w:sz w:val="22"/>
          <w:szCs w:val="22"/>
          <w:color w:val="40AEFF"/>
        </w:rPr>
      </w:pPr>
    </w:p>
    <w:p>
      <w:pPr>
        <w:ind w:left="660" w:right="140" w:hanging="328"/>
        <w:spacing w:after="0" w:line="336" w:lineRule="auto"/>
        <w:tabs>
          <w:tab w:leader="none" w:pos="656"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Investment advisory revenues earned in Q3 2020 from subadvised funds, separate accounts, collective investment trusts and other investment products were $529.8 million, an increase of 25.4% from Q3 2019. Average assets under management for these products increased 21.8% to $584.1 billion in Q3 2020 from Q3 2019.</w:t>
      </w:r>
    </w:p>
    <w:p>
      <w:pPr>
        <w:spacing w:after="0" w:line="294" w:lineRule="exact"/>
        <w:rPr>
          <w:rFonts w:ascii="Arial" w:cs="Arial" w:eastAsia="Arial" w:hAnsi="Arial"/>
          <w:sz w:val="22"/>
          <w:szCs w:val="22"/>
          <w:color w:val="40AEFF"/>
        </w:rPr>
      </w:pPr>
    </w:p>
    <w:p>
      <w:pPr>
        <w:ind w:left="660" w:hanging="328"/>
        <w:spacing w:after="0" w:line="349" w:lineRule="auto"/>
        <w:tabs>
          <w:tab w:leader="none" w:pos="656"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The annualized effective fee rate of 45.2 basis points in Q3 2020 decreased compared to the 45.6 basis points earned in Q2 2020, primarily due to the impact of increased assets from higher market valuations in certain products with tiered-fee structures and higher Q3 2020 money market fee waivers. The Q3 2020 annualized effective fee rate also decreased from the 45.8 basis points earned in Q3 2019 due to client transfers within the complex to lower fee vehicles or share classes over the last twelve months and the money market fee waivers. Over time, the firm's effective fee rate can be impacted by market or cash flow related shifts among asset and share classes, price changes in existing products, and asset level changes in products with tiered-fee structures.</w:t>
      </w:r>
    </w:p>
    <w:p>
      <w:pPr>
        <w:spacing w:after="0" w:line="287" w:lineRule="exact"/>
        <w:rPr>
          <w:rFonts w:ascii="Arial" w:cs="Arial" w:eastAsia="Arial" w:hAnsi="Arial"/>
          <w:sz w:val="22"/>
          <w:szCs w:val="22"/>
          <w:color w:val="40AEFF"/>
        </w:rPr>
      </w:pPr>
    </w:p>
    <w:p>
      <w:pPr>
        <w:ind w:left="660" w:right="40" w:hanging="328"/>
        <w:spacing w:after="0" w:line="343" w:lineRule="auto"/>
        <w:tabs>
          <w:tab w:leader="none" w:pos="656"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Q3 2020 were $126.5 million, an increase of 2.6% from Q3 2019. The increase was primarily attributable to higher retail transfer agent servicing activities. This increase was partially offset by lower 12b-1 revenue earned on certain share classes, including the Advisor and R classes, of the U.S. mutual funds as client transfers to lower fee vehicles and share classes over the last twelve months have reduced assets under management in these share classes.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084" w:right="359" w:bottom="1440" w:gutter="0" w:footer="0" w:header="0"/>
        </w:sectPr>
      </w:pPr>
    </w:p>
    <w:bookmarkStart w:id="51" w:name="page52"/>
    <w:bookmarkEnd w:id="51"/>
    <w:p>
      <w:pPr>
        <w:ind w:right="240"/>
        <w:spacing w:after="0" w:line="369"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Q3 2020 were $866.9 million, an increase of 12.9% compared to Q3 2019. The increase in the firm's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from the 2019 quarter was primarily due to a $33.3 million increase in expenses related to the supplemental savings plan from higher market returns, higher salaries and annual bonus accrual, and the firm's continued strategic investments. The higher Q3 2020 expense related to the supplemental savings plan liability was largely offset by the non-operating gains earned on the investments used to economically hedge the related liability.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the firm's operating expenses in Q3 2020 were $830.5 million, an 8.5% increase over</w:t>
      </w:r>
    </w:p>
    <w:p>
      <w:pPr>
        <w:spacing w:after="0" w:line="104" w:lineRule="exact"/>
        <w:rPr>
          <w:sz w:val="20"/>
          <w:szCs w:val="20"/>
          <w:color w:val="auto"/>
        </w:rPr>
      </w:pPr>
    </w:p>
    <w:p>
      <w:pPr>
        <w:ind w:right="80"/>
        <w:spacing w:after="0" w:line="365" w:lineRule="auto"/>
        <w:rPr>
          <w:sz w:val="20"/>
          <w:szCs w:val="20"/>
          <w:color w:val="auto"/>
        </w:rPr>
      </w:pPr>
      <w:r>
        <w:rPr>
          <w:rFonts w:ascii="Arial" w:cs="Arial" w:eastAsia="Arial" w:hAnsi="Arial"/>
          <w:sz w:val="18"/>
          <w:szCs w:val="18"/>
          <w:color w:val="auto"/>
        </w:rPr>
        <w:t>Q3 2019. The firm's non-GAAP operating expenses do not include the impact of the supplemental savings plan and consolidated sponsored products. The increase in non-GAAP operating expenses is largely attributable to higher salaries and annual bonus accrual and the firm's continued strategic investments.</w:t>
      </w:r>
    </w:p>
    <w:p>
      <w:pPr>
        <w:spacing w:after="0" w:line="23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were $552.3 million in Q3 2020, an increase of 18.4% compared to</w:t>
      </w:r>
    </w:p>
    <w:p>
      <w:pPr>
        <w:spacing w:after="0" w:line="107" w:lineRule="exact"/>
        <w:rPr>
          <w:rFonts w:ascii="Arial" w:cs="Arial" w:eastAsia="Arial" w:hAnsi="Arial"/>
          <w:sz w:val="22"/>
          <w:szCs w:val="22"/>
          <w:color w:val="40AEFF"/>
        </w:rPr>
      </w:pPr>
    </w:p>
    <w:p>
      <w:pPr>
        <w:ind w:left="660"/>
        <w:spacing w:after="0" w:line="362" w:lineRule="auto"/>
        <w:rPr>
          <w:rFonts w:ascii="Arial" w:cs="Arial" w:eastAsia="Arial" w:hAnsi="Arial"/>
          <w:sz w:val="22"/>
          <w:szCs w:val="22"/>
          <w:color w:val="40AEFF"/>
        </w:rPr>
      </w:pPr>
      <w:r>
        <w:rPr>
          <w:rFonts w:ascii="Arial" w:cs="Arial" w:eastAsia="Arial" w:hAnsi="Arial"/>
          <w:sz w:val="18"/>
          <w:szCs w:val="18"/>
          <w:color w:val="auto"/>
        </w:rPr>
        <w:t>Q3 2019. This increase was primarily related to the $33.3 million in higher expense for the supplemental savings plan, as strong market returns in Q3 2020 increased the liability compared with a minor increase from market returns in Q3 2019. Higher salaries and benefits due to a 5.6% increase in our average staff size and modest increases in base salaries at the beginning of 2020, as well as a higher annual bonus accrual, also contributed to the increase in 2020 costs. These increases were partially offset by higher labor capitalization related to internally developed software. The firm employed 7,635 associates at September 30, 2020, an increase of 3.7% from the end of 2019.</w:t>
      </w:r>
    </w:p>
    <w:p>
      <w:pPr>
        <w:spacing w:after="0" w:line="237" w:lineRule="exact"/>
        <w:rPr>
          <w:rFonts w:ascii="Arial" w:cs="Arial" w:eastAsia="Arial" w:hAnsi="Arial"/>
          <w:sz w:val="22"/>
          <w:szCs w:val="22"/>
          <w:color w:val="40AEFF"/>
        </w:rPr>
      </w:pPr>
    </w:p>
    <w:p>
      <w:pPr>
        <w:ind w:left="660" w:hanging="328"/>
        <w:spacing w:after="0"/>
        <w:tabs>
          <w:tab w:leader="none" w:pos="660" w:val="left"/>
        </w:tabs>
        <w:numPr>
          <w:ilvl w:val="0"/>
          <w:numId w:val="25"/>
        </w:numPr>
        <w:rPr>
          <w:rFonts w:ascii="Arial" w:cs="Arial" w:eastAsia="Arial" w:hAnsi="Arial"/>
          <w:sz w:val="22"/>
          <w:szCs w:val="22"/>
          <w:color w:val="40AEFF"/>
        </w:rPr>
      </w:pPr>
      <w:r>
        <w:rPr>
          <w:rFonts w:ascii="Arial" w:cs="Arial" w:eastAsia="Arial" w:hAnsi="Arial"/>
          <w:sz w:val="18"/>
          <w:szCs w:val="18"/>
          <w:b w:val="1"/>
          <w:bCs w:val="1"/>
          <w:color w:val="auto"/>
        </w:rPr>
        <w:t xml:space="preserve">Distribution and servicing costs </w:t>
      </w:r>
      <w:r>
        <w:rPr>
          <w:rFonts w:ascii="Arial" w:cs="Arial" w:eastAsia="Arial" w:hAnsi="Arial"/>
          <w:sz w:val="18"/>
          <w:szCs w:val="18"/>
          <w:color w:val="auto"/>
        </w:rPr>
        <w:t>were $73.5 million in Q3 2020, an increase of 14.0% from</w:t>
      </w:r>
    </w:p>
    <w:p>
      <w:pPr>
        <w:sectPr>
          <w:pgSz w:w="11900" w:h="16838" w:orient="portrait"/>
          <w:cols w:equalWidth="0" w:num="1">
            <w:col w:w="11220"/>
          </w:cols>
          <w:pgMar w:left="320" w:top="1062" w:right="359" w:bottom="1440" w:gutter="0" w:footer="0" w:header="0"/>
        </w:sectPr>
      </w:pPr>
    </w:p>
    <w:p>
      <w:pPr>
        <w:spacing w:after="0" w:line="107" w:lineRule="exact"/>
        <w:rPr>
          <w:sz w:val="20"/>
          <w:szCs w:val="20"/>
          <w:color w:val="auto"/>
        </w:rPr>
      </w:pPr>
    </w:p>
    <w:p>
      <w:pPr>
        <w:ind w:left="660" w:right="120"/>
        <w:spacing w:after="0" w:line="371" w:lineRule="auto"/>
        <w:rPr>
          <w:sz w:val="20"/>
          <w:szCs w:val="20"/>
          <w:color w:val="auto"/>
        </w:rPr>
      </w:pPr>
      <w:r>
        <w:rPr>
          <w:rFonts w:ascii="Arial" w:cs="Arial" w:eastAsia="Arial" w:hAnsi="Arial"/>
          <w:sz w:val="18"/>
          <w:szCs w:val="18"/>
          <w:color w:val="auto"/>
        </w:rPr>
        <w:t>the $64.5 million recognized in Q3 2019. The increase was primarily driven by higher distribution costs as a continued inflows into our Japanese ITMs in Q3 2020 compared to Q3 2019.</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result of</w:t>
      </w:r>
    </w:p>
    <w:p>
      <w:pPr>
        <w:spacing w:after="0" w:line="644" w:lineRule="exact"/>
        <w:rPr>
          <w:sz w:val="20"/>
          <w:szCs w:val="20"/>
          <w:color w:val="auto"/>
        </w:rPr>
      </w:pPr>
    </w:p>
    <w:p>
      <w:pPr>
        <w:sectPr>
          <w:pgSz w:w="11900" w:h="16838" w:orient="portrait"/>
          <w:cols w:equalWidth="0" w:num="2">
            <w:col w:w="9300" w:space="720"/>
            <w:col w:w="1200"/>
          </w:cols>
          <w:pgMar w:left="320" w:top="1062" w:right="359" w:bottom="1440" w:gutter="0" w:footer="0" w:header="0"/>
          <w:type w:val="continuous"/>
        </w:sectPr>
      </w:pPr>
    </w:p>
    <w:p>
      <w:pPr>
        <w:spacing w:after="0" w:line="43" w:lineRule="exact"/>
        <w:rPr>
          <w:sz w:val="20"/>
          <w:szCs w:val="20"/>
          <w:color w:val="auto"/>
        </w:rPr>
      </w:pPr>
    </w:p>
    <w:p>
      <w:pPr>
        <w:ind w:left="660" w:right="500" w:hanging="328"/>
        <w:spacing w:after="0" w:line="359" w:lineRule="auto"/>
        <w:tabs>
          <w:tab w:leader="none" w:pos="656" w:val="left"/>
        </w:tabs>
        <w:numPr>
          <w:ilvl w:val="0"/>
          <w:numId w:val="26"/>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$14.2 million in Q3 2020, a decrease of 17.0% over Q3 2019. The decrease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driven by fewer conference and promotional events in Q3 2020 compared to Q3 2019.</w:t>
      </w:r>
    </w:p>
    <w:p>
      <w:pPr>
        <w:spacing w:after="0" w:line="229" w:lineRule="exact"/>
        <w:rPr>
          <w:rFonts w:ascii="Arial" w:cs="Arial" w:eastAsia="Arial" w:hAnsi="Arial"/>
          <w:sz w:val="22"/>
          <w:szCs w:val="22"/>
          <w:color w:val="40AEFF"/>
        </w:rPr>
      </w:pPr>
    </w:p>
    <w:p>
      <w:pPr>
        <w:ind w:left="660" w:right="540" w:hanging="328"/>
        <w:spacing w:after="0" w:line="347" w:lineRule="auto"/>
        <w:tabs>
          <w:tab w:leader="none" w:pos="656" w:val="left"/>
        </w:tabs>
        <w:numPr>
          <w:ilvl w:val="0"/>
          <w:numId w:val="26"/>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$115.6 million in Q3 2020, an increase of 8.5% from the $106.5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Q3 2019. The increase was due to the ongoing investment in the firm's technology capabilities, including related depreciation and hosted solution licenses.</w:t>
      </w:r>
    </w:p>
    <w:p>
      <w:pPr>
        <w:spacing w:after="0" w:line="264" w:lineRule="exact"/>
        <w:rPr>
          <w:rFonts w:ascii="Arial" w:cs="Arial" w:eastAsia="Arial" w:hAnsi="Arial"/>
          <w:sz w:val="22"/>
          <w:szCs w:val="22"/>
          <w:color w:val="40AEFF"/>
        </w:rPr>
      </w:pPr>
    </w:p>
    <w:p>
      <w:pPr>
        <w:ind w:left="660" w:right="580" w:hanging="328"/>
        <w:spacing w:after="0" w:line="347" w:lineRule="auto"/>
        <w:tabs>
          <w:tab w:leader="none" w:pos="656" w:val="left"/>
        </w:tabs>
        <w:numPr>
          <w:ilvl w:val="0"/>
          <w:numId w:val="26"/>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$74.5 million in Q3 2020, a decrease of .9% compared with the $75.2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Q3 2019. The decrease was primarily due to lower travel-related expenses that were largely offset by higher professional fees and third-party investment research costs.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62" w:right="359" w:bottom="1440" w:gutter="0" w:footer="0" w:header="0"/>
          <w:type w:val="continuous"/>
        </w:sectPr>
      </w:pPr>
    </w:p>
    <w:bookmarkStart w:id="52" w:name="page53"/>
    <w:bookmarkEnd w:id="52"/>
    <w:p>
      <w:pPr>
        <w:ind w:right="40"/>
        <w:spacing w:after="0" w:line="362" w:lineRule="auto"/>
        <w:rPr>
          <w:sz w:val="20"/>
          <w:szCs w:val="20"/>
          <w:color w:val="auto"/>
        </w:rPr>
      </w:pPr>
      <w:r>
        <w:rPr>
          <w:rFonts w:ascii="Arial" w:cs="Arial" w:eastAsia="Arial" w:hAnsi="Arial"/>
          <w:sz w:val="18"/>
          <w:szCs w:val="18"/>
          <w:color w:val="auto"/>
        </w:rPr>
        <w:t>For the first nine months of 2020, operating expenses on a GAAP basis increased 6.0% compared to the same period of 2019, and 6.5% on a non-GAAP basis. The firm is narrowing its full-year 2020 non-GAAP operating expense growth guidance from a range of 3%-6% to a range of 4%-6%. The firm's non-GAAP operating expense growth in Q4 2020 compared to Q4 2019 is expected to be lower than that experienced year-to-date. For 2021, the firm currently estimates that its non-GAAP operating expenses will grow in the range of 6%-9%. These ranges include investments in the firm's critical strategic initiatives to promote long-term growth of the business. The firm could elect to further adjust its expense growth should unforeseen circumstances arise, including significant market movements.</w:t>
      </w:r>
    </w:p>
    <w:p>
      <w:pPr>
        <w:spacing w:after="0" w:line="211" w:lineRule="exact"/>
        <w:rPr>
          <w:sz w:val="20"/>
          <w:szCs w:val="20"/>
          <w:color w:val="auto"/>
        </w:rPr>
      </w:pPr>
    </w:p>
    <w:p>
      <w:pPr>
        <w:ind w:right="120"/>
        <w:spacing w:after="0" w:line="372" w:lineRule="auto"/>
        <w:rPr>
          <w:sz w:val="20"/>
          <w:szCs w:val="20"/>
          <w:color w:val="auto"/>
        </w:rPr>
      </w:pPr>
      <w:r>
        <w:rPr>
          <w:rFonts w:ascii="Arial" w:cs="Arial" w:eastAsia="Arial" w:hAnsi="Arial"/>
          <w:sz w:val="18"/>
          <w:szCs w:val="18"/>
          <w:b w:val="1"/>
          <w:bCs w:val="1"/>
          <w:color w:val="auto"/>
        </w:rPr>
        <w:t xml:space="preserve">Non-operating income. </w:t>
      </w:r>
      <w:r>
        <w:rPr>
          <w:rFonts w:ascii="Arial" w:cs="Arial" w:eastAsia="Arial" w:hAnsi="Arial"/>
          <w:sz w:val="18"/>
          <w:szCs w:val="18"/>
          <w:color w:val="auto"/>
        </w:rPr>
        <w:t>Non-operating income was $191.6 million in Q3 2020, as compared to non-operating income of $43.0 million in Q3</w:t>
      </w:r>
      <w:r>
        <w:rPr>
          <w:rFonts w:ascii="Arial" w:cs="Arial" w:eastAsia="Arial" w:hAnsi="Arial"/>
          <w:sz w:val="18"/>
          <w:szCs w:val="18"/>
          <w:b w:val="1"/>
          <w:bCs w:val="1"/>
          <w:color w:val="auto"/>
        </w:rPr>
        <w:t xml:space="preserve"> </w:t>
      </w:r>
      <w:r>
        <w:rPr>
          <w:rFonts w:ascii="Arial" w:cs="Arial" w:eastAsia="Arial" w:hAnsi="Arial"/>
          <w:sz w:val="18"/>
          <w:szCs w:val="18"/>
          <w:color w:val="auto"/>
        </w:rPr>
        <w:t>2019. The firm's consolidated investment products and supplemental savings plan hedge portfolio comprised about 70% of the net gains recognized during Q3 2020. The cash and discretionary investment portfolio added net investment gains of $25.6 million during Q3 2020. The components of non-operating income for Q3 2020 and Q3 2019 are included in the tables at the end of this release.</w:t>
      </w:r>
    </w:p>
    <w:p>
      <w:pPr>
        <w:spacing w:after="0" w:line="202" w:lineRule="exact"/>
        <w:rPr>
          <w:sz w:val="20"/>
          <w:szCs w:val="20"/>
          <w:color w:val="auto"/>
        </w:rPr>
      </w:pPr>
    </w:p>
    <w:p>
      <w:pPr>
        <w:ind w:right="100"/>
        <w:spacing w:after="0" w:line="369"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was 24.1% in Q3 2020 and 22.4% in Q3 2019. The Q3 2020 effective tax rate increased from Q3</w:t>
      </w:r>
      <w:r>
        <w:rPr>
          <w:rFonts w:ascii="Arial" w:cs="Arial" w:eastAsia="Arial" w:hAnsi="Arial"/>
          <w:sz w:val="18"/>
          <w:szCs w:val="18"/>
          <w:b w:val="1"/>
          <w:bCs w:val="1"/>
          <w:color w:val="auto"/>
        </w:rPr>
        <w:t xml:space="preserve"> </w:t>
      </w:r>
      <w:r>
        <w:rPr>
          <w:rFonts w:ascii="Arial" w:cs="Arial" w:eastAsia="Arial" w:hAnsi="Arial"/>
          <w:sz w:val="18"/>
          <w:szCs w:val="18"/>
          <w:color w:val="auto"/>
        </w:rPr>
        <w:t>2019 primarily due to lower estimated annual net income attributable to redeemable non-controlling interests held in the firm's consolidated investment products, which are not taxable to the firm despite being included in pre-tax income; and lower discrete tax benefits associated with option exercises. These impacts were partially offset by a lower state effective tax rate, resulting primarily from the remeasurement of deferred tax liabilities related to the firm's investment portfolio.</w:t>
      </w:r>
    </w:p>
    <w:p>
      <w:pPr>
        <w:spacing w:after="0" w:line="226" w:lineRule="exact"/>
        <w:rPr>
          <w:sz w:val="20"/>
          <w:szCs w:val="20"/>
          <w:color w:val="auto"/>
        </w:rPr>
      </w:pPr>
    </w:p>
    <w:p>
      <w:pPr>
        <w:ind w:right="240"/>
        <w:spacing w:after="0" w:line="371" w:lineRule="auto"/>
        <w:rPr>
          <w:sz w:val="20"/>
          <w:szCs w:val="20"/>
          <w:color w:val="auto"/>
        </w:rPr>
      </w:pPr>
      <w:r>
        <w:rPr>
          <w:rFonts w:ascii="Arial" w:cs="Arial" w:eastAsia="Arial" w:hAnsi="Arial"/>
          <w:sz w:val="18"/>
          <w:szCs w:val="18"/>
          <w:color w:val="auto"/>
        </w:rPr>
        <w:t>The following reconciles the statutory federal income tax rate to the firm's effective tax rate for the third quarter and the first nine months of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1055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5920" w:type="dxa"/>
            <w:vAlign w:val="bottom"/>
          </w:tcPr>
          <w:p>
            <w:pPr>
              <w:spacing w:after="0"/>
              <w:rPr>
                <w:sz w:val="15"/>
                <w:szCs w:val="15"/>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9/30/2020</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9/30/2019</w:t>
            </w:r>
          </w:p>
        </w:tc>
      </w:tr>
      <w:tr>
        <w:trPr>
          <w:trHeight w:val="204"/>
        </w:trPr>
        <w:tc>
          <w:tcPr>
            <w:tcW w:w="5920" w:type="dxa"/>
            <w:vAlign w:val="bottom"/>
          </w:tcPr>
          <w:p>
            <w:pPr>
              <w:spacing w:after="0"/>
              <w:rPr>
                <w:sz w:val="20"/>
                <w:szCs w:val="20"/>
                <w:color w:val="auto"/>
              </w:rPr>
            </w:pPr>
            <w:r>
              <w:rPr>
                <w:rFonts w:ascii="Arial" w:cs="Arial" w:eastAsia="Arial" w:hAnsi="Arial"/>
                <w:sz w:val="16"/>
                <w:szCs w:val="16"/>
                <w:color w:val="auto"/>
              </w:rPr>
              <w:t>Statutory U.S. federal income tax rate</w:t>
            </w:r>
          </w:p>
        </w:tc>
        <w:tc>
          <w:tcPr>
            <w:tcW w:w="1220" w:type="dxa"/>
            <w:vAlign w:val="bottom"/>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37"/>
        </w:trPr>
        <w:tc>
          <w:tcPr>
            <w:tcW w:w="5920" w:type="dxa"/>
            <w:vAlign w:val="bottom"/>
          </w:tcPr>
          <w:p>
            <w:pPr>
              <w:spacing w:after="0" w:line="237" w:lineRule="exact"/>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4.4</w:t>
            </w:r>
          </w:p>
        </w:tc>
      </w:tr>
      <w:tr>
        <w:trPr>
          <w:trHeight w:val="195"/>
        </w:trPr>
        <w:tc>
          <w:tcPr>
            <w:tcW w:w="5920" w:type="dxa"/>
            <w:vAlign w:val="bottom"/>
          </w:tcPr>
          <w:p>
            <w:pPr>
              <w:spacing w:after="0"/>
              <w:rPr>
                <w:sz w:val="20"/>
                <w:szCs w:val="20"/>
                <w:color w:val="auto"/>
              </w:rPr>
            </w:pPr>
            <w:r>
              <w:rPr>
                <w:rFonts w:ascii="Arial" w:cs="Arial" w:eastAsia="Arial" w:hAnsi="Arial"/>
                <w:sz w:val="16"/>
                <w:szCs w:val="16"/>
                <w:color w:val="auto"/>
              </w:rPr>
              <w:t>Net income attributable to redeemable non-controlling interests</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(.8)</w:t>
            </w:r>
          </w:p>
        </w:tc>
      </w:tr>
      <w:tr>
        <w:trPr>
          <w:trHeight w:val="216"/>
        </w:trPr>
        <w:tc>
          <w:tcPr>
            <w:tcW w:w="5920" w:type="dxa"/>
            <w:vAlign w:val="bottom"/>
          </w:tcPr>
          <w:p>
            <w:pPr>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(1.2)</w:t>
            </w:r>
          </w:p>
        </w:tc>
      </w:tr>
      <w:tr>
        <w:trPr>
          <w:trHeight w:val="219"/>
        </w:trPr>
        <w:tc>
          <w:tcPr>
            <w:tcW w:w="5920" w:type="dxa"/>
            <w:vAlign w:val="bottom"/>
          </w:tcPr>
          <w:p>
            <w:pPr>
              <w:spacing w:after="0"/>
              <w:rPr>
                <w:sz w:val="20"/>
                <w:szCs w:val="20"/>
                <w:color w:val="auto"/>
              </w:rPr>
            </w:pPr>
            <w:r>
              <w:rPr>
                <w:rFonts w:ascii="Arial" w:cs="Arial" w:eastAsia="Arial" w:hAnsi="Arial"/>
                <w:sz w:val="16"/>
                <w:szCs w:val="16"/>
                <w:color w:val="auto"/>
              </w:rPr>
              <w:t>Other items</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w:t>
            </w:r>
          </w:p>
        </w:tc>
      </w:tr>
      <w:tr>
        <w:trPr>
          <w:trHeight w:val="213"/>
        </w:trPr>
        <w:tc>
          <w:tcPr>
            <w:tcW w:w="5920" w:type="dxa"/>
            <w:vAlign w:val="bottom"/>
          </w:tcPr>
          <w:p>
            <w:pPr>
              <w:spacing w:after="0"/>
              <w:rPr>
                <w:sz w:val="20"/>
                <w:szCs w:val="20"/>
                <w:color w:val="auto"/>
              </w:rPr>
            </w:pPr>
            <w:r>
              <w:rPr>
                <w:rFonts w:ascii="Arial" w:cs="Arial" w:eastAsia="Arial" w:hAnsi="Arial"/>
                <w:sz w:val="16"/>
                <w:szCs w:val="16"/>
                <w:color w:val="auto"/>
              </w:rPr>
              <w:t>Effective income tax rate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24.1 %</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22.4 %</w:t>
            </w:r>
          </w:p>
        </w:tc>
      </w:tr>
      <w:tr>
        <w:trPr>
          <w:trHeight w:val="21"/>
        </w:trPr>
        <w:tc>
          <w:tcPr>
            <w:tcW w:w="5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9/30/2020</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9/30/2019</w:t>
            </w:r>
          </w:p>
        </w:tc>
      </w:tr>
      <w:tr>
        <w:trPr>
          <w:trHeight w:val="204"/>
        </w:trPr>
        <w:tc>
          <w:tcPr>
            <w:tcW w:w="122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1220" w:type="dxa"/>
            <w:vAlign w:val="bottom"/>
          </w:tcPr>
          <w:p>
            <w:pPr>
              <w:jc w:val="right"/>
              <w:ind w:right="1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4.4</w:t>
            </w:r>
          </w:p>
        </w:tc>
      </w:tr>
      <w:tr>
        <w:trPr>
          <w:trHeight w:val="216"/>
        </w:trPr>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(.8)</w:t>
            </w:r>
          </w:p>
        </w:tc>
      </w:tr>
      <w:tr>
        <w:trPr>
          <w:trHeight w:val="216"/>
        </w:trPr>
        <w:tc>
          <w:tcPr>
            <w:tcW w:w="122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(.9)</w:t>
            </w:r>
          </w:p>
        </w:tc>
      </w:tr>
      <w:tr>
        <w:trPr>
          <w:trHeight w:val="219"/>
        </w:trPr>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w:t>
            </w:r>
          </w:p>
        </w:tc>
      </w:tr>
      <w:tr>
        <w:trPr>
          <w:trHeight w:val="210"/>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24.0 %</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24.0 %</w:t>
            </w:r>
          </w:p>
        </w:tc>
      </w:tr>
      <w:tr>
        <w:trPr>
          <w:trHeight w:val="24"/>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ectPr>
          <w:pgSz w:w="11900" w:h="16838" w:orient="portrait"/>
          <w:cols w:equalWidth="0" w:num="2">
            <w:col w:w="8480" w:space="220"/>
            <w:col w:w="2540"/>
          </w:cols>
          <w:pgMar w:left="320" w:top="1084" w:right="339" w:bottom="1440" w:gutter="0" w:footer="0" w:header="0"/>
          <w:type w:val="continuous"/>
        </w:sectPr>
      </w:pPr>
    </w:p>
    <w:p>
      <w:pPr>
        <w:ind w:left="140" w:hanging="132"/>
        <w:spacing w:after="0"/>
        <w:tabs>
          <w:tab w:leader="none" w:pos="140" w:val="left"/>
        </w:tabs>
        <w:numPr>
          <w:ilvl w:val="0"/>
          <w:numId w:val="27"/>
        </w:numPr>
        <w:rPr>
          <w:rFonts w:ascii="Arial" w:cs="Arial" w:eastAsia="Arial" w:hAnsi="Arial"/>
          <w:sz w:val="9"/>
          <w:szCs w:val="9"/>
          <w:i w:val="1"/>
          <w:iCs w:val="1"/>
          <w:color w:val="auto"/>
        </w:rPr>
      </w:pPr>
      <w:r>
        <w:rPr>
          <w:rFonts w:ascii="Arial" w:cs="Arial" w:eastAsia="Arial" w:hAnsi="Arial"/>
          <w:sz w:val="14"/>
          <w:szCs w:val="14"/>
          <w:i w:val="1"/>
          <w:iCs w:val="1"/>
          <w:color w:val="auto"/>
        </w:rPr>
        <w:t>State income tax benefits are reflected in the total benefits for net income attributable to redeemable non-controlling interests and stock-based compensation plans activity.</w:t>
      </w:r>
    </w:p>
    <w:p>
      <w:pPr>
        <w:spacing w:after="0" w:line="306" w:lineRule="exact"/>
        <w:rPr>
          <w:sz w:val="20"/>
          <w:szCs w:val="20"/>
          <w:color w:val="auto"/>
        </w:rPr>
      </w:pPr>
    </w:p>
    <w:p>
      <w:pPr>
        <w:ind w:right="20"/>
        <w:spacing w:after="0" w:line="362" w:lineRule="auto"/>
        <w:rPr>
          <w:sz w:val="20"/>
          <w:szCs w:val="20"/>
          <w:color w:val="auto"/>
        </w:rPr>
      </w:pPr>
      <w:r>
        <w:rPr>
          <w:rFonts w:ascii="Arial" w:cs="Arial" w:eastAsia="Arial" w:hAnsi="Arial"/>
          <w:sz w:val="18"/>
          <w:szCs w:val="18"/>
          <w:color w:val="auto"/>
        </w:rPr>
        <w:t>The firm's non-GAAP tax rate primarily adjusts for the impact of the consolidated investment products, including the net income attributable to the redeemable non-controlling interests. The firm's non-GAAP effective tax rate increased to 24.1% in Q3 2020 compared with 23.6% in Q3 2019 primarily due to lower discrete tax benefits associated with option exercises in the 2020 period. For the year-to-date period, the non-GAAP effective tax rate was 23.9% in 2020, down from the 24.8% for the comparable 2019 period. The year-to-date decrease is primarily due to a lower effective state tax rate and higher discrete tax benefits associated with option exercises.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84"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t>The firm estimates that its effective tax rate for the full year 2020, on a GAAP and non-GAAP basis, will be in the range of 23% to 25%.</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9/30/2020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12/31/2019</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1,781.8</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1,899.6</w:t>
            </w:r>
          </w:p>
        </w:tc>
      </w:tr>
      <w:tr>
        <w:trPr>
          <w:trHeight w:val="223"/>
        </w:trPr>
        <w:tc>
          <w:tcPr>
            <w:tcW w:w="840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3,681.4</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w:t>
            </w:r>
          </w:p>
        </w:tc>
      </w:tr>
      <w:tr>
        <w:trPr>
          <w:trHeight w:val="229"/>
        </w:trPr>
        <w:tc>
          <w:tcPr>
            <w:tcW w:w="8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w:t>
            </w:r>
          </w:p>
        </w:tc>
      </w:tr>
      <w:tr>
        <w:trPr>
          <w:trHeight w:val="248"/>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The firm's common shares outstanding were 226.4 million at September 30, 2020, compared with 235.2 million at the end of 2019.</w:t>
      </w:r>
    </w:p>
    <w:p>
      <w:pPr>
        <w:spacing w:after="0" w:line="147" w:lineRule="exact"/>
        <w:rPr>
          <w:rFonts w:ascii="Arial" w:cs="Arial" w:eastAsia="Arial" w:hAnsi="Arial"/>
          <w:sz w:val="22"/>
          <w:szCs w:val="22"/>
          <w:color w:val="40AEFF"/>
        </w:rPr>
      </w:pPr>
    </w:p>
    <w:p>
      <w:pPr>
        <w:ind w:left="340" w:right="360" w:hanging="332"/>
        <w:spacing w:after="0" w:line="333" w:lineRule="auto"/>
        <w:tabs>
          <w:tab w:leader="none" w:pos="336" w:val="left"/>
        </w:tabs>
        <w:numPr>
          <w:ilvl w:val="0"/>
          <w:numId w:val="28"/>
        </w:numPr>
        <w:rPr>
          <w:rFonts w:ascii="Arial" w:cs="Arial" w:eastAsia="Arial" w:hAnsi="Arial"/>
          <w:sz w:val="22"/>
          <w:szCs w:val="22"/>
          <w:color w:val="40AEFF"/>
        </w:rPr>
      </w:pPr>
      <w:r>
        <w:rPr>
          <w:rFonts w:ascii="Arial" w:cs="Arial" w:eastAsia="Arial" w:hAnsi="Arial"/>
          <w:sz w:val="18"/>
          <w:szCs w:val="18"/>
          <w:color w:val="auto"/>
        </w:rPr>
        <w:t>In the first nine months of 2020, the firm expended $1.2 billion to repurchase 10.8 million shares, or 4.6%, of its outstanding common shares at an average price of $108.77, including $141.9 million to repurchase 1.1 million shares during Q3 2020.</w:t>
      </w:r>
    </w:p>
    <w:p>
      <w:pPr>
        <w:spacing w:after="0" w:line="36" w:lineRule="exact"/>
        <w:rPr>
          <w:rFonts w:ascii="Arial" w:cs="Arial" w:eastAsia="Arial" w:hAnsi="Arial"/>
          <w:sz w:val="22"/>
          <w:szCs w:val="22"/>
          <w:color w:val="40AEFF"/>
        </w:rPr>
      </w:pPr>
    </w:p>
    <w:p>
      <w:pPr>
        <w:ind w:left="340" w:right="100" w:hanging="332"/>
        <w:spacing w:after="0" w:line="360" w:lineRule="auto"/>
        <w:tabs>
          <w:tab w:leader="none" w:pos="336" w:val="left"/>
        </w:tabs>
        <w:numPr>
          <w:ilvl w:val="0"/>
          <w:numId w:val="28"/>
        </w:numPr>
        <w:rPr>
          <w:rFonts w:ascii="Arial" w:cs="Arial" w:eastAsia="Arial" w:hAnsi="Arial"/>
          <w:sz w:val="21"/>
          <w:szCs w:val="21"/>
          <w:color w:val="40AEFF"/>
        </w:rPr>
      </w:pPr>
      <w:r>
        <w:rPr>
          <w:rFonts w:ascii="Arial" w:cs="Arial" w:eastAsia="Arial" w:hAnsi="Arial"/>
          <w:sz w:val="17"/>
          <w:szCs w:val="17"/>
          <w:color w:val="auto"/>
        </w:rPr>
        <w:t>The firm invested $155.4 million during the first nine months of 2020 in capitalized facilities and technology. The firm currently expects capital expenditures, including internal labor capitalization, for 2020 to be approximately $230 million, of which more than three-quarters is planned for technology initiatives. These expenditures are expected to continue to be funded from the firm's operating resources.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84" w:right="359" w:bottom="1440" w:gutter="0" w:footer="0" w:header="0"/>
        </w:sectPr>
      </w:pPr>
    </w:p>
    <w:bookmarkStart w:id="54" w:name="page55"/>
    <w:bookmarkEnd w:id="54"/>
    <w:p>
      <w:pPr>
        <w:spacing w:after="0" w:line="199" w:lineRule="auto"/>
        <w:framePr w:w="2180" w:h="163" w:wrap="auto" w:vAnchor="page" w:hAnchor="page" w:x="280" w:y="1084"/>
        <w:rPr>
          <w:rFonts w:ascii="Arial" w:cs="Arial" w:eastAsia="Arial" w:hAnsi="Arial"/>
          <w:sz w:val="17"/>
          <w:szCs w:val="17"/>
          <w:b w:val="1"/>
          <w:bCs w:val="1"/>
          <w:color w:val="auto"/>
        </w:rPr>
      </w:pPr>
      <w:r>
        <w:rPr>
          <w:rFonts w:ascii="Arial" w:cs="Arial" w:eastAsia="Arial" w:hAnsi="Arial"/>
          <w:sz w:val="17"/>
          <w:szCs w:val="17"/>
          <w:b w:val="1"/>
          <w:bCs w:val="1"/>
          <w:color w:val="auto"/>
        </w:rPr>
        <w:t>Investment Performance</w:t>
      </w:r>
    </w:p>
    <w:p>
      <w:pPr>
        <w:spacing w:after="0" w:line="302" w:lineRule="auto"/>
        <w:framePr w:w="11200" w:h="784" w:wrap="auto" w:vAnchor="page" w:hAnchor="page" w:x="280" w:y="1395"/>
        <w:rPr>
          <w:rFonts w:ascii="Arial" w:cs="Arial" w:eastAsia="Arial" w:hAnsi="Arial"/>
          <w:sz w:val="18"/>
          <w:szCs w:val="18"/>
          <w:b w:val="1"/>
          <w:bCs w:val="1"/>
          <w:color w:val="auto"/>
        </w:rPr>
      </w:pPr>
      <w:r>
        <w:rPr>
          <w:rFonts w:ascii="Arial" w:cs="Arial" w:eastAsia="Arial" w:hAnsi="Arial"/>
          <w:sz w:val="18"/>
          <w:szCs w:val="18"/>
          <w:b w:val="1"/>
          <w:bCs w:val="1"/>
          <w:color w:val="auto"/>
        </w:rPr>
        <w:t>The firm has expanded its performance disclosures to include specific asset classes and AUM weighted performance, mutual fund performance against passive peers, and composite performance against benchmarks. The following table presents investment performance for the one-, three-, five-, and 10-years ended</w:t>
      </w:r>
    </w:p>
    <w:p>
      <w:pPr>
        <w:spacing w:after="0" w:line="199" w:lineRule="auto"/>
        <w:framePr w:w="5860" w:h="163" w:wrap="auto" w:vAnchor="page" w:hAnchor="page" w:x="280" w:y="2326"/>
        <w:rPr>
          <w:rFonts w:ascii="Arial" w:cs="Arial" w:eastAsia="Arial" w:hAnsi="Arial"/>
          <w:sz w:val="17"/>
          <w:szCs w:val="17"/>
          <w:b w:val="1"/>
          <w:bCs w:val="1"/>
          <w:color w:val="auto"/>
        </w:rPr>
      </w:pPr>
      <w:r>
        <w:rPr>
          <w:rFonts w:ascii="Arial" w:cs="Arial" w:eastAsia="Arial" w:hAnsi="Arial"/>
          <w:sz w:val="17"/>
          <w:szCs w:val="17"/>
          <w:b w:val="1"/>
          <w:bCs w:val="1"/>
          <w:color w:val="auto"/>
        </w:rPr>
        <w:t>September 30, 2020. Past performance is no guarantee of future results.</w:t>
      </w:r>
    </w:p>
    <w:p>
      <w:pPr>
        <w:spacing w:after="0" w:line="200" w:lineRule="exact"/>
        <w:rPr>
          <w:rFonts w:ascii="Arial" w:cs="Arial" w:eastAsia="Arial" w:hAnsi="Arial"/>
          <w:sz w:val="17"/>
          <w:szCs w:val="17"/>
          <w:b w:val="1"/>
          <w:bCs w:val="1"/>
          <w:color w:val="auto"/>
        </w:rPr>
      </w:pPr>
    </w:p>
    <w:p>
      <w:pPr>
        <w:spacing w:after="0" w:line="207" w:lineRule="exact"/>
        <w:rPr>
          <w:rFonts w:ascii="Arial" w:cs="Arial" w:eastAsia="Arial" w:hAnsi="Arial"/>
          <w:sz w:val="17"/>
          <w:szCs w:val="17"/>
          <w:b w:val="1"/>
          <w:b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1,2</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Multi-Asset</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83%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All Funds</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79%</w:t>
            </w:r>
          </w:p>
        </w:tc>
      </w:tr>
      <w:tr>
        <w:trPr>
          <w:trHeight w:val="111"/>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1,3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63%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Multi-Asset</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67%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4</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56%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68%</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All Composites</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r>
      <w:tr>
        <w:trPr>
          <w:trHeight w:val="148"/>
        </w:trPr>
        <w:tc>
          <w:tcPr>
            <w:tcW w:w="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40" w:type="dxa"/>
            <w:vAlign w:val="bottom"/>
            <w:gridSpan w:val="2"/>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2140" w:type="dxa"/>
            <w:vAlign w:val="bottom"/>
            <w:tcBorders>
              <w:bottom w:val="single" w:sz="8" w:color="CCEEFF"/>
            </w:tcBorders>
            <w:gridSpan w:val="2"/>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1,2</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92%</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49%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Multi-Asset</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91%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97%</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52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1,3</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34%</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Multi-Asset</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87%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96%</w:t>
            </w:r>
          </w:p>
        </w:tc>
      </w:tr>
      <w:tr>
        <w:trPr>
          <w:trHeight w:val="213"/>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All Funds</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77%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76%</w:t>
            </w:r>
          </w:p>
        </w:tc>
      </w:tr>
      <w:tr>
        <w:trPr>
          <w:trHeight w:val="111"/>
        </w:trPr>
        <w:tc>
          <w:tcPr>
            <w:tcW w:w="2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2140" w:type="dxa"/>
            <w:vAlign w:val="bottom"/>
            <w:gridSpan w:val="2"/>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38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4</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right="37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Equity</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78%</w:t>
            </w:r>
          </w:p>
        </w:tc>
      </w:tr>
      <w:tr>
        <w:trPr>
          <w:trHeight w:val="21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Fixed Income</w:t>
            </w:r>
          </w:p>
        </w:tc>
        <w:tc>
          <w:tcPr>
            <w:tcW w:w="128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99"/>
              </w:rPr>
              <w:t>44%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0"/>
        </w:trPr>
        <w:tc>
          <w:tcPr>
            <w:tcW w:w="20" w:type="dxa"/>
            <w:vAlign w:val="bottom"/>
          </w:tcPr>
          <w:p>
            <w:pPr>
              <w:spacing w:after="0"/>
              <w:rPr>
                <w:sz w:val="18"/>
                <w:szCs w:val="18"/>
                <w:color w:val="auto"/>
              </w:rPr>
            </w:pPr>
          </w:p>
        </w:tc>
        <w:tc>
          <w:tcPr>
            <w:tcW w:w="4380" w:type="dxa"/>
            <w:vAlign w:val="bottom"/>
            <w:gridSpan w:val="3"/>
          </w:tcPr>
          <w:p>
            <w:pPr>
              <w:ind w:left="200"/>
              <w:spacing w:after="0"/>
              <w:rPr>
                <w:sz w:val="20"/>
                <w:szCs w:val="20"/>
                <w:color w:val="auto"/>
              </w:rPr>
            </w:pPr>
            <w:r>
              <w:rPr>
                <w:rFonts w:ascii="Arial" w:cs="Arial" w:eastAsia="Arial" w:hAnsi="Arial"/>
                <w:sz w:val="16"/>
                <w:szCs w:val="16"/>
                <w:color w:val="auto"/>
              </w:rPr>
              <w:t>All Composites</w:t>
            </w:r>
          </w:p>
        </w:tc>
        <w:tc>
          <w:tcPr>
            <w:tcW w:w="1280" w:type="dxa"/>
            <w:vAlign w:val="bottom"/>
          </w:tcPr>
          <w:p>
            <w:pPr>
              <w:jc w:val="center"/>
              <w:ind w:right="399"/>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77%</w:t>
            </w:r>
          </w:p>
        </w:tc>
      </w:tr>
    </w:tbl>
    <w:p>
      <w:pPr>
        <w:spacing w:after="0" w:line="356" w:lineRule="exact"/>
        <w:rPr>
          <w:rFonts w:ascii="Arial" w:cs="Arial" w:eastAsia="Arial" w:hAnsi="Arial"/>
          <w:sz w:val="17"/>
          <w:szCs w:val="17"/>
          <w:b w:val="1"/>
          <w:bCs w:val="1"/>
          <w:color w:val="auto"/>
        </w:rPr>
      </w:pPr>
    </w:p>
    <w:p>
      <w:pPr>
        <w:ind w:right="40"/>
        <w:spacing w:after="0" w:line="229" w:lineRule="auto"/>
        <w:rPr>
          <w:sz w:val="20"/>
          <w:szCs w:val="20"/>
          <w:color w:val="auto"/>
        </w:rPr>
      </w:pPr>
      <w:r>
        <w:rPr>
          <w:rFonts w:ascii="Arial" w:cs="Arial" w:eastAsia="Arial" w:hAnsi="Arial"/>
          <w:sz w:val="18"/>
          <w:szCs w:val="18"/>
          <w:color w:val="auto"/>
        </w:rPr>
        <w:t>As of September 30, 2020, 74 of 124 (60%) of our rated U.S. mutual funds (across primary share classes) received an overall rating of 4 or 5 stars. By comparison, 32.5% of Morningstar's fund population is given a rate of four or five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85%</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our rated U.S. mutual funds (across primary share classes) ended the third quarter of 2020 with an overall rating of four or five stars.</w:t>
      </w:r>
    </w:p>
    <w:p>
      <w:pPr>
        <w:spacing w:after="0" w:line="271" w:lineRule="exact"/>
        <w:rPr>
          <w:rFonts w:ascii="Arial" w:cs="Arial" w:eastAsia="Arial" w:hAnsi="Arial"/>
          <w:sz w:val="17"/>
          <w:szCs w:val="17"/>
          <w:b w:val="1"/>
          <w:bCs w:val="1"/>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9" w:lineRule="exact"/>
        <w:rPr>
          <w:sz w:val="20"/>
          <w:szCs w:val="20"/>
          <w:color w:val="auto"/>
        </w:rPr>
      </w:pPr>
    </w:p>
    <w:p>
      <w:pPr>
        <w:ind w:right="200" w:firstLine="8"/>
        <w:spacing w:after="0" w:line="212" w:lineRule="auto"/>
        <w:tabs>
          <w:tab w:leader="none" w:pos="122" w:val="left"/>
        </w:tabs>
        <w:numPr>
          <w:ilvl w:val="0"/>
          <w:numId w:val="29"/>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2020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jc w:val="both"/>
        <w:ind w:right="60" w:firstLine="8"/>
        <w:spacing w:after="0" w:line="198" w:lineRule="auto"/>
        <w:tabs>
          <w:tab w:leader="none" w:pos="134" w:val="left"/>
        </w:tabs>
        <w:numPr>
          <w:ilvl w:val="0"/>
          <w:numId w:val="29"/>
        </w:numPr>
        <w:rPr>
          <w:rFonts w:ascii="Arial" w:cs="Arial" w:eastAsia="Arial" w:hAnsi="Arial"/>
          <w:sz w:val="15"/>
          <w:szCs w:val="15"/>
          <w:i w:val="1"/>
          <w:iCs w:val="1"/>
          <w:color w:val="auto"/>
          <w:vertAlign w:val="superscript"/>
        </w:rPr>
      </w:pPr>
      <w:r>
        <w:rPr>
          <w:rFonts w:ascii="Arial" w:cs="Arial" w:eastAsia="Arial" w:hAnsi="Arial"/>
          <w:sz w:val="12"/>
          <w:szCs w:val="12"/>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1-year, 3-year, 5-year, and 10-year track record that are outperforming the Morningstar category median. The bottom chart reflects the percentage of T. Rowe Price funds AUM that has outperformed for the time periods indicated. Total Fund AUM included for this analysis includes $456B for 1 year, $456B for 3 years, $456B for 5 years, and $449B for 10 years.</w:t>
      </w:r>
    </w:p>
    <w:p>
      <w:pPr>
        <w:spacing w:after="0" w:line="2" w:lineRule="exact"/>
        <w:rPr>
          <w:rFonts w:ascii="Arial" w:cs="Arial" w:eastAsia="Arial" w:hAnsi="Arial"/>
          <w:sz w:val="15"/>
          <w:szCs w:val="15"/>
          <w:i w:val="1"/>
          <w:iCs w:val="1"/>
          <w:color w:val="auto"/>
          <w:vertAlign w:val="superscript"/>
        </w:rPr>
      </w:pPr>
    </w:p>
    <w:p>
      <w:pPr>
        <w:ind w:firstLine="8"/>
        <w:spacing w:after="0" w:line="201" w:lineRule="auto"/>
        <w:tabs>
          <w:tab w:leader="none" w:pos="135"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1-year, 3-year, 5-year, and 10-year track record that are outperforming the passive peer universe. The bottom chart reflects the percentage of T. Rowe Price funds AUM that has outperformed for the time periods indicated. Total AUM included for this analysis includes $436B for 1 year, $396B for 3 years, $394B for 5 years, and $377B for 10 years.</w:t>
      </w:r>
    </w:p>
    <w:p>
      <w:pPr>
        <w:ind w:right="80"/>
        <w:spacing w:after="0" w:line="184" w:lineRule="auto"/>
        <w:rPr>
          <w:rFonts w:ascii="Arial" w:cs="Arial" w:eastAsia="Arial" w:hAnsi="Arial"/>
          <w:sz w:val="15"/>
          <w:szCs w:val="15"/>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1-year, 3-year, 5-year, and 10-year track record that are outperforming their benchmarks. The bottom chart reflects the percentage of T. Rowe Price composite AUM that has outperformed for the time periods indicated. Total AUM included for this analysis includes $1,207B for 1 year, $1,195B for 3 years, $1,180B for 5 years, and $1,146B for 10 years.</w:t>
      </w:r>
    </w:p>
    <w:p>
      <w:pPr>
        <w:spacing w:after="0" w:line="1" w:lineRule="exact"/>
        <w:rPr>
          <w:rFonts w:ascii="Arial" w:cs="Arial" w:eastAsia="Arial" w:hAnsi="Arial"/>
          <w:sz w:val="15"/>
          <w:szCs w:val="15"/>
          <w:color w:val="auto"/>
          <w:vertAlign w:val="superscript"/>
        </w:rPr>
      </w:pPr>
    </w:p>
    <w:p>
      <w:pPr>
        <w:jc w:val="both"/>
        <w:ind w:right="120" w:firstLine="8"/>
        <w:spacing w:after="0" w:line="211" w:lineRule="auto"/>
        <w:tabs>
          <w:tab w:leader="none" w:pos="135" w:val="left"/>
        </w:tabs>
        <w:numPr>
          <w:ilvl w:val="0"/>
          <w:numId w:val="30"/>
        </w:numPr>
        <w:rPr>
          <w:rFonts w:ascii="Arial" w:cs="Arial" w:eastAsia="Arial" w:hAnsi="Arial"/>
          <w:sz w:val="15"/>
          <w:szCs w:val="15"/>
          <w:color w:val="auto"/>
          <w:vertAlign w:val="superscript"/>
        </w:rPr>
      </w:pPr>
      <w:r>
        <w:rPr>
          <w:rFonts w:ascii="Arial" w:cs="Arial" w:eastAsia="Arial" w:hAnsi="Arial"/>
          <w:sz w:val="12"/>
          <w:szCs w:val="12"/>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 10% get 5 stars and 22.5% get 4 stars). The Overall Morningstar Rating™ is derived from a weighted average of the performance figures associated with a fund’s 3-, 5-, and 10-year (if applicable) Morningstar Rating™ metrics.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5" w:lineRule="exact"/>
        <w:rPr>
          <w:sz w:val="20"/>
          <w:szCs w:val="20"/>
          <w:color w:val="auto"/>
        </w:rPr>
      </w:pPr>
    </w:p>
    <w:p>
      <w:pPr>
        <w:ind w:right="480"/>
        <w:spacing w:after="0" w:line="360"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third quarter of 2020 with the U.S. Securities and Exchange Commission later today. The</w:t>
      </w:r>
    </w:p>
    <w:p>
      <w:pPr>
        <w:ind w:right="2920"/>
        <w:spacing w:after="0" w:line="371" w:lineRule="auto"/>
        <w:rPr>
          <w:sz w:val="20"/>
          <w:szCs w:val="20"/>
          <w:color w:val="auto"/>
        </w:rPr>
      </w:pPr>
      <w:r>
        <w:rPr>
          <w:rFonts w:ascii="Arial" w:cs="Arial" w:eastAsia="Arial" w:hAnsi="Arial"/>
          <w:sz w:val="18"/>
          <w:szCs w:val="18"/>
          <w:color w:val="auto"/>
        </w:rPr>
        <w:t>Form 10-Q will include additional information on the firm's unaudited consolidated financial statements at September 30, 2020.</w:t>
      </w:r>
    </w:p>
    <w:p>
      <w:pPr>
        <w:spacing w:after="0" w:line="224" w:lineRule="exact"/>
        <w:rPr>
          <w:sz w:val="20"/>
          <w:szCs w:val="20"/>
          <w:color w:val="auto"/>
        </w:rPr>
      </w:pPr>
    </w:p>
    <w:p>
      <w:pPr>
        <w:ind w:right="40"/>
        <w:spacing w:after="0" w:line="362"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Form 10-Q for the third quarter for 2020 and 2019 Annual Report on Form 10-K.</w:t>
      </w:r>
    </w:p>
    <w:p>
      <w:pPr>
        <w:spacing w:after="0" w:line="211" w:lineRule="exact"/>
        <w:rPr>
          <w:sz w:val="20"/>
          <w:szCs w:val="20"/>
          <w:color w:val="auto"/>
        </w:rPr>
      </w:pPr>
    </w:p>
    <w:p>
      <w:pPr>
        <w:ind w:right="140"/>
        <w:spacing w:after="0" w:line="372"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054C70"/>
              </w:rPr>
              <w:t>Public Relations</w:t>
            </w:r>
          </w:p>
        </w:tc>
        <w:tc>
          <w:tcPr>
            <w:tcW w:w="5220" w:type="dxa"/>
            <w:vAlign w:val="bottom"/>
            <w:gridSpan w:val="3"/>
          </w:tcPr>
          <w:p>
            <w:pPr>
              <w:ind w:left="2260"/>
              <w:spacing w:after="0"/>
              <w:rPr>
                <w:sz w:val="20"/>
                <w:szCs w:val="20"/>
                <w:color w:val="auto"/>
              </w:rPr>
            </w:pPr>
            <w:r>
              <w:rPr>
                <w:rFonts w:ascii="Arial" w:cs="Arial" w:eastAsia="Arial" w:hAnsi="Arial"/>
                <w:sz w:val="18"/>
                <w:szCs w:val="18"/>
                <w:b w:val="1"/>
                <w:bCs w:val="1"/>
                <w:color w:val="054C70"/>
              </w:rPr>
              <w:t>Investor Relations</w:t>
            </w:r>
          </w:p>
        </w:tc>
      </w:tr>
      <w:tr>
        <w:trPr>
          <w:trHeight w:val="250"/>
        </w:trPr>
        <w:tc>
          <w:tcPr>
            <w:tcW w:w="20" w:type="dxa"/>
            <w:vAlign w:val="bottom"/>
          </w:tcPr>
          <w:p>
            <w:pPr>
              <w:spacing w:after="0"/>
              <w:rPr>
                <w:sz w:val="21"/>
                <w:szCs w:val="21"/>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Meghan Azevedo</w:t>
            </w:r>
          </w:p>
        </w:tc>
        <w:tc>
          <w:tcPr>
            <w:tcW w:w="1400" w:type="dxa"/>
            <w:vAlign w:val="bottom"/>
          </w:tcPr>
          <w:p>
            <w:pPr>
              <w:spacing w:after="0"/>
              <w:rPr>
                <w:sz w:val="21"/>
                <w:szCs w:val="21"/>
                <w:color w:val="auto"/>
              </w:rPr>
            </w:pPr>
          </w:p>
        </w:tc>
      </w:tr>
      <w:tr>
        <w:trPr>
          <w:trHeight w:val="220"/>
        </w:trPr>
        <w:tc>
          <w:tcPr>
            <w:tcW w:w="1420" w:type="dxa"/>
            <w:vAlign w:val="bottom"/>
            <w:gridSpan w:val="2"/>
          </w:tcPr>
          <w:p>
            <w:pPr>
              <w:ind w:left="20"/>
              <w:spacing w:after="0"/>
              <w:rPr>
                <w:sz w:val="20"/>
                <w:szCs w:val="20"/>
                <w:color w:val="auto"/>
              </w:rPr>
            </w:pPr>
            <w:r>
              <w:rPr>
                <w:rFonts w:ascii="Arial" w:cs="Arial" w:eastAsia="Arial" w:hAnsi="Arial"/>
                <w:sz w:val="18"/>
                <w:szCs w:val="18"/>
                <w:color w:val="3B3B3B"/>
              </w:rPr>
              <w:t>410-345-2242</w:t>
            </w:r>
          </w:p>
        </w:tc>
        <w:tc>
          <w:tcPr>
            <w:tcW w:w="2700" w:type="dxa"/>
            <w:vAlign w:val="bottom"/>
          </w:tcPr>
          <w:p>
            <w:pPr>
              <w:spacing w:after="0"/>
              <w:rPr>
                <w:sz w:val="19"/>
                <w:szCs w:val="19"/>
                <w:color w:val="auto"/>
              </w:rPr>
            </w:pPr>
          </w:p>
        </w:tc>
        <w:tc>
          <w:tcPr>
            <w:tcW w:w="3820" w:type="dxa"/>
            <w:vAlign w:val="bottom"/>
            <w:gridSpan w:val="2"/>
          </w:tcPr>
          <w:p>
            <w:pPr>
              <w:ind w:left="2260"/>
              <w:spacing w:after="0"/>
              <w:rPr>
                <w:sz w:val="20"/>
                <w:szCs w:val="20"/>
                <w:color w:val="auto"/>
              </w:rPr>
            </w:pPr>
            <w:r>
              <w:rPr>
                <w:rFonts w:ascii="Arial" w:cs="Arial" w:eastAsia="Arial" w:hAnsi="Arial"/>
                <w:sz w:val="18"/>
                <w:szCs w:val="18"/>
                <w:color w:val="3B3B3B"/>
              </w:rPr>
              <w:t>410-345-2756</w:t>
            </w:r>
          </w:p>
        </w:tc>
        <w:tc>
          <w:tcPr>
            <w:tcW w:w="14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5220" w:type="dxa"/>
            <w:vAlign w:val="bottom"/>
            <w:gridSpan w:val="3"/>
          </w:tcPr>
          <w:p>
            <w:pPr>
              <w:ind w:left="2260"/>
              <w:spacing w:after="0"/>
              <w:rPr>
                <w:sz w:val="20"/>
                <w:szCs w:val="20"/>
                <w:color w:val="auto"/>
              </w:rPr>
            </w:pPr>
            <w:r>
              <w:rPr>
                <w:rFonts w:ascii="Arial" w:cs="Arial" w:eastAsia="Arial" w:hAnsi="Arial"/>
                <w:sz w:val="18"/>
                <w:szCs w:val="18"/>
                <w:b w:val="1"/>
                <w:bCs w:val="1"/>
                <w:color w:val="054C70"/>
                <w:w w:val="99"/>
              </w:rPr>
              <w:t>meghan.azevedo@troweprice.com</w:t>
            </w:r>
          </w:p>
        </w:tc>
      </w:tr>
      <w:tr>
        <w:trPr>
          <w:trHeight w:val="56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60" w:type="dxa"/>
            <w:vAlign w:val="bottom"/>
          </w:tcPr>
          <w:p>
            <w:pPr>
              <w:jc w:val="right"/>
              <w:ind w:right="610"/>
              <w:spacing w:after="0"/>
              <w:rPr>
                <w:sz w:val="20"/>
                <w:szCs w:val="20"/>
                <w:color w:val="auto"/>
              </w:rPr>
            </w:pPr>
            <w:r>
              <w:rPr>
                <w:rFonts w:ascii="Arial" w:cs="Arial" w:eastAsia="Arial" w:hAnsi="Arial"/>
                <w:sz w:val="18"/>
                <w:szCs w:val="18"/>
                <w:color w:val="auto"/>
              </w:rPr>
              <w:t>9</w:t>
            </w:r>
          </w:p>
        </w:tc>
        <w:tc>
          <w:tcPr>
            <w:tcW w:w="15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63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380" w:type="dxa"/>
            <w:vAlign w:val="bottom"/>
            <w:tcBorders>
              <w:bottom w:val="single" w:sz="8" w:color="auto"/>
            </w:tcBorders>
            <w:gridSpan w:val="6"/>
            <w:shd w:val="clear" w:color="auto" w:fill="CCEEFF"/>
          </w:tcPr>
          <w:p>
            <w:pPr>
              <w:jc w:val="center"/>
              <w:ind w:right="160"/>
              <w:spacing w:after="0"/>
              <w:rPr>
                <w:sz w:val="20"/>
                <w:szCs w:val="20"/>
                <w:color w:val="auto"/>
              </w:rPr>
            </w:pPr>
            <w:r>
              <w:rPr>
                <w:rFonts w:ascii="Arial" w:cs="Arial" w:eastAsia="Arial" w:hAnsi="Arial"/>
                <w:sz w:val="14"/>
                <w:szCs w:val="14"/>
                <w:color w:val="auto"/>
              </w:rPr>
              <w:t>Three months ended</w:t>
            </w:r>
          </w:p>
        </w:tc>
        <w:tc>
          <w:tcPr>
            <w:tcW w:w="16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4"/>
            <w:shd w:val="clear" w:color="auto" w:fill="CCEEFF"/>
          </w:tcPr>
          <w:p>
            <w:pPr>
              <w:jc w:val="right"/>
              <w:ind w:right="468"/>
              <w:spacing w:after="0"/>
              <w:rPr>
                <w:sz w:val="20"/>
                <w:szCs w:val="20"/>
                <w:color w:val="auto"/>
              </w:rPr>
            </w:pPr>
            <w:r>
              <w:rPr>
                <w:rFonts w:ascii="Arial" w:cs="Arial" w:eastAsia="Arial" w:hAnsi="Arial"/>
                <w:sz w:val="14"/>
                <w:szCs w:val="14"/>
                <w:color w:val="auto"/>
              </w:rPr>
              <w:t>Nine months ended</w:t>
            </w:r>
          </w:p>
        </w:tc>
      </w:tr>
      <w:tr>
        <w:trPr>
          <w:trHeight w:val="18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9/30/2020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9/30/2019</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9/30/2020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9/30/2019</w:t>
            </w:r>
          </w:p>
        </w:tc>
      </w:tr>
      <w:tr>
        <w:trPr>
          <w:trHeight w:val="183"/>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3,767.8</w:t>
            </w:r>
          </w:p>
        </w:tc>
      </w:tr>
      <w:tr>
        <w:trPr>
          <w:trHeight w:val="189"/>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Administrative, distribution, and servicing fees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w:t>
            </w:r>
          </w:p>
        </w:tc>
      </w:tr>
      <w:tr>
        <w:trPr>
          <w:trHeight w:val="183"/>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revenues</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1,595.8</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1,426.7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4,473.8</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4,149.2</w:t>
            </w:r>
          </w:p>
        </w:tc>
      </w:tr>
      <w:tr>
        <w:trPr>
          <w:trHeight w:val="34"/>
        </w:trPr>
        <w:tc>
          <w:tcPr>
            <w:tcW w:w="6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6380" w:type="dxa"/>
            <w:vAlign w:val="bottom"/>
          </w:tcPr>
          <w:p>
            <w:pPr>
              <w:ind w:left="120"/>
              <w:spacing w:after="0"/>
              <w:rPr>
                <w:sz w:val="20"/>
                <w:szCs w:val="20"/>
                <w:color w:val="auto"/>
              </w:rPr>
            </w:pPr>
            <w:r>
              <w:rPr>
                <w:rFonts w:ascii="Arial" w:cs="Arial" w:eastAsia="Arial" w:hAnsi="Arial"/>
                <w:sz w:val="14"/>
                <w:szCs w:val="14"/>
                <w:color w:val="auto"/>
              </w:rPr>
              <w:t>Compensation and related costs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466.3</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1,441.0</w:t>
            </w:r>
          </w:p>
        </w:tc>
      </w:tr>
      <w:tr>
        <w:trPr>
          <w:trHeight w:val="189"/>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 and servicing</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r>
      <w:tr>
        <w:trPr>
          <w:trHeight w:val="189"/>
        </w:trPr>
        <w:tc>
          <w:tcPr>
            <w:tcW w:w="6380" w:type="dxa"/>
            <w:vAlign w:val="bottom"/>
          </w:tcPr>
          <w:p>
            <w:pPr>
              <w:ind w:left="120"/>
              <w:spacing w:after="0"/>
              <w:rPr>
                <w:sz w:val="20"/>
                <w:szCs w:val="20"/>
                <w:color w:val="auto"/>
              </w:rPr>
            </w:pPr>
            <w:r>
              <w:rPr>
                <w:rFonts w:ascii="Arial" w:cs="Arial" w:eastAsia="Arial" w:hAnsi="Arial"/>
                <w:sz w:val="14"/>
                <w:szCs w:val="14"/>
                <w:color w:val="auto"/>
              </w:rPr>
              <w:t>Advertising and promotion</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58.5</w:t>
            </w:r>
          </w:p>
        </w:tc>
      </w:tr>
      <w:tr>
        <w:trPr>
          <w:trHeight w:val="189"/>
        </w:trPr>
        <w:tc>
          <w:tcPr>
            <w:tcW w:w="6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Product-related costs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w:t>
            </w:r>
          </w:p>
        </w:tc>
      </w:tr>
      <w:tr>
        <w:trPr>
          <w:trHeight w:val="189"/>
        </w:trPr>
        <w:tc>
          <w:tcPr>
            <w:tcW w:w="6380" w:type="dxa"/>
            <w:vAlign w:val="bottom"/>
          </w:tcPr>
          <w:p>
            <w:pPr>
              <w:ind w:left="120"/>
              <w:spacing w:after="0"/>
              <w:rPr>
                <w:sz w:val="20"/>
                <w:szCs w:val="20"/>
                <w:color w:val="auto"/>
              </w:rPr>
            </w:pPr>
            <w:r>
              <w:rPr>
                <w:rFonts w:ascii="Arial" w:cs="Arial" w:eastAsia="Arial" w:hAnsi="Arial"/>
                <w:sz w:val="14"/>
                <w:szCs w:val="14"/>
                <w:color w:val="auto"/>
              </w:rPr>
              <w:t>Technology, occupancy, and facility costs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106.5</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309.5</w:t>
            </w:r>
          </w:p>
        </w:tc>
      </w:tr>
      <w:tr>
        <w:trPr>
          <w:trHeight w:val="189"/>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administrative, and other</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w:t>
            </w:r>
          </w:p>
        </w:tc>
      </w:tr>
      <w:tr>
        <w:trPr>
          <w:trHeight w:val="183"/>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866.9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767.6</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2,484.0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2,342.5</w:t>
            </w:r>
          </w:p>
        </w:tc>
      </w:tr>
      <w:tr>
        <w:trPr>
          <w:trHeight w:val="88"/>
        </w:trPr>
        <w:tc>
          <w:tcPr>
            <w:tcW w:w="6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728.9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659.1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1,989.8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1,806.7</w:t>
            </w:r>
          </w:p>
        </w:tc>
      </w:tr>
      <w:tr>
        <w:trPr>
          <w:trHeight w:val="108"/>
        </w:trPr>
        <w:tc>
          <w:tcPr>
            <w:tcW w:w="6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gains on investments</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w:t>
            </w:r>
          </w:p>
        </w:tc>
      </w:tr>
      <w:tr>
        <w:trPr>
          <w:trHeight w:val="189"/>
        </w:trPr>
        <w:tc>
          <w:tcPr>
            <w:tcW w:w="6380" w:type="dxa"/>
            <w:vAlign w:val="bottom"/>
          </w:tcPr>
          <w:p>
            <w:pPr>
              <w:ind w:left="120"/>
              <w:spacing w:after="0"/>
              <w:rPr>
                <w:sz w:val="20"/>
                <w:szCs w:val="20"/>
                <w:color w:val="auto"/>
              </w:rPr>
            </w:pPr>
            <w:r>
              <w:rPr>
                <w:rFonts w:ascii="Arial" w:cs="Arial" w:eastAsia="Arial" w:hAnsi="Arial"/>
                <w:sz w:val="14"/>
                <w:szCs w:val="14"/>
                <w:color w:val="auto"/>
              </w:rPr>
              <w:t>Net gains on consolidated investment products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176.3</w:t>
            </w:r>
          </w:p>
        </w:tc>
      </w:tr>
      <w:tr>
        <w:trPr>
          <w:trHeight w:val="189"/>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(loss)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370.3</w:t>
            </w:r>
          </w:p>
        </w:tc>
      </w:tr>
      <w:tr>
        <w:trPr>
          <w:trHeight w:val="88"/>
        </w:trPr>
        <w:tc>
          <w:tcPr>
            <w:tcW w:w="6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702.1</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2,096.2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2,177.0</w:t>
            </w:r>
          </w:p>
        </w:tc>
      </w:tr>
      <w:tr>
        <w:trPr>
          <w:trHeight w:val="189"/>
        </w:trPr>
        <w:tc>
          <w:tcPr>
            <w:tcW w:w="6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522.0</w:t>
            </w: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698.6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545.1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1,593.7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1,655.0</w:t>
            </w:r>
          </w:p>
        </w:tc>
      </w:tr>
      <w:tr>
        <w:trPr>
          <w:trHeight w:val="189"/>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 Group</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643.2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545.9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1,589.3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1,586.0</w:t>
            </w:r>
          </w:p>
        </w:tc>
      </w:tr>
      <w:tr>
        <w:trPr>
          <w:trHeight w:val="189"/>
        </w:trPr>
        <w:tc>
          <w:tcPr>
            <w:tcW w:w="6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r>
      <w:tr>
        <w:trPr>
          <w:trHeight w:val="183"/>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Net income allocated to T. Rowe Price Group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625.3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532.0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1,545.2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1,545.3</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9"/>
        </w:trPr>
        <w:tc>
          <w:tcPr>
            <w:tcW w:w="6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6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80" w:type="dxa"/>
            <w:vAlign w:val="bottom"/>
          </w:tcPr>
          <w:p>
            <w:pPr>
              <w:ind w:left="120"/>
              <w:spacing w:after="0"/>
              <w:rPr>
                <w:sz w:val="20"/>
                <w:szCs w:val="20"/>
                <w:color w:val="auto"/>
              </w:rPr>
            </w:pPr>
            <w:r>
              <w:rPr>
                <w:rFonts w:ascii="Arial" w:cs="Arial" w:eastAsia="Arial" w:hAnsi="Arial"/>
                <w:sz w:val="14"/>
                <w:szCs w:val="14"/>
                <w:b w:val="1"/>
                <w:bCs w:val="1"/>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6.66</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6.47</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89"/>
        </w:trPr>
        <w:tc>
          <w:tcPr>
            <w:tcW w:w="638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4"/>
        </w:trPr>
        <w:tc>
          <w:tcPr>
            <w:tcW w:w="6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80" w:type="dxa"/>
            <w:vAlign w:val="bottom"/>
          </w:tcPr>
          <w:p>
            <w:pPr>
              <w:ind w:left="120"/>
              <w:spacing w:after="0"/>
              <w:rPr>
                <w:sz w:val="20"/>
                <w:szCs w:val="20"/>
                <w:color w:val="auto"/>
              </w:rPr>
            </w:pPr>
            <w:r>
              <w:rPr>
                <w:rFonts w:ascii="Arial" w:cs="Arial" w:eastAsia="Arial" w:hAnsi="Arial"/>
                <w:sz w:val="14"/>
                <w:szCs w:val="14"/>
                <w:color w:val="auto"/>
              </w:rPr>
              <w:t>Outstanding assuming dilution</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3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table presents investment advisory revenues for the three- and nine-month periods ended</w:t>
      </w:r>
    </w:p>
    <w:p>
      <w:pPr>
        <w:spacing w:after="0" w:line="104" w:lineRule="exact"/>
        <w:rPr>
          <w:sz w:val="20"/>
          <w:szCs w:val="20"/>
          <w:color w:val="auto"/>
        </w:rPr>
      </w:pPr>
    </w:p>
    <w:p>
      <w:pPr>
        <w:ind w:right="300"/>
        <w:spacing w:after="0" w:line="371" w:lineRule="auto"/>
        <w:rPr>
          <w:sz w:val="20"/>
          <w:szCs w:val="20"/>
          <w:color w:val="auto"/>
        </w:rPr>
      </w:pPr>
      <w:r>
        <w:rPr>
          <w:rFonts w:ascii="Arial" w:cs="Arial" w:eastAsia="Arial" w:hAnsi="Arial"/>
          <w:sz w:val="18"/>
          <w:szCs w:val="18"/>
          <w:color w:val="auto"/>
        </w:rPr>
        <w:t>September 30, 2020 and 2019, including a separate break out of revenue earned from our multi-asset portfolios. Prior year amounts have been recast to conform with the current year presentation.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Advisory Revenues (in millions)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gridSpan w:val="7"/>
            <w:shd w:val="clear" w:color="auto" w:fill="CCEEFF"/>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160" w:type="dxa"/>
            <w:vAlign w:val="bottom"/>
            <w:tcBorders>
              <w:bottom w:val="single" w:sz="8" w:color="auto"/>
            </w:tcBorders>
            <w:gridSpan w:val="9"/>
            <w:shd w:val="clear" w:color="auto" w:fill="CCEEFF"/>
          </w:tcPr>
          <w:p>
            <w:pPr>
              <w:jc w:val="right"/>
              <w:ind w:right="488"/>
              <w:spacing w:after="0"/>
              <w:rPr>
                <w:sz w:val="20"/>
                <w:szCs w:val="20"/>
                <w:color w:val="auto"/>
              </w:rPr>
            </w:pPr>
            <w:r>
              <w:rPr>
                <w:rFonts w:ascii="Arial" w:cs="Arial" w:eastAsia="Arial" w:hAnsi="Arial"/>
                <w:sz w:val="14"/>
                <w:szCs w:val="14"/>
                <w:color w:val="auto"/>
              </w:rPr>
              <w:t>Nine months ended</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6"/>
          </w:tcPr>
          <w:p>
            <w:pPr>
              <w:jc w:val="right"/>
              <w:ind w:right="288"/>
              <w:spacing w:after="0"/>
              <w:rPr>
                <w:sz w:val="20"/>
                <w:szCs w:val="20"/>
                <w:color w:val="auto"/>
              </w:rPr>
            </w:pPr>
            <w:r>
              <w:rPr>
                <w:rFonts w:ascii="Arial" w:cs="Arial" w:eastAsia="Arial" w:hAnsi="Arial"/>
                <w:sz w:val="14"/>
                <w:szCs w:val="14"/>
                <w:color w:val="auto"/>
              </w:rPr>
              <w:t>9/30/2020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9/30/2019</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9/30/2020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9/30/2019</w:t>
            </w:r>
          </w:p>
        </w:tc>
        <w:tc>
          <w:tcPr>
            <w:tcW w:w="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mutual funds</w:t>
            </w:r>
          </w:p>
        </w:tc>
        <w:tc>
          <w:tcPr>
            <w:tcW w:w="1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right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880" w:type="dxa"/>
            <w:vAlign w:val="bottom"/>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636.3</w:t>
            </w:r>
          </w:p>
        </w:tc>
        <w:tc>
          <w:tcPr>
            <w:tcW w:w="4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570.2</w:t>
            </w: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2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1,750.6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1,641.4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70.7</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205.1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240.1</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right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683.1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707.6</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939.5</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881.0</w:t>
            </w:r>
          </w:p>
        </w:tc>
        <w:tc>
          <w:tcPr>
            <w:tcW w:w="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2,638.8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2,557.6</w:t>
            </w:r>
          </w:p>
        </w:tc>
        <w:tc>
          <w:tcPr>
            <w:tcW w:w="2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5100" w:type="dxa"/>
            <w:vAlign w:val="bottom"/>
            <w:gridSpan w:val="4"/>
          </w:tcPr>
          <w:p>
            <w:pPr>
              <w:ind w:left="20"/>
              <w:spacing w:after="0" w:line="133" w:lineRule="exact"/>
              <w:rPr>
                <w:sz w:val="20"/>
                <w:szCs w:val="20"/>
                <w:color w:val="auto"/>
              </w:rPr>
            </w:pPr>
            <w:r>
              <w:rPr>
                <w:rFonts w:ascii="Arial" w:cs="Arial" w:eastAsia="Arial" w:hAnsi="Arial"/>
                <w:sz w:val="14"/>
                <w:szCs w:val="14"/>
                <w:color w:val="auto"/>
              </w:rPr>
              <w:t>Subadvised funds, separate accounts, collective investment trusts, and other</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3880" w:type="dxa"/>
            <w:vAlign w:val="bottom"/>
          </w:tcPr>
          <w:p>
            <w:pPr>
              <w:ind w:left="20"/>
              <w:spacing w:after="0"/>
              <w:rPr>
                <w:sz w:val="20"/>
                <w:szCs w:val="20"/>
                <w:color w:val="auto"/>
              </w:rPr>
            </w:pPr>
            <w:r>
              <w:rPr>
                <w:rFonts w:ascii="Arial" w:cs="Arial" w:eastAsia="Arial" w:hAnsi="Arial"/>
                <w:sz w:val="14"/>
                <w:szCs w:val="14"/>
                <w:color w:val="auto"/>
              </w:rPr>
              <w:t>investment products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259.5</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924.7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39.7</w:t>
            </w: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110.3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123.2</w:t>
            </w:r>
          </w:p>
        </w:tc>
        <w:tc>
          <w:tcPr>
            <w:tcW w:w="2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417.1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343.2</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529.8</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422.4</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1,452.1</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1,210.2</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1,469.3</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1,303.4</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4,090.9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3,767.8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 Under Management (in billions)</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5"/>
            <w:shd w:val="clear" w:color="auto" w:fill="CCEEFF"/>
          </w:tcPr>
          <w:p>
            <w:pPr>
              <w:jc w:val="right"/>
              <w:ind w:right="188"/>
              <w:spacing w:after="0"/>
              <w:rPr>
                <w:sz w:val="20"/>
                <w:szCs w:val="20"/>
                <w:color w:val="auto"/>
              </w:rPr>
            </w:pPr>
            <w:r>
              <w:rPr>
                <w:rFonts w:ascii="Arial" w:cs="Arial" w:eastAsia="Arial" w:hAnsi="Arial"/>
                <w:sz w:val="14"/>
                <w:szCs w:val="14"/>
                <w:color w:val="auto"/>
              </w:rPr>
              <w:t>Average during</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tcBorders>
              <w:right w:val="single" w:sz="8" w:color="auto"/>
            </w:tcBorders>
            <w:gridSpan w:val="6"/>
          </w:tcPr>
          <w:p>
            <w:pPr>
              <w:ind w:left="32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9"/>
          </w:tcPr>
          <w:p>
            <w:pPr>
              <w:jc w:val="right"/>
              <w:ind w:right="460"/>
              <w:spacing w:after="0"/>
              <w:rPr>
                <w:sz w:val="20"/>
                <w:szCs w:val="20"/>
                <w:color w:val="auto"/>
              </w:rPr>
            </w:pPr>
            <w:r>
              <w:rPr>
                <w:rFonts w:ascii="Arial" w:cs="Arial" w:eastAsia="Arial" w:hAnsi="Arial"/>
                <w:sz w:val="14"/>
                <w:szCs w:val="14"/>
                <w:color w:val="auto"/>
              </w:rPr>
              <w:t>Nine months ended</w:t>
            </w:r>
          </w:p>
        </w:tc>
        <w:tc>
          <w:tcPr>
            <w:tcW w:w="18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color w:val="auto"/>
              </w:rPr>
              <w:t>As of</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9/30/2020</w:t>
            </w: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9/30/2019</w:t>
            </w: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9/30/2020</w:t>
            </w: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w w:val="99"/>
              </w:rPr>
              <w:t>9/30/2019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9/30/2020</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12/31/2019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U.S. mutual funds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384.4</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398.9</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371.5</w:t>
            </w:r>
          </w:p>
        </w:tc>
        <w:tc>
          <w:tcPr>
            <w:tcW w:w="180" w:type="dxa"/>
            <w:vAlign w:val="bottom"/>
            <w:tcBorders>
              <w:right w:val="single" w:sz="8" w:color="auto"/>
            </w:tcBorders>
            <w:shd w:val="clear" w:color="auto" w:fill="CCEEFF"/>
          </w:tcPr>
          <w:p>
            <w:pPr>
              <w:spacing w:after="0"/>
              <w:rPr>
                <w:sz w:val="16"/>
                <w:szCs w:val="16"/>
                <w:color w:val="auto"/>
              </w:rPr>
            </w:pPr>
          </w:p>
        </w:tc>
        <w:tc>
          <w:tcPr>
            <w:tcW w:w="2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442.3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80" w:type="dxa"/>
            <w:vAlign w:val="bottom"/>
          </w:tcPr>
          <w:p>
            <w:pPr>
              <w:ind w:left="10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73.3</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71.3</w:t>
            </w: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color w:val="auto"/>
                <w:w w:val="95"/>
              </w:rPr>
              <w:t>77.6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73.7</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192.8</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189.1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3"/>
            <w:shd w:val="clear" w:color="auto" w:fill="CCEEFF"/>
          </w:tcPr>
          <w:p>
            <w:pPr>
              <w:ind w:left="440"/>
              <w:spacing w:after="0"/>
              <w:rPr>
                <w:sz w:val="20"/>
                <w:szCs w:val="20"/>
                <w:color w:val="auto"/>
              </w:rPr>
            </w:pPr>
            <w:r>
              <w:rPr>
                <w:rFonts w:ascii="Arial" w:cs="Arial" w:eastAsia="Arial" w:hAnsi="Arial"/>
                <w:sz w:val="14"/>
                <w:szCs w:val="14"/>
                <w:color w:val="auto"/>
              </w:rPr>
              <w:t>190.4</w:t>
            </w:r>
          </w:p>
        </w:tc>
        <w:tc>
          <w:tcPr>
            <w:tcW w:w="180" w:type="dxa"/>
            <w:vAlign w:val="bottom"/>
            <w:tcBorders>
              <w:bottom w:val="single" w:sz="8" w:color="auto"/>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auto"/>
            </w:tcBorders>
            <w:shd w:val="clear" w:color="auto" w:fill="CCEEFF"/>
          </w:tcPr>
          <w:p>
            <w:pPr>
              <w:spacing w:after="0"/>
              <w:rPr>
                <w:sz w:val="16"/>
                <w:szCs w:val="16"/>
                <w:color w:val="auto"/>
              </w:rPr>
            </w:pPr>
          </w:p>
        </w:tc>
      </w:tr>
      <w:tr>
        <w:trPr>
          <w:trHeight w:val="222"/>
        </w:trPr>
        <w:tc>
          <w:tcPr>
            <w:tcW w:w="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650.5</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664.0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color w:val="auto"/>
              </w:rPr>
              <w:t>633.2</w:t>
            </w:r>
          </w:p>
        </w:tc>
        <w:tc>
          <w:tcPr>
            <w:tcW w:w="18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716.2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682.7</w:t>
            </w:r>
          </w:p>
        </w:tc>
        <w:tc>
          <w:tcPr>
            <w:tcW w:w="20" w:type="dxa"/>
            <w:vAlign w:val="bottom"/>
            <w:tcBorders>
              <w:bottom w:val="single" w:sz="8" w:color="auto"/>
            </w:tcBorders>
          </w:tcPr>
          <w:p>
            <w:pPr>
              <w:spacing w:after="0"/>
              <w:rPr>
                <w:sz w:val="18"/>
                <w:szCs w:val="18"/>
                <w:color w:val="auto"/>
              </w:rPr>
            </w:pPr>
          </w:p>
        </w:tc>
      </w:tr>
      <w:tr>
        <w:trPr>
          <w:trHeight w:val="153"/>
        </w:trPr>
        <w:tc>
          <w:tcPr>
            <w:tcW w:w="20" w:type="dxa"/>
            <w:vAlign w:val="bottom"/>
            <w:tcBorders>
              <w:top w:val="single" w:sz="8" w:color="CCEEFF"/>
            </w:tcBorders>
          </w:tcPr>
          <w:p>
            <w:pPr>
              <w:spacing w:after="0"/>
              <w:rPr>
                <w:sz w:val="13"/>
                <w:szCs w:val="13"/>
                <w:color w:val="auto"/>
              </w:rPr>
            </w:pPr>
          </w:p>
        </w:tc>
        <w:tc>
          <w:tcPr>
            <w:tcW w:w="38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Subadvised funds, separate accounts, collective investment</w:t>
            </w:r>
          </w:p>
        </w:tc>
        <w:tc>
          <w:tcPr>
            <w:tcW w:w="18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140" w:type="dxa"/>
            <w:vAlign w:val="bottom"/>
            <w:tcBorders>
              <w:top w:val="single" w:sz="8" w:color="CCEEFF"/>
              <w:right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80" w:type="dxa"/>
            <w:vAlign w:val="bottom"/>
            <w:tcBorders>
              <w:top w:val="single" w:sz="8" w:color="CCEEFF"/>
              <w:right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trusts, and other investment products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262.4</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251.1</w:t>
            </w:r>
          </w:p>
        </w:tc>
        <w:tc>
          <w:tcPr>
            <w:tcW w:w="18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80" w:type="dxa"/>
            <w:vAlign w:val="bottom"/>
          </w:tcPr>
          <w:p>
            <w:pPr>
              <w:ind w:left="10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80.9</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78.9</w:t>
            </w: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color w:val="auto"/>
                <w:w w:val="95"/>
              </w:rPr>
              <w:t>83.5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74.2</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151.3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3"/>
            <w:shd w:val="clear" w:color="auto" w:fill="CCEEFF"/>
          </w:tcPr>
          <w:p>
            <w:pPr>
              <w:ind w:left="440"/>
              <w:spacing w:after="0"/>
              <w:rPr>
                <w:sz w:val="20"/>
                <w:szCs w:val="20"/>
                <w:color w:val="auto"/>
              </w:rPr>
            </w:pPr>
            <w:r>
              <w:rPr>
                <w:rFonts w:ascii="Arial" w:cs="Arial" w:eastAsia="Arial" w:hAnsi="Arial"/>
                <w:sz w:val="14"/>
                <w:szCs w:val="14"/>
                <w:color w:val="auto"/>
              </w:rPr>
              <w:t>128.3</w:t>
            </w:r>
          </w:p>
        </w:tc>
        <w:tc>
          <w:tcPr>
            <w:tcW w:w="180" w:type="dxa"/>
            <w:vAlign w:val="bottom"/>
            <w:tcBorders>
              <w:bottom w:val="single" w:sz="8" w:color="auto"/>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167.2</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w:t>
            </w:r>
          </w:p>
        </w:tc>
        <w:tc>
          <w:tcPr>
            <w:tcW w:w="20" w:type="dxa"/>
            <w:vAlign w:val="bottom"/>
            <w:tcBorders>
              <w:bottom w:val="single" w:sz="8" w:color="auto"/>
            </w:tcBorders>
            <w:shd w:val="clear" w:color="auto" w:fill="CCEEFF"/>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479.7</w:t>
            </w: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534.9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color w:val="auto"/>
              </w:rPr>
              <w:t>458.3</w:t>
            </w:r>
          </w:p>
        </w:tc>
        <w:tc>
          <w:tcPr>
            <w:tcW w:w="1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594.2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524.1</w:t>
            </w:r>
          </w:p>
        </w:tc>
        <w:tc>
          <w:tcPr>
            <w:tcW w:w="20" w:type="dxa"/>
            <w:vAlign w:val="bottom"/>
            <w:tcBorders>
              <w:bottom w:val="single" w:sz="8" w:color="auto"/>
            </w:tcBorders>
          </w:tcPr>
          <w:p>
            <w:pPr>
              <w:spacing w:after="0"/>
              <w:rPr>
                <w:sz w:val="15"/>
                <w:szCs w:val="15"/>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1,130.2</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1,198.9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1,091.5</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1,310.4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1,206.8</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640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6400" w:type="dxa"/>
            <w:vAlign w:val="bottom"/>
            <w:gridSpan w:val="9"/>
            <w:shd w:val="clear" w:color="auto" w:fill="CCEEFF"/>
          </w:tcPr>
          <w:p>
            <w:pPr>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20" w:type="dxa"/>
            <w:vAlign w:val="bottom"/>
            <w:tcBorders>
              <w:bottom w:val="single" w:sz="8" w:color="auto"/>
            </w:tcBorders>
            <w:gridSpan w:val="7"/>
            <w:shd w:val="clear" w:color="auto" w:fill="CCEEFF"/>
          </w:tcPr>
          <w:p>
            <w:pPr>
              <w:jc w:val="center"/>
              <w:spacing w:after="0"/>
              <w:rPr>
                <w:sz w:val="20"/>
                <w:szCs w:val="20"/>
                <w:color w:val="auto"/>
              </w:rPr>
            </w:pPr>
            <w:r>
              <w:rPr>
                <w:rFonts w:ascii="Arial" w:cs="Arial" w:eastAsia="Arial" w:hAnsi="Arial"/>
                <w:sz w:val="14"/>
                <w:szCs w:val="14"/>
                <w:color w:val="auto"/>
              </w:rPr>
              <w:t>Three months ended</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tcBorders>
              <w:bottom w:val="single" w:sz="8" w:color="auto"/>
            </w:tcBorders>
            <w:gridSpan w:val="6"/>
            <w:shd w:val="clear" w:color="auto" w:fill="CCEEFF"/>
          </w:tcPr>
          <w:p>
            <w:pPr>
              <w:jc w:val="right"/>
              <w:ind w:right="8"/>
              <w:spacing w:after="0"/>
              <w:rPr>
                <w:sz w:val="20"/>
                <w:szCs w:val="20"/>
                <w:color w:val="auto"/>
              </w:rPr>
            </w:pPr>
            <w:r>
              <w:rPr>
                <w:rFonts w:ascii="Arial" w:cs="Arial" w:eastAsia="Arial" w:hAnsi="Arial"/>
                <w:sz w:val="14"/>
                <w:szCs w:val="14"/>
                <w:color w:val="auto"/>
              </w:rPr>
              <w:t>Nine months ended</w:t>
            </w:r>
          </w:p>
        </w:tc>
        <w:tc>
          <w:tcPr>
            <w:tcW w:w="20" w:type="dxa"/>
            <w:vAlign w:val="bottom"/>
            <w:tcBorders>
              <w:bottom w:val="single" w:sz="8" w:color="auto"/>
            </w:tcBorders>
            <w:shd w:val="clear" w:color="auto" w:fill="CCEEFF"/>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billions)</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center"/>
              <w:ind w:right="308"/>
              <w:spacing w:after="0"/>
              <w:rPr>
                <w:sz w:val="20"/>
                <w:szCs w:val="20"/>
                <w:color w:val="auto"/>
              </w:rPr>
            </w:pPr>
            <w:r>
              <w:rPr>
                <w:rFonts w:ascii="Arial" w:cs="Arial" w:eastAsia="Arial" w:hAnsi="Arial"/>
                <w:sz w:val="14"/>
                <w:szCs w:val="14"/>
                <w:color w:val="auto"/>
              </w:rPr>
              <w:t>9/30/2020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9/30/2020</w:t>
            </w:r>
          </w:p>
        </w:tc>
        <w:tc>
          <w:tcPr>
            <w:tcW w:w="20" w:type="dxa"/>
            <w:vAlign w:val="bottom"/>
            <w:tcBorders>
              <w:bottom w:val="single" w:sz="8" w:color="auto"/>
            </w:tcBorders>
          </w:tcPr>
          <w:p>
            <w:pPr>
              <w:spacing w:after="0"/>
              <w:rPr>
                <w:sz w:val="15"/>
                <w:szCs w:val="15"/>
                <w:color w:val="auto"/>
              </w:rPr>
            </w:pPr>
          </w:p>
        </w:tc>
      </w:tr>
      <w:tr>
        <w:trPr>
          <w:trHeight w:val="169"/>
        </w:trPr>
        <w:tc>
          <w:tcPr>
            <w:tcW w:w="2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U.S. mutual funds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6"/>
                <w:szCs w:val="16"/>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Multi-asset</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20" w:type="dxa"/>
            <w:vAlign w:val="bottom"/>
            <w:tcBorders>
              <w:bottom w:val="single" w:sz="8" w:color="auto"/>
            </w:tcBorders>
          </w:tcPr>
          <w:p>
            <w:pPr>
              <w:spacing w:after="0"/>
              <w:rPr>
                <w:sz w:val="16"/>
                <w:szCs w:val="16"/>
                <w:color w:val="auto"/>
              </w:rPr>
            </w:pPr>
          </w:p>
        </w:tc>
      </w:tr>
      <w:tr>
        <w:trPr>
          <w:trHeight w:val="182"/>
        </w:trPr>
        <w:tc>
          <w:tcPr>
            <w:tcW w:w="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right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20" w:type="dxa"/>
            <w:vAlign w:val="bottom"/>
            <w:tcBorders>
              <w:bottom w:val="single" w:sz="8" w:color="auto"/>
            </w:tcBorders>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6400" w:type="dxa"/>
            <w:vAlign w:val="bottom"/>
            <w:gridSpan w:val="9"/>
          </w:tcPr>
          <w:p>
            <w:pPr>
              <w:spacing w:after="0"/>
              <w:rPr>
                <w:sz w:val="20"/>
                <w:szCs w:val="20"/>
                <w:color w:val="auto"/>
              </w:rPr>
            </w:pPr>
            <w:r>
              <w:rPr>
                <w:rFonts w:ascii="Arial" w:cs="Arial" w:eastAsia="Arial" w:hAnsi="Arial"/>
                <w:sz w:val="14"/>
                <w:szCs w:val="14"/>
                <w:color w:val="auto"/>
              </w:rPr>
              <w:t>Subadvised funds, separate accounts, collective investment trusts, and other investment products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880" w:type="dxa"/>
            <w:vAlign w:val="bottom"/>
          </w:tcPr>
          <w:p>
            <w:pPr>
              <w:ind w:left="10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right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 w:type="dxa"/>
            <w:vAlign w:val="bottom"/>
            <w:tcBorders>
              <w:bottom w:val="single" w:sz="8" w:color="auto"/>
            </w:tcBorders>
            <w:shd w:val="clear" w:color="auto" w:fill="CCEEFF"/>
          </w:tcPr>
          <w:p>
            <w:pPr>
              <w:spacing w:after="0"/>
              <w:rPr>
                <w:sz w:val="16"/>
                <w:szCs w:val="16"/>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20" w:type="dxa"/>
            <w:vAlign w:val="bottom"/>
            <w:tcBorders>
              <w:bottom w:val="single" w:sz="8" w:color="auto"/>
            </w:tcBorders>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Total net cash flows after client transfers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3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84" w:right="339" w:bottom="1440" w:gutter="0" w:footer="0" w:header="0"/>
        </w:sectPr>
      </w:pPr>
    </w:p>
    <w:bookmarkStart w:id="58" w:name="page59"/>
    <w:bookmarkEnd w:id="58"/>
    <w:tbl>
      <w:tblPr>
        <w:tblLayout w:type="fixed"/>
        <w:tblInd w:w="20" w:type="dxa"/>
        <w:tblCellMar>
          <w:top w:w="0" w:type="dxa"/>
          <w:left w:w="0" w:type="dxa"/>
          <w:bottom w:w="0" w:type="dxa"/>
          <w:right w:w="0" w:type="dxa"/>
        </w:tblCellMar>
      </w:tblPr>
      <w:tr>
        <w:trPr>
          <w:trHeight w:val="18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(in millions)</w:t>
            </w:r>
          </w:p>
        </w:tc>
        <w:tc>
          <w:tcPr>
            <w:tcW w:w="160" w:type="dxa"/>
            <w:vAlign w:val="bottom"/>
            <w:shd w:val="clear" w:color="auto" w:fill="CCEEFF"/>
          </w:tcPr>
          <w:p>
            <w:pPr>
              <w:spacing w:after="0"/>
              <w:rPr>
                <w:sz w:val="16"/>
                <w:szCs w:val="16"/>
                <w:color w:val="auto"/>
              </w:rPr>
            </w:pPr>
          </w:p>
        </w:tc>
        <w:tc>
          <w:tcPr>
            <w:tcW w:w="2180" w:type="dxa"/>
            <w:vAlign w:val="bottom"/>
            <w:tcBorders>
              <w:right w:val="single" w:sz="8" w:color="auto"/>
            </w:tcBorders>
            <w:gridSpan w:val="5"/>
            <w:shd w:val="clear" w:color="auto" w:fill="CCEEFF"/>
          </w:tcPr>
          <w:p>
            <w:pPr>
              <w:ind w:left="280"/>
              <w:spacing w:after="0"/>
              <w:rPr>
                <w:sz w:val="20"/>
                <w:szCs w:val="20"/>
                <w:color w:val="auto"/>
              </w:rPr>
            </w:pPr>
            <w:r>
              <w:rPr>
                <w:rFonts w:ascii="Arial" w:cs="Arial" w:eastAsia="Arial" w:hAnsi="Arial"/>
                <w:sz w:val="14"/>
                <w:szCs w:val="14"/>
                <w:color w:val="auto"/>
              </w:rPr>
              <w:t>Three months ended</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60" w:type="dxa"/>
            <w:vAlign w:val="bottom"/>
            <w:gridSpan w:val="4"/>
            <w:shd w:val="clear" w:color="auto" w:fill="CCEEFF"/>
          </w:tcPr>
          <w:p>
            <w:pPr>
              <w:jc w:val="right"/>
              <w:ind w:right="408"/>
              <w:spacing w:after="0"/>
              <w:rPr>
                <w:sz w:val="20"/>
                <w:szCs w:val="20"/>
                <w:color w:val="auto"/>
              </w:rPr>
            </w:pPr>
            <w:r>
              <w:rPr>
                <w:rFonts w:ascii="Arial" w:cs="Arial" w:eastAsia="Arial" w:hAnsi="Arial"/>
                <w:sz w:val="14"/>
                <w:szCs w:val="14"/>
                <w:color w:val="auto"/>
              </w:rPr>
              <w:t>Nine months ended</w:t>
            </w:r>
          </w:p>
        </w:tc>
      </w:tr>
      <w:tr>
        <w:trPr>
          <w:trHeight w:val="183"/>
        </w:trPr>
        <w:tc>
          <w:tcPr>
            <w:tcW w:w="65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9/30/2020</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9/30/2019</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9/30/2020</w:t>
            </w:r>
          </w:p>
        </w:tc>
        <w:tc>
          <w:tcPr>
            <w:tcW w:w="1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9/30/2019</w:t>
            </w:r>
          </w:p>
        </w:tc>
      </w:tr>
      <w:tr>
        <w:trPr>
          <w:trHeight w:val="16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6560" w:type="dxa"/>
            <w:vAlign w:val="bottom"/>
          </w:tcPr>
          <w:p>
            <w:pPr>
              <w:ind w:left="120"/>
              <w:spacing w:after="0"/>
              <w:rPr>
                <w:sz w:val="20"/>
                <w:szCs w:val="20"/>
                <w:color w:val="auto"/>
              </w:rPr>
            </w:pPr>
            <w:r>
              <w:rPr>
                <w:rFonts w:ascii="Arial" w:cs="Arial" w:eastAsia="Arial" w:hAnsi="Arial"/>
                <w:sz w:val="14"/>
                <w:szCs w:val="14"/>
                <w:color w:val="auto"/>
              </w:rPr>
              <w:t>Cash and discretionary investments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6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Dividend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r>
      <w:tr>
        <w:trPr>
          <w:trHeight w:val="189"/>
        </w:trPr>
        <w:tc>
          <w:tcPr>
            <w:tcW w:w="65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Market related gains and equity in earnings</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r>
      <w:tr>
        <w:trPr>
          <w:trHeight w:val="183"/>
        </w:trPr>
        <w:tc>
          <w:tcPr>
            <w:tcW w:w="6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net gains from cash and discretionary investments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18.8</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98.8</w:t>
            </w:r>
          </w:p>
        </w:tc>
      </w:tr>
      <w:tr>
        <w:trPr>
          <w:trHeight w:val="189"/>
        </w:trPr>
        <w:tc>
          <w:tcPr>
            <w:tcW w:w="6560" w:type="dxa"/>
            <w:vAlign w:val="bottom"/>
          </w:tcPr>
          <w:p>
            <w:pPr>
              <w:ind w:left="120"/>
              <w:spacing w:after="0"/>
              <w:rPr>
                <w:sz w:val="20"/>
                <w:szCs w:val="20"/>
                <w:color w:val="auto"/>
              </w:rPr>
            </w:pPr>
            <w:r>
              <w:rPr>
                <w:rFonts w:ascii="Arial" w:cs="Arial" w:eastAsia="Arial" w:hAnsi="Arial"/>
                <w:sz w:val="14"/>
                <w:szCs w:val="14"/>
                <w:color w:val="auto"/>
              </w:rPr>
              <w:t>Seed capital investments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6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Dividend income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6560" w:type="dxa"/>
            <w:vAlign w:val="bottom"/>
          </w:tcPr>
          <w:p>
            <w:pPr>
              <w:ind w:left="200"/>
              <w:spacing w:after="0"/>
              <w:rPr>
                <w:sz w:val="20"/>
                <w:szCs w:val="20"/>
                <w:color w:val="auto"/>
              </w:rPr>
            </w:pPr>
            <w:r>
              <w:rPr>
                <w:rFonts w:ascii="Arial" w:cs="Arial" w:eastAsia="Arial" w:hAnsi="Arial"/>
                <w:sz w:val="14"/>
                <w:szCs w:val="14"/>
                <w:color w:val="auto"/>
              </w:rPr>
              <w:t>Market related gains and equity in earnings</w:t>
            </w: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189"/>
        </w:trPr>
        <w:tc>
          <w:tcPr>
            <w:tcW w:w="6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gain (loss) recognized upon deconsolidation</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r>
      <w:tr>
        <w:trPr>
          <w:trHeight w:val="18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gains from non-consolidated T. Rowe Price investment products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175.6</w:t>
            </w:r>
          </w:p>
        </w:tc>
      </w:tr>
      <w:tr>
        <w:trPr>
          <w:trHeight w:val="189"/>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investment income</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r>
      <w:tr>
        <w:trPr>
          <w:trHeight w:val="18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gains on investments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194.0</w:t>
            </w:r>
          </w:p>
        </w:tc>
      </w:tr>
      <w:tr>
        <w:trPr>
          <w:trHeight w:val="189"/>
        </w:trPr>
        <w:tc>
          <w:tcPr>
            <w:tcW w:w="6560" w:type="dxa"/>
            <w:vAlign w:val="bottom"/>
          </w:tcPr>
          <w:p>
            <w:pPr>
              <w:ind w:left="20"/>
              <w:spacing w:after="0"/>
              <w:rPr>
                <w:sz w:val="20"/>
                <w:szCs w:val="20"/>
                <w:color w:val="auto"/>
              </w:rPr>
            </w:pPr>
            <w:r>
              <w:rPr>
                <w:rFonts w:ascii="Arial" w:cs="Arial" w:eastAsia="Arial" w:hAnsi="Arial"/>
                <w:sz w:val="14"/>
                <w:szCs w:val="14"/>
                <w:color w:val="auto"/>
              </w:rPr>
              <w:t>Net gains on consolidated sponsored investment portfolios</w:t>
            </w: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176.3</w:t>
            </w:r>
          </w:p>
        </w:tc>
      </w:tr>
      <w:tr>
        <w:trPr>
          <w:trHeight w:val="189"/>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(loss), including foreign currency gains and losses</w:t>
            </w: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Non-operating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46" w:lineRule="exact"/>
        <w:rPr>
          <w:sz w:val="20"/>
          <w:szCs w:val="20"/>
          <w:color w:val="auto"/>
        </w:rPr>
      </w:pPr>
    </w:p>
    <w:p>
      <w:pPr>
        <w:ind w:left="6340"/>
        <w:spacing w:after="0"/>
        <w:rPr>
          <w:sz w:val="20"/>
          <w:szCs w:val="20"/>
          <w:color w:val="auto"/>
        </w:rPr>
      </w:pPr>
      <w:r>
        <w:rPr>
          <w:rFonts w:ascii="Arial" w:cs="Arial" w:eastAsia="Arial" w:hAnsi="Arial"/>
          <w:sz w:val="14"/>
          <w:szCs w:val="14"/>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24003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15175" cy="2400300"/>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right="100"/>
        <w:spacing w:after="0" w:line="215" w:lineRule="auto"/>
        <w:rPr>
          <w:sz w:val="20"/>
          <w:szCs w:val="20"/>
          <w:color w:val="auto"/>
        </w:rPr>
      </w:pPr>
      <w:r>
        <w:rPr>
          <w:rFonts w:ascii="Arial" w:cs="Arial" w:eastAsia="Arial" w:hAnsi="Arial"/>
          <w:sz w:val="14"/>
          <w:szCs w:val="14"/>
          <w:color w:val="auto"/>
        </w:rPr>
        <w:t>Cash provided by (used in) operating activities, including $164.5 of stock-based compensation expense and $144.0 of depreciation expense in 2020</w:t>
      </w:r>
    </w:p>
    <w:p>
      <w:pPr>
        <w:spacing w:after="0" w:line="17" w:lineRule="exact"/>
        <w:rPr>
          <w:sz w:val="20"/>
          <w:szCs w:val="20"/>
          <w:color w:val="auto"/>
        </w:rPr>
      </w:pPr>
    </w:p>
    <w:p>
      <w:pPr>
        <w:ind w:left="20" w:right="20"/>
        <w:spacing w:after="0" w:line="210" w:lineRule="auto"/>
        <w:rPr>
          <w:sz w:val="20"/>
          <w:szCs w:val="20"/>
          <w:color w:val="auto"/>
        </w:rPr>
      </w:pPr>
      <w:r>
        <w:rPr>
          <w:rFonts w:ascii="Arial" w:cs="Arial" w:eastAsia="Arial" w:hAnsi="Arial"/>
          <w:sz w:val="14"/>
          <w:szCs w:val="14"/>
          <w:color w:val="auto"/>
        </w:rPr>
        <w:t>Cash provided by (used in) investing activities, including $(155.4) for additions to property and equipment, $(240.3) of purchases and $381.9 of dispositions to T. Rowe Price investment products in 2020</w:t>
      </w:r>
    </w:p>
    <w:p>
      <w:pPr>
        <w:ind w:left="20"/>
        <w:spacing w:after="0" w:line="229" w:lineRule="auto"/>
        <w:rPr>
          <w:sz w:val="20"/>
          <w:szCs w:val="20"/>
          <w:color w:val="auto"/>
        </w:rPr>
      </w:pPr>
      <w:r>
        <w:rPr>
          <w:rFonts w:ascii="Arial" w:cs="Arial" w:eastAsia="Arial" w:hAnsi="Arial"/>
          <w:sz w:val="14"/>
          <w:szCs w:val="14"/>
          <w:color w:val="auto"/>
        </w:rPr>
        <w:t>Cash provided by (used in) financing</w:t>
      </w:r>
    </w:p>
    <w:p>
      <w:pPr>
        <w:ind w:left="20"/>
        <w:spacing w:after="0" w:line="201" w:lineRule="auto"/>
        <w:rPr>
          <w:sz w:val="20"/>
          <w:szCs w:val="20"/>
          <w:color w:val="auto"/>
        </w:rPr>
      </w:pPr>
      <w:r>
        <w:rPr>
          <w:rFonts w:ascii="Arial" w:cs="Arial" w:eastAsia="Arial" w:hAnsi="Arial"/>
          <w:sz w:val="14"/>
          <w:szCs w:val="14"/>
          <w:color w:val="auto"/>
        </w:rPr>
        <w:t>activities, including T. Rowe Price Group</w:t>
      </w:r>
    </w:p>
    <w:p>
      <w:pPr>
        <w:ind w:left="20"/>
        <w:spacing w:after="0" w:line="201" w:lineRule="auto"/>
        <w:rPr>
          <w:sz w:val="20"/>
          <w:szCs w:val="20"/>
          <w:color w:val="auto"/>
        </w:rPr>
      </w:pPr>
      <w:r>
        <w:rPr>
          <w:rFonts w:ascii="Arial" w:cs="Arial" w:eastAsia="Arial" w:hAnsi="Arial"/>
          <w:sz w:val="14"/>
          <w:szCs w:val="14"/>
          <w:color w:val="auto"/>
        </w:rPr>
        <w:t>common stock repurchases of</w:t>
      </w:r>
    </w:p>
    <w:p>
      <w:pPr>
        <w:ind w:left="20"/>
        <w:spacing w:after="0" w:line="202" w:lineRule="auto"/>
        <w:rPr>
          <w:sz w:val="20"/>
          <w:szCs w:val="20"/>
          <w:color w:val="auto"/>
        </w:rPr>
      </w:pPr>
      <w:r>
        <w:rPr>
          <w:rFonts w:ascii="Arial" w:cs="Arial" w:eastAsia="Arial" w:hAnsi="Arial"/>
          <w:sz w:val="14"/>
          <w:szCs w:val="14"/>
          <w:color w:val="auto"/>
        </w:rPr>
        <w:t>$(1,158.5)* and dividends paid of</w:t>
      </w:r>
    </w:p>
    <w:p>
      <w:pPr>
        <w:ind w:left="20"/>
        <w:spacing w:after="0"/>
        <w:rPr>
          <w:sz w:val="20"/>
          <w:szCs w:val="20"/>
          <w:color w:val="auto"/>
        </w:rPr>
      </w:pPr>
      <w:r>
        <w:rPr>
          <w:rFonts w:ascii="Arial" w:cs="Arial" w:eastAsia="Arial" w:hAnsi="Arial"/>
          <w:sz w:val="14"/>
          <w:szCs w:val="14"/>
          <w:color w:val="auto"/>
        </w:rPr>
        <w:t>$(635.7) in 2020</w:t>
      </w:r>
    </w:p>
    <w:p>
      <w:pPr>
        <w:spacing w:after="0" w:line="28"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17" w:lineRule="exact"/>
        <w:rPr>
          <w:sz w:val="20"/>
          <w:szCs w:val="20"/>
          <w:color w:val="auto"/>
        </w:rPr>
      </w:pPr>
    </w:p>
    <w:p>
      <w:pPr>
        <w:ind w:left="20"/>
        <w:spacing w:after="0" w:line="229"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9/30/2020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1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color w:val="auto"/>
              </w:rPr>
              <w:t>Cash flow attributable to</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rPr>
              <w:t>consolidated</w:t>
            </w: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35"/>
        </w:trPr>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86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rPr>
              <w:t>T. Rowe Price investment</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products, net of</w:t>
            </w:r>
          </w:p>
        </w:tc>
        <w:tc>
          <w:tcPr>
            <w:tcW w:w="100" w:type="dxa"/>
            <w:vAlign w:val="bottom"/>
          </w:tcPr>
          <w:p>
            <w:pPr>
              <w:spacing w:after="0"/>
              <w:rPr>
                <w:sz w:val="11"/>
                <w:szCs w:val="11"/>
                <w:color w:val="auto"/>
              </w:rPr>
            </w:pPr>
          </w:p>
        </w:tc>
        <w:tc>
          <w:tcPr>
            <w:tcW w:w="920" w:type="dxa"/>
            <w:vAlign w:val="bottom"/>
          </w:tcPr>
          <w:p>
            <w:pPr>
              <w:jc w:val="center"/>
              <w:ind w:right="28"/>
              <w:spacing w:after="0" w:line="135" w:lineRule="exact"/>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Group</w:t>
            </w:r>
          </w:p>
        </w:tc>
        <w:tc>
          <w:tcPr>
            <w:tcW w:w="10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5"/>
                <w:szCs w:val="15"/>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575"/>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2,265.0</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(348.1)</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1,916.9</w:t>
            </w:r>
          </w:p>
        </w:tc>
        <w:tc>
          <w:tcPr>
            <w:tcW w:w="0" w:type="dxa"/>
            <w:vAlign w:val="bottom"/>
          </w:tcPr>
          <w:p>
            <w:pPr>
              <w:spacing w:after="0"/>
              <w:rPr>
                <w:sz w:val="1"/>
                <w:szCs w:val="1"/>
                <w:color w:val="auto"/>
              </w:rPr>
            </w:pPr>
          </w:p>
        </w:tc>
      </w:tr>
      <w:tr>
        <w:trPr>
          <w:trHeight w:val="864"/>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729"/>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(1,718.0)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298.7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(1,419.3)</w:t>
            </w:r>
          </w:p>
        </w:tc>
        <w:tc>
          <w:tcPr>
            <w:tcW w:w="0" w:type="dxa"/>
            <w:vAlign w:val="bottom"/>
          </w:tcPr>
          <w:p>
            <w:pPr>
              <w:spacing w:after="0"/>
              <w:rPr>
                <w:sz w:val="1"/>
                <w:szCs w:val="1"/>
                <w:color w:val="auto"/>
              </w:rPr>
            </w:pPr>
          </w:p>
        </w:tc>
      </w:tr>
      <w:tr>
        <w:trPr>
          <w:trHeight w:val="323"/>
        </w:trPr>
        <w:tc>
          <w:tcPr>
            <w:tcW w:w="1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446.4</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447.9</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9/30/2019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10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color w:val="auto"/>
              </w:rPr>
              <w:t>Cash flow attributable to</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rPr>
              <w:t>consolidated</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35"/>
        </w:trPr>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 to T.</w:t>
            </w:r>
          </w:p>
        </w:tc>
        <w:tc>
          <w:tcPr>
            <w:tcW w:w="1860" w:type="dxa"/>
            <w:vAlign w:val="bottom"/>
            <w:gridSpan w:val="3"/>
          </w:tcPr>
          <w:p>
            <w:pPr>
              <w:jc w:val="center"/>
              <w:ind w:right="80"/>
              <w:spacing w:after="0" w:line="135" w:lineRule="exact"/>
              <w:rPr>
                <w:sz w:val="20"/>
                <w:szCs w:val="20"/>
                <w:color w:val="auto"/>
              </w:rPr>
            </w:pPr>
            <w:r>
              <w:rPr>
                <w:rFonts w:ascii="Arial" w:cs="Arial" w:eastAsia="Arial" w:hAnsi="Arial"/>
                <w:sz w:val="14"/>
                <w:szCs w:val="14"/>
                <w:color w:val="auto"/>
              </w:rPr>
              <w:t>T. Rowe Price investment</w:t>
            </w: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76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rPr>
              <w:t>products, net of</w:t>
            </w:r>
          </w:p>
        </w:tc>
        <w:tc>
          <w:tcPr>
            <w:tcW w:w="120" w:type="dxa"/>
            <w:vAlign w:val="bottom"/>
          </w:tcPr>
          <w:p>
            <w:pPr>
              <w:spacing w:after="0"/>
              <w:rPr>
                <w:sz w:val="11"/>
                <w:szCs w:val="11"/>
                <w:color w:val="auto"/>
              </w:rPr>
            </w:pPr>
          </w:p>
        </w:tc>
        <w:tc>
          <w:tcPr>
            <w:tcW w:w="920" w:type="dxa"/>
            <w:vAlign w:val="bottom"/>
          </w:tcPr>
          <w:p>
            <w:pPr>
              <w:jc w:val="center"/>
              <w:ind w:right="48"/>
              <w:spacing w:after="0" w:line="135" w:lineRule="exact"/>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Group</w:t>
            </w:r>
          </w:p>
        </w:tc>
        <w:tc>
          <w:tcPr>
            <w:tcW w:w="100" w:type="dxa"/>
            <w:vAlign w:val="bottom"/>
          </w:tcPr>
          <w:p>
            <w:pPr>
              <w:spacing w:after="0"/>
              <w:rPr>
                <w:sz w:val="15"/>
                <w:szCs w:val="15"/>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rPr>
              <w:t>eliminations</w:t>
            </w:r>
          </w:p>
        </w:tc>
        <w:tc>
          <w:tcPr>
            <w:tcW w:w="12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575"/>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2,028.1</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(527.4)</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1,500.7</w:t>
            </w:r>
          </w:p>
        </w:tc>
        <w:tc>
          <w:tcPr>
            <w:tcW w:w="0" w:type="dxa"/>
            <w:vAlign w:val="bottom"/>
          </w:tcPr>
          <w:p>
            <w:pPr>
              <w:spacing w:after="0"/>
              <w:rPr>
                <w:sz w:val="1"/>
                <w:szCs w:val="1"/>
                <w:color w:val="auto"/>
              </w:rPr>
            </w:pPr>
          </w:p>
        </w:tc>
      </w:tr>
      <w:tr>
        <w:trPr>
          <w:trHeight w:val="864"/>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153.3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729"/>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(1,010.1)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387.1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(623.0)</w:t>
            </w:r>
          </w:p>
        </w:tc>
        <w:tc>
          <w:tcPr>
            <w:tcW w:w="0" w:type="dxa"/>
            <w:vAlign w:val="bottom"/>
          </w:tcPr>
          <w:p>
            <w:pPr>
              <w:spacing w:after="0"/>
              <w:rPr>
                <w:sz w:val="1"/>
                <w:szCs w:val="1"/>
                <w:color w:val="auto"/>
              </w:rPr>
            </w:pPr>
          </w:p>
        </w:tc>
      </w:tr>
      <w:tr>
        <w:trPr>
          <w:trHeight w:val="323"/>
        </w:trPr>
        <w:tc>
          <w:tcPr>
            <w:tcW w:w="1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788.0</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798.8</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3">
            <w:col w:w="2640" w:space="60"/>
            <w:col w:w="4140" w:space="220"/>
            <w:col w:w="4160"/>
          </w:cols>
          <w:pgMar w:left="320" w:top="1152" w:right="35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152" w:right="359" w:bottom="1440" w:gutter="0" w:footer="0" w:header="0"/>
          <w:type w:val="continuous"/>
        </w:sectPr>
      </w:pPr>
    </w:p>
    <w:bookmarkStart w:id="59" w:name="page60"/>
    <w:bookmarkEnd w:id="59"/>
    <w:tbl>
      <w:tblPr>
        <w:tblLayout w:type="fixed"/>
        <w:tblInd w:w="20" w:type="dxa"/>
        <w:tblCellMar>
          <w:top w:w="0" w:type="dxa"/>
          <w:left w:w="0" w:type="dxa"/>
          <w:bottom w:w="0" w:type="dxa"/>
          <w:right w:w="0" w:type="dxa"/>
        </w:tblCellMar>
      </w:tblP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Condensed Consolidated Balance Sheet Information (in millions)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gridSpan w:val="4"/>
            <w:shd w:val="clear" w:color="auto" w:fill="CCEEFF"/>
          </w:tcPr>
          <w:p>
            <w:pPr>
              <w:jc w:val="right"/>
              <w:ind w:right="8"/>
              <w:spacing w:after="0"/>
              <w:rPr>
                <w:sz w:val="20"/>
                <w:szCs w:val="20"/>
                <w:color w:val="auto"/>
              </w:rPr>
            </w:pPr>
            <w:r>
              <w:rPr>
                <w:rFonts w:ascii="Arial" w:cs="Arial" w:eastAsia="Arial" w:hAnsi="Arial"/>
                <w:sz w:val="14"/>
                <w:szCs w:val="14"/>
                <w:color w:val="auto"/>
              </w:rPr>
              <w:t>As of</w:t>
            </w: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9/30/2020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12/31/2019</w:t>
            </w:r>
          </w:p>
        </w:tc>
        <w:tc>
          <w:tcPr>
            <w:tcW w:w="0" w:type="dxa"/>
            <w:vAlign w:val="bottom"/>
          </w:tcPr>
          <w:p>
            <w:pPr>
              <w:spacing w:after="0"/>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1,781.8</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Accounts receivable and accrued revenue</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714.8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646.6</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2,939.8</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Assets of consolidated T. Rowe Price investment products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2,442.3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2,276.9</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681.9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674.4</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w:t>
            </w:r>
          </w:p>
        </w:tc>
        <w:tc>
          <w:tcPr>
            <w:tcW w:w="0" w:type="dxa"/>
            <w:vAlign w:val="bottom"/>
          </w:tcPr>
          <w:p>
            <w:pPr>
              <w:spacing w:after="0"/>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10,134.6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9,330.4</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Supplemental savings plan liability</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563.4</w:t>
            </w:r>
          </w:p>
        </w:tc>
        <w:tc>
          <w:tcPr>
            <w:tcW w:w="0" w:type="dxa"/>
            <w:vAlign w:val="bottom"/>
          </w:tcPr>
          <w:p>
            <w:pPr>
              <w:spacing w:after="0"/>
              <w:rPr>
                <w:sz w:val="1"/>
                <w:szCs w:val="1"/>
                <w:color w:val="auto"/>
              </w:rPr>
            </w:pPr>
          </w:p>
        </w:tc>
      </w:tr>
      <w:tr>
        <w:trPr>
          <w:trHeight w:val="153"/>
        </w:trPr>
        <w:tc>
          <w:tcPr>
            <w:tcW w:w="8420" w:type="dxa"/>
            <w:vAlign w:val="bottom"/>
            <w:gridSpan w:val="7"/>
            <w:shd w:val="clear" w:color="auto" w:fill="CCEEFF"/>
          </w:tcPr>
          <w:p>
            <w:pPr>
              <w:ind w:left="20"/>
              <w:spacing w:after="0" w:line="153" w:lineRule="exact"/>
              <w:rPr>
                <w:sz w:val="20"/>
                <w:szCs w:val="20"/>
                <w:color w:val="auto"/>
              </w:rPr>
            </w:pPr>
            <w:r>
              <w:rPr>
                <w:rFonts w:ascii="Arial" w:cs="Arial" w:eastAsia="Arial" w:hAnsi="Arial"/>
                <w:sz w:val="14"/>
                <w:szCs w:val="14"/>
                <w:color w:val="auto"/>
              </w:rPr>
              <w:t>Total other liabilities, includes $46.5 at September 30, 2020, and $39.2 at December 31, 2019, from consolidated T. Rowe Price</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1,058.7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543.9</w:t>
            </w:r>
          </w:p>
        </w:tc>
        <w:tc>
          <w:tcPr>
            <w:tcW w:w="0" w:type="dxa"/>
            <w:vAlign w:val="bottom"/>
          </w:tcPr>
          <w:p>
            <w:pPr>
              <w:spacing w:after="0"/>
              <w:rPr>
                <w:sz w:val="1"/>
                <w:szCs w:val="1"/>
                <w:color w:val="auto"/>
              </w:rPr>
            </w:pPr>
          </w:p>
        </w:tc>
      </w:tr>
      <w:tr>
        <w:trPr>
          <w:trHeight w:val="17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products</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Redeemable non-controlling interests</w:t>
            </w: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1,121.0</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 226.4 common shares outstanding at September 30, 2020</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7,128.5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Net assets of</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consolidated T.</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 cash</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Rowe Price</w:t>
            </w: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1"/>
                <w:szCs w:val="11"/>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9/30/2020</w:t>
            </w: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discretionary investments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2,228.2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284.4</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4,347.3</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Arial" w:cs="Arial" w:eastAsia="Arial" w:hAnsi="Arial"/>
                <w:sz w:val="14"/>
                <w:szCs w:val="14"/>
                <w:color w:val="auto"/>
              </w:rPr>
              <w:t>Seed capital investments</w:t>
            </w:r>
          </w:p>
        </w:tc>
        <w:tc>
          <w:tcPr>
            <w:tcW w:w="2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326.2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1,097.4</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605.7</w:t>
            </w:r>
          </w:p>
        </w:tc>
        <w:tc>
          <w:tcPr>
            <w:tcW w:w="0" w:type="dxa"/>
            <w:vAlign w:val="bottom"/>
          </w:tcPr>
          <w:p>
            <w:pPr>
              <w:spacing w:after="0"/>
              <w:rPr>
                <w:sz w:val="1"/>
                <w:szCs w:val="1"/>
                <w:color w:val="auto"/>
              </w:rPr>
            </w:pPr>
          </w:p>
        </w:tc>
      </w:tr>
      <w:tr>
        <w:trPr>
          <w:trHeight w:val="128"/>
        </w:trPr>
        <w:tc>
          <w:tcPr>
            <w:tcW w:w="5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2,228.2</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2,766.6</w:t>
            </w: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1,055.6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6,050.4</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Price Group</w:t>
            </w:r>
          </w:p>
        </w:tc>
        <w:tc>
          <w:tcPr>
            <w:tcW w:w="2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UTI and other investments</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183"/>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Total cash and investments attributable to T. Rowe Price Group</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2,228.2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3,030.8</w:t>
            </w: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1,055.6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6,314.6</w:t>
            </w:r>
          </w:p>
        </w:tc>
        <w:tc>
          <w:tcPr>
            <w:tcW w:w="0" w:type="dxa"/>
            <w:vAlign w:val="bottom"/>
          </w:tcPr>
          <w:p>
            <w:pPr>
              <w:spacing w:after="0"/>
              <w:rPr>
                <w:sz w:val="1"/>
                <w:szCs w:val="1"/>
                <w:color w:val="auto"/>
              </w:rPr>
            </w:pPr>
          </w:p>
        </w:tc>
      </w:tr>
      <w:tr>
        <w:trPr>
          <w:trHeight w:val="189"/>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1,340.2</w:t>
            </w:r>
          </w:p>
        </w:tc>
        <w:tc>
          <w:tcPr>
            <w:tcW w:w="0" w:type="dxa"/>
            <w:vAlign w:val="bottom"/>
          </w:tcPr>
          <w:p>
            <w:pPr>
              <w:spacing w:after="0"/>
              <w:rPr>
                <w:sz w:val="1"/>
                <w:szCs w:val="1"/>
                <w:color w:val="auto"/>
              </w:rPr>
            </w:pPr>
          </w:p>
        </w:tc>
      </w:tr>
      <w:tr>
        <w:trPr>
          <w:trHeight w:val="128"/>
        </w:trPr>
        <w:tc>
          <w:tcPr>
            <w:tcW w:w="5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As reported on unaudited condensed consolidated balance sheet at</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2,228.2</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3,030.8</w:t>
            </w:r>
          </w:p>
        </w:tc>
        <w:tc>
          <w:tcPr>
            <w:tcW w:w="100" w:type="dxa"/>
            <w:vAlign w:val="bottom"/>
          </w:tcPr>
          <w:p>
            <w:pPr>
              <w:spacing w:after="0"/>
              <w:rPr>
                <w:sz w:val="11"/>
                <w:szCs w:val="11"/>
                <w:color w:val="auto"/>
              </w:rPr>
            </w:pPr>
          </w:p>
        </w:tc>
        <w:tc>
          <w:tcPr>
            <w:tcW w:w="14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2,395.8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7,654.8</w:t>
            </w:r>
          </w:p>
        </w:tc>
        <w:tc>
          <w:tcPr>
            <w:tcW w:w="0" w:type="dxa"/>
            <w:vAlign w:val="bottom"/>
          </w:tcPr>
          <w:p>
            <w:pPr>
              <w:spacing w:after="0"/>
              <w:rPr>
                <w:sz w:val="1"/>
                <w:szCs w:val="1"/>
                <w:color w:val="auto"/>
              </w:rPr>
            </w:pPr>
          </w:p>
        </w:tc>
      </w:tr>
      <w:tr>
        <w:trPr>
          <w:trHeight w:val="154"/>
        </w:trPr>
        <w:tc>
          <w:tcPr>
            <w:tcW w:w="54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September 30, 2020</w:t>
            </w:r>
          </w:p>
        </w:tc>
        <w:tc>
          <w:tcPr>
            <w:tcW w:w="2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gridSpan w:val="2"/>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160"/>
        <w:spacing w:after="0" w:line="303" w:lineRule="auto"/>
        <w:rPr>
          <w:sz w:val="20"/>
          <w:szCs w:val="20"/>
          <w:color w:val="auto"/>
        </w:rPr>
      </w:pPr>
      <w:r>
        <w:rPr>
          <w:rFonts w:ascii="Arial" w:cs="Arial" w:eastAsia="Arial" w:hAnsi="Arial"/>
          <w:sz w:val="12"/>
          <w:szCs w:val="12"/>
          <w:i w:val="1"/>
          <w:iCs w:val="1"/>
          <w:color w:val="auto"/>
        </w:rPr>
        <w:t>* The $284.4 million and $771.2 million represent the total value at September 30, 2020, of T. Rowe Price's interest in the consolidated T. Rowe Price investment products. The total net assets of $2,395.8 million at September 30, 2020, includes assets of $2,442.3 million less liabilities of $46.5 million as reflected in the unaudited condensed consolidated balance sheet information table above.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36" w:lineRule="exact"/>
        <w:rPr>
          <w:sz w:val="20"/>
          <w:szCs w:val="20"/>
          <w:color w:val="auto"/>
        </w:rPr>
      </w:pPr>
    </w:p>
    <w:p>
      <w:pPr>
        <w:jc w:val="both"/>
        <w:ind w:right="60"/>
        <w:spacing w:after="0" w:line="356" w:lineRule="auto"/>
        <w:rPr>
          <w:sz w:val="20"/>
          <w:szCs w:val="20"/>
          <w:color w:val="auto"/>
        </w:rPr>
      </w:pPr>
      <w:r>
        <w:rPr>
          <w:rFonts w:ascii="Arial" w:cs="Arial" w:eastAsia="Arial" w:hAnsi="Arial"/>
          <w:sz w:val="16"/>
          <w:szCs w:val="16"/>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152" w:right="359" w:bottom="1440" w:gutter="0" w:footer="0" w:header="0"/>
        </w:sectPr>
      </w:pPr>
    </w:p>
    <w:bookmarkStart w:id="60" w:name="page61"/>
    <w:bookmarkEnd w:id="60"/>
    <w:p>
      <w:pPr>
        <w:ind w:right="280"/>
        <w:spacing w:after="0" w:line="383" w:lineRule="auto"/>
        <w:rPr>
          <w:sz w:val="20"/>
          <w:szCs w:val="20"/>
          <w:color w:val="auto"/>
        </w:rPr>
      </w:pPr>
      <w:r>
        <w:rPr>
          <w:rFonts w:ascii="Arial" w:cs="Arial" w:eastAsia="Arial" w:hAnsi="Arial"/>
          <w:sz w:val="16"/>
          <w:szCs w:val="16"/>
          <w:color w:val="auto"/>
        </w:rPr>
        <w:t>The following schedules reconcile U.S. GAAP financial measures to non-GAAP financial measures for the three months ended September 30, 2020 and 2019.</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5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9/30/2020</w:t>
            </w: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Rowe Price Group</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728.9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Consolidated T. Rowe Price</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Arial" w:cs="Arial" w:eastAsia="Arial" w:hAnsi="Arial"/>
                <w:sz w:val="14"/>
                <w:szCs w:val="14"/>
                <w:color w:val="auto"/>
              </w:rPr>
              <w:t>investment products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140"/>
              <w:spacing w:after="0" w:line="189"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(2)</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830.5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768.0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60" w:type="dxa"/>
            <w:vAlign w:val="bottom"/>
            <w:gridSpan w:val="5"/>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 9/30/2019</w:t>
            </w: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(4)</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Rowe Price Group</w:t>
            </w:r>
          </w:p>
        </w:tc>
        <w:tc>
          <w:tcPr>
            <w:tcW w:w="14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Consolidated T. Rowe Price</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products</w:t>
            </w:r>
            <w:r>
              <w:rPr>
                <w:rFonts w:ascii="Arial" w:cs="Arial" w:eastAsia="Arial" w:hAnsi="Arial"/>
                <w:sz w:val="9"/>
                <w:szCs w:val="9"/>
                <w:color w:val="auto"/>
              </w:rPr>
              <w:t>(1)</w:t>
            </w: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9"/>
                <w:szCs w:val="9"/>
                <w:color w:val="auto"/>
              </w:rPr>
              <w:t>(2)</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9"/>
                <w:szCs w:val="9"/>
                <w:color w:val="auto"/>
              </w:rPr>
              <w:t>(3)</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664.2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schedules reconcile certain U.S. GAAP financial measures for the nine months ended September 30, 2020 and 2019.</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5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 9/30/2020</w:t>
            </w: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Rowe Price Group</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2,484.0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80" w:type="dxa"/>
            <w:vAlign w:val="bottom"/>
            <w:shd w:val="clear" w:color="auto" w:fill="CCEEFF"/>
          </w:tcPr>
          <w:p>
            <w:pPr>
              <w:ind w:left="160"/>
              <w:spacing w:after="0" w:line="165"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16"/>
        </w:trPr>
        <w:tc>
          <w:tcPr>
            <w:tcW w:w="3580" w:type="dxa"/>
            <w:vAlign w:val="bottom"/>
          </w:tcPr>
          <w:p>
            <w:pPr>
              <w:ind w:left="160"/>
              <w:spacing w:after="0" w:line="216"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2,046.9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1,596.6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1100" w:right="399" w:bottom="1440" w:gutter="0" w:footer="0" w:header="0"/>
        </w:sectPr>
      </w:pPr>
    </w:p>
    <w:bookmarkStart w:id="61" w:name="page62"/>
    <w:bookmarkEnd w:id="61"/>
    <w:tbl>
      <w:tblPr>
        <w:tblLayout w:type="fixed"/>
        <w:tblInd w:w="52" w:type="dxa"/>
        <w:tblCellMar>
          <w:top w:w="0" w:type="dxa"/>
          <w:left w:w="0" w:type="dxa"/>
          <w:bottom w:w="0" w:type="dxa"/>
          <w:right w:w="0" w:type="dxa"/>
        </w:tblCellMar>
      </w:tblPr>
      <w:tr>
        <w:trPr>
          <w:trHeight w:val="189"/>
        </w:trPr>
        <w:tc>
          <w:tcPr>
            <w:tcW w:w="35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 9/30/2019</w:t>
            </w: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Net income</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76"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(4)</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Rowe Price Group</w:t>
            </w:r>
          </w:p>
        </w:tc>
        <w:tc>
          <w:tcPr>
            <w:tcW w:w="140" w:type="dxa"/>
            <w:vAlign w:val="bottom"/>
          </w:tcPr>
          <w:p>
            <w:pPr>
              <w:spacing w:after="0"/>
              <w:rPr>
                <w:sz w:val="15"/>
                <w:szCs w:val="15"/>
                <w:color w:val="auto"/>
              </w:rPr>
            </w:pPr>
          </w:p>
        </w:tc>
        <w:tc>
          <w:tcPr>
            <w:tcW w:w="1020" w:type="dxa"/>
            <w:vAlign w:val="bottom"/>
          </w:tcPr>
          <w:p>
            <w:pPr>
              <w:jc w:val="right"/>
              <w:ind w:right="128"/>
              <w:spacing w:after="0" w:line="176"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2,342.5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1,806.7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80" w:type="dxa"/>
            <w:vAlign w:val="bottom"/>
            <w:shd w:val="clear" w:color="auto" w:fill="CCEEFF"/>
          </w:tcPr>
          <w:p>
            <w:pPr>
              <w:ind w:left="160"/>
              <w:spacing w:after="0" w:line="165" w:lineRule="exact"/>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6"/>
        </w:trPr>
        <w:tc>
          <w:tcPr>
            <w:tcW w:w="3580" w:type="dxa"/>
            <w:vAlign w:val="bottom"/>
          </w:tcPr>
          <w:p>
            <w:pPr>
              <w:ind w:left="160"/>
              <w:spacing w:after="0" w:line="216" w:lineRule="exact"/>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2,286.3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1,869.2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1,480.4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332" w:right="140" w:hanging="332"/>
        <w:spacing w:after="0" w:line="235" w:lineRule="auto"/>
        <w:tabs>
          <w:tab w:leader="none" w:pos="333"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242" w:lineRule="exact"/>
        <w:rPr>
          <w:rFonts w:ascii="Arial" w:cs="Arial" w:eastAsia="Arial" w:hAnsi="Arial"/>
          <w:sz w:val="22"/>
          <w:szCs w:val="22"/>
          <w:color w:val="auto"/>
          <w:vertAlign w:val="superscript"/>
        </w:rPr>
      </w:pPr>
    </w:p>
    <w:p>
      <w:pPr>
        <w:ind w:left="332" w:hanging="332"/>
        <w:spacing w:after="0" w:line="235" w:lineRule="auto"/>
        <w:tabs>
          <w:tab w:leader="none" w:pos="333"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 on the hedges against the related compensation expense and remove the net impact to help the reader's ability to understand the firm's core operating results and to increase comparability period to period.</w:t>
      </w:r>
    </w:p>
    <w:p>
      <w:pPr>
        <w:spacing w:after="0" w:line="242" w:lineRule="exact"/>
        <w:rPr>
          <w:rFonts w:ascii="Arial" w:cs="Arial" w:eastAsia="Arial" w:hAnsi="Arial"/>
          <w:sz w:val="22"/>
          <w:szCs w:val="22"/>
          <w:color w:val="auto"/>
          <w:vertAlign w:val="superscript"/>
        </w:rPr>
      </w:pPr>
    </w:p>
    <w:p>
      <w:pPr>
        <w:ind w:left="332" w:right="40" w:hanging="332"/>
        <w:spacing w:after="0"/>
        <w:tabs>
          <w:tab w:leader="none" w:pos="333"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200" w:lineRule="exact"/>
        <w:rPr>
          <w:rFonts w:ascii="Arial" w:cs="Arial" w:eastAsia="Arial" w:hAnsi="Arial"/>
          <w:sz w:val="22"/>
          <w:szCs w:val="22"/>
          <w:color w:val="auto"/>
          <w:vertAlign w:val="superscript"/>
        </w:rPr>
      </w:pPr>
    </w:p>
    <w:p>
      <w:pPr>
        <w:spacing w:after="0" w:line="206" w:lineRule="exact"/>
        <w:rPr>
          <w:rFonts w:ascii="Arial" w:cs="Arial" w:eastAsia="Arial" w:hAnsi="Arial"/>
          <w:sz w:val="22"/>
          <w:szCs w:val="22"/>
          <w:color w:val="auto"/>
          <w:vertAlign w:val="superscript"/>
        </w:rPr>
      </w:pPr>
    </w:p>
    <w:p>
      <w:pPr>
        <w:ind w:left="332" w:right="100" w:hanging="332"/>
        <w:spacing w:after="0" w:line="236" w:lineRule="auto"/>
        <w:tabs>
          <w:tab w:leader="none" w:pos="333"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23.9% for 2020 and 24.8% for 2019. As such, the non-GAAP effective tax rate for three months ended September 30, 2020 and 2019 was 24.1% and 23.6%, respectively. The firm estimates that its effective tax rate for the full-year 2020 on a non-GAAP basis will be in the range of 23% to 25%.</w:t>
      </w:r>
    </w:p>
    <w:p>
      <w:pPr>
        <w:spacing w:after="0" w:line="239" w:lineRule="exact"/>
        <w:rPr>
          <w:rFonts w:ascii="Arial" w:cs="Arial" w:eastAsia="Arial" w:hAnsi="Arial"/>
          <w:sz w:val="22"/>
          <w:szCs w:val="22"/>
          <w:color w:val="auto"/>
          <w:vertAlign w:val="superscript"/>
        </w:rPr>
      </w:pPr>
    </w:p>
    <w:p>
      <w:pPr>
        <w:ind w:left="332" w:right="280" w:hanging="332"/>
        <w:spacing w:after="0" w:line="226" w:lineRule="auto"/>
        <w:tabs>
          <w:tab w:leader="none" w:pos="333"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ectPr>
          <w:pgSz w:w="11900" w:h="16838" w:orient="portrait"/>
          <w:cols w:equalWidth="0" w:num="1">
            <w:col w:w="11232"/>
          </w:cols>
          <w:pgMar w:left="328" w:top="1152" w:right="339" w:bottom="1440" w:gutter="0" w:footer="0" w:header="0"/>
        </w:sectPr>
      </w:pPr>
    </w:p>
    <w:p>
      <w:pPr>
        <w:spacing w:after="0" w:line="111" w:lineRule="exact"/>
        <w:rPr>
          <w:sz w:val="20"/>
          <w:szCs w:val="20"/>
          <w:color w:val="auto"/>
        </w:rPr>
      </w:pPr>
    </w:p>
    <w:p>
      <w:pPr>
        <w:ind w:left="6592"/>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-113030</wp:posOffset>
            </wp:positionV>
            <wp:extent cx="654939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549390" cy="146050"/>
                    </a:xfrm>
                    <a:prstGeom prst="rect">
                      <a:avLst/>
                    </a:prstGeom>
                    <a:noFill/>
                  </pic:spPr>
                </pic:pic>
              </a:graphicData>
            </a:graphic>
          </wp:anchor>
        </w:drawing>
      </w:r>
    </w:p>
    <w:p>
      <w:pPr>
        <w:spacing w:after="0" w:line="26" w:lineRule="exact"/>
        <w:rPr>
          <w:sz w:val="20"/>
          <w:szCs w:val="20"/>
          <w:color w:val="auto"/>
        </w:rPr>
      </w:pPr>
    </w:p>
    <w:p>
      <w:pPr>
        <w:ind w:left="6652"/>
        <w:spacing w:after="0"/>
        <w:tabs>
          <w:tab w:leader="none" w:pos="7872" w:val="left"/>
        </w:tabs>
        <w:rPr>
          <w:sz w:val="20"/>
          <w:szCs w:val="20"/>
          <w:color w:val="auto"/>
        </w:rPr>
      </w:pPr>
      <w:r>
        <w:rPr>
          <w:rFonts w:ascii="Arial" w:cs="Arial" w:eastAsia="Arial" w:hAnsi="Arial"/>
          <w:sz w:val="16"/>
          <w:szCs w:val="16"/>
          <w:b w:val="1"/>
          <w:bCs w:val="1"/>
          <w:color w:val="auto"/>
        </w:rPr>
        <w:t>9/30/2020</w:t>
      </w:r>
      <w:r>
        <w:rPr>
          <w:sz w:val="20"/>
          <w:szCs w:val="20"/>
          <w:color w:val="auto"/>
        </w:rPr>
        <w:tab/>
      </w:r>
      <w:r>
        <w:rPr>
          <w:rFonts w:ascii="Arial" w:cs="Arial" w:eastAsia="Arial" w:hAnsi="Arial"/>
          <w:sz w:val="16"/>
          <w:szCs w:val="16"/>
          <w:b w:val="1"/>
          <w:bCs w:val="1"/>
          <w:color w:val="auto"/>
        </w:rPr>
        <w:t>9/30/2019</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23495</wp:posOffset>
            </wp:positionV>
            <wp:extent cx="142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 w:lineRule="exact"/>
        <w:rPr>
          <w:sz w:val="20"/>
          <w:szCs w:val="20"/>
          <w:color w:val="auto"/>
        </w:rPr>
      </w:pPr>
    </w:p>
    <w:p>
      <w:pPr>
        <w:spacing w:after="0"/>
        <w:tabs>
          <w:tab w:leader="none" w:pos="1100" w:val="left"/>
        </w:tabs>
        <w:rPr>
          <w:sz w:val="20"/>
          <w:szCs w:val="20"/>
          <w:color w:val="auto"/>
        </w:rPr>
      </w:pPr>
      <w:r>
        <w:rPr>
          <w:rFonts w:ascii="Arial" w:cs="Arial" w:eastAsia="Arial" w:hAnsi="Arial"/>
          <w:sz w:val="16"/>
          <w:szCs w:val="16"/>
          <w:b w:val="1"/>
          <w:bCs w:val="1"/>
          <w:color w:val="auto"/>
        </w:rPr>
        <w:t>9/30/2020</w:t>
      </w:r>
      <w:r>
        <w:rPr>
          <w:sz w:val="20"/>
          <w:szCs w:val="20"/>
          <w:color w:val="auto"/>
        </w:rPr>
        <w:tab/>
      </w:r>
      <w:r>
        <w:rPr>
          <w:rFonts w:ascii="Arial" w:cs="Arial" w:eastAsia="Arial" w:hAnsi="Arial"/>
          <w:sz w:val="16"/>
          <w:szCs w:val="16"/>
          <w:b w:val="1"/>
          <w:bCs w:val="1"/>
          <w:color w:val="auto"/>
        </w:rPr>
        <w:t>9/30/2019</w:t>
      </w:r>
    </w:p>
    <w:p>
      <w:pPr>
        <w:spacing w:after="0" w:line="31" w:lineRule="exact"/>
        <w:rPr>
          <w:sz w:val="20"/>
          <w:szCs w:val="20"/>
          <w:color w:val="auto"/>
        </w:rPr>
      </w:pPr>
    </w:p>
    <w:p>
      <w:pPr>
        <w:sectPr>
          <w:pgSz w:w="11900" w:h="16838" w:orient="portrait"/>
          <w:cols w:equalWidth="0" w:num="2">
            <w:col w:w="8612" w:space="500"/>
            <w:col w:w="2120"/>
          </w:cols>
          <w:pgMar w:left="328" w:top="1152" w:right="339" w:bottom="1440" w:gutter="0" w:footer="0" w:header="0"/>
          <w:type w:val="continuous"/>
        </w:sectPr>
      </w:pPr>
    </w:p>
    <w:tbl>
      <w:tblPr>
        <w:tblLayout w:type="fixed"/>
        <w:tblInd w:w="652" w:type="dxa"/>
        <w:tblCellMar>
          <w:top w:w="0" w:type="dxa"/>
          <w:left w:w="0" w:type="dxa"/>
          <w:bottom w:w="0" w:type="dxa"/>
          <w:right w:w="0" w:type="dxa"/>
        </w:tblCellMar>
      </w:tblPr>
      <w:tr>
        <w:trPr>
          <w:trHeight w:val="215"/>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46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1,596.6</w:t>
            </w:r>
          </w:p>
        </w:tc>
        <w:tc>
          <w:tcPr>
            <w:tcW w:w="3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1,480.4</w:t>
            </w:r>
          </w:p>
        </w:tc>
      </w:tr>
      <w:tr>
        <w:trPr>
          <w:trHeight w:val="177"/>
        </w:trPr>
        <w:tc>
          <w:tcPr>
            <w:tcW w:w="5500" w:type="dxa"/>
            <w:vAlign w:val="bottom"/>
          </w:tcPr>
          <w:p>
            <w:pPr>
              <w:ind w:left="20"/>
              <w:spacing w:after="0" w:line="178" w:lineRule="exact"/>
              <w:rPr>
                <w:sz w:val="20"/>
                <w:szCs w:val="20"/>
                <w:color w:val="auto"/>
              </w:rPr>
            </w:pPr>
            <w:r>
              <w:rPr>
                <w:rFonts w:ascii="Arial" w:cs="Arial" w:eastAsia="Arial" w:hAnsi="Arial"/>
                <w:sz w:val="16"/>
                <w:szCs w:val="16"/>
                <w:color w:val="auto"/>
              </w:rPr>
              <w:t>Less: adjusted net income allocated to outstanding restricted stock and</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 unit holders</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585.9</w:t>
            </w: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1,552.5</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15</w:t>
      </w:r>
    </w:p>
    <w:sectPr>
      <w:pgSz w:w="11900" w:h="16838" w:orient="portrait"/>
      <w:cols w:equalWidth="0" w:num="1">
        <w:col w:w="11232"/>
      </w:cols>
      <w:pgMar w:left="328" w:top="115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5"/>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jpe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3" Type="http://schemas.openxmlformats.org/officeDocument/2006/relationships/hyperlink" Target="http://www.sec.gov/Archives/edgar/data/1113169/000111316918000018/articlesofrestatementfin.htm" TargetMode="External"/><Relationship Id="rId74" Type="http://schemas.openxmlformats.org/officeDocument/2006/relationships/hyperlink" Target="http://www.sec.gov/Archives/edgar/data/1113169/000111316919000007/trpg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2020-10-29T10:54:06Z</dcterms:created>
  <dcterms:modified xsi:type="dcterms:W3CDTF">2020-10-29T10:54:06Z</dcterms:modified>
</cp:coreProperties>
</file>