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200660</wp:posOffset>
            </wp:positionH>
            <wp:positionV relativeFrom="page">
              <wp:posOffset>826135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-170815</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167" w:lineRule="exact"/>
        <w:rPr>
          <w:sz w:val="24"/>
          <w:szCs w:val="24"/>
          <w:color w:val="auto"/>
        </w:rPr>
      </w:pPr>
    </w:p>
    <w:p>
      <w:pPr>
        <w:ind w:left="720" w:hanging="449"/>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52" w:lineRule="exact"/>
        <w:rPr>
          <w:rFonts w:ascii="MS PGothic" w:cs="MS PGothic" w:eastAsia="MS PGothic" w:hAnsi="MS PGothic"/>
          <w:sz w:val="18"/>
          <w:szCs w:val="18"/>
          <w:color w:val="auto"/>
        </w:rPr>
      </w:pPr>
    </w:p>
    <w:p>
      <w:pPr>
        <w:ind w:left="38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2019</w:t>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203" w:lineRule="exact"/>
        <w:rPr>
          <w:sz w:val="24"/>
          <w:szCs w:val="24"/>
          <w:color w:val="auto"/>
        </w:rPr>
      </w:pPr>
    </w:p>
    <w:p>
      <w:pPr>
        <w:ind w:left="720" w:hanging="449"/>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rFonts w:ascii="MS PGothic" w:cs="MS PGothic" w:eastAsia="MS PGothic" w:hAnsi="MS PGothic"/>
          <w:sz w:val="18"/>
          <w:szCs w:val="18"/>
          <w:color w:val="auto"/>
        </w:rPr>
      </w:pPr>
    </w:p>
    <w:p>
      <w:pPr>
        <w:ind w:left="4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000-32191</w:t>
      </w:r>
    </w:p>
    <w:p>
      <w:pPr>
        <w:spacing w:after="0" w:line="3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5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T. ROWE PRICE GROUP, INC.</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60"/>
          </w:cols>
          <w:pgMar w:left="240" w:top="1419" w:right="399" w:bottom="1440" w:gutter="0" w:footer="0" w:header="0"/>
        </w:sectPr>
      </w:pPr>
    </w:p>
    <w:p>
      <w:pPr>
        <w:spacing w:after="0" w:line="149"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70" w:lineRule="exact"/>
        <w:rPr>
          <w:sz w:val="24"/>
          <w:szCs w:val="24"/>
          <w:color w:val="auto"/>
        </w:rPr>
      </w:pPr>
    </w:p>
    <w:p>
      <w:pPr>
        <w:sectPr>
          <w:pgSz w:w="11900" w:h="16838" w:orient="portrait"/>
          <w:cols w:equalWidth="0" w:num="2">
            <w:col w:w="7340" w:space="720"/>
            <w:col w:w="3200"/>
          </w:cols>
          <w:pgMar w:left="240" w:top="1419" w:right="399" w:bottom="1440" w:gutter="0" w:footer="0" w:header="0"/>
          <w:type w:val="continuous"/>
        </w:sectPr>
      </w:pPr>
    </w:p>
    <w:p>
      <w:pPr>
        <w:ind w:left="19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640" w:space="720"/>
            <w:col w:w="3900"/>
          </w:cols>
          <w:pgMar w:left="240" w:top="1419" w:right="399" w:bottom="1440" w:gutter="0" w:footer="0" w:header="0"/>
          <w:type w:val="continuous"/>
        </w:sectPr>
      </w:pPr>
    </w:p>
    <w:p>
      <w:pPr>
        <w:ind w:left="3660"/>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ind w:left="5080"/>
        <w:spacing w:after="0"/>
        <w:rPr>
          <w:sz w:val="20"/>
          <w:szCs w:val="20"/>
          <w:color w:val="auto"/>
        </w:rPr>
      </w:pPr>
      <w:r>
        <w:rPr>
          <w:rFonts w:ascii="Arial" w:cs="Arial" w:eastAsia="Arial" w:hAnsi="Arial"/>
          <w:sz w:val="14"/>
          <w:szCs w:val="14"/>
          <w:color w:val="auto"/>
        </w:rPr>
        <w:t>________________</w:t>
      </w:r>
    </w:p>
    <w:p>
      <w:pPr>
        <w:sectPr>
          <w:pgSz w:w="11900" w:h="16838" w:orient="portrait"/>
          <w:cols w:equalWidth="0" w:num="1">
            <w:col w:w="11260"/>
          </w:cols>
          <w:pgMar w:left="240" w:top="1419" w:right="399" w:bottom="1440" w:gutter="0" w:footer="0" w:header="0"/>
          <w:type w:val="continuous"/>
        </w:sectPr>
      </w:pPr>
    </w:p>
    <w:p>
      <w:pPr>
        <w:spacing w:after="0" w:line="203"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Common stock, $.20 par value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TROW</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70" w:lineRule="exact"/>
        <w:rPr>
          <w:sz w:val="24"/>
          <w:szCs w:val="24"/>
          <w:color w:val="auto"/>
        </w:rPr>
      </w:pPr>
    </w:p>
    <w:p>
      <w:pPr>
        <w:sectPr>
          <w:pgSz w:w="11900" w:h="16838" w:orient="portrait"/>
          <w:cols w:equalWidth="0" w:num="3">
            <w:col w:w="4660" w:space="720"/>
            <w:col w:w="1500" w:space="720"/>
            <w:col w:w="3660"/>
          </w:cols>
          <w:pgMar w:left="240" w:top="1419" w:right="39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(title of 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(ticker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114" w:lineRule="exact"/>
        <w:rPr>
          <w:sz w:val="24"/>
          <w:szCs w:val="24"/>
          <w:color w:val="auto"/>
        </w:rPr>
      </w:pPr>
    </w:p>
    <w:p>
      <w:pPr>
        <w:sectPr>
          <w:pgSz w:w="11900" w:h="16838" w:orient="portrait"/>
          <w:cols w:equalWidth="0" w:num="3">
            <w:col w:w="4420" w:space="720"/>
            <w:col w:w="1720" w:space="720"/>
            <w:col w:w="3680"/>
          </w:cols>
          <w:pgMar w:left="240" w:top="1419" w:right="399" w:bottom="1440" w:gutter="0" w:footer="0" w:header="0"/>
          <w:type w:val="continuous"/>
        </w:sectPr>
      </w:pPr>
    </w:p>
    <w:p>
      <w:pPr>
        <w:ind w:left="4840"/>
        <w:spacing w:after="0"/>
        <w:rPr>
          <w:sz w:val="20"/>
          <w:szCs w:val="20"/>
          <w:color w:val="auto"/>
        </w:rPr>
      </w:pPr>
      <w:r>
        <w:rPr>
          <w:rFonts w:ascii="Arial" w:cs="Arial" w:eastAsia="Arial" w:hAnsi="Arial"/>
          <w:sz w:val="14"/>
          <w:szCs w:val="14"/>
          <w:color w:val="auto"/>
        </w:rPr>
        <w:t>______________________</w:t>
      </w:r>
    </w:p>
    <w:p>
      <w:pPr>
        <w:sectPr>
          <w:pgSz w:w="11900" w:h="16838" w:orient="portrait"/>
          <w:cols w:equalWidth="0" w:num="1">
            <w:col w:w="11260"/>
          </w:cols>
          <w:pgMar w:left="240" w:top="1419" w:right="399" w:bottom="1440" w:gutter="0" w:footer="0" w:header="0"/>
          <w:type w:val="continuous"/>
        </w:sectPr>
      </w:pPr>
    </w:p>
    <w:p>
      <w:pPr>
        <w:spacing w:after="0" w:line="66" w:lineRule="exact"/>
        <w:rPr>
          <w:sz w:val="24"/>
          <w:szCs w:val="24"/>
          <w:color w:val="auto"/>
        </w:rPr>
      </w:pPr>
    </w:p>
    <w:p>
      <w:pPr>
        <w:ind w:right="3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9" w:lineRule="exact"/>
        <w:rPr>
          <w:sz w:val="24"/>
          <w:szCs w:val="24"/>
          <w:color w:val="auto"/>
        </w:rPr>
      </w:pPr>
    </w:p>
    <w:p>
      <w:pPr>
        <w:ind w:right="5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9" w:lineRule="exact"/>
        <w:rPr>
          <w:sz w:val="24"/>
          <w:szCs w:val="24"/>
          <w:color w:val="auto"/>
        </w:rPr>
      </w:pPr>
    </w:p>
    <w:p>
      <w:pPr>
        <w:ind w:right="10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5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6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6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5000" w:type="dxa"/>
            <w:vAlign w:val="bottom"/>
          </w:tcPr>
          <w:p>
            <w:pPr>
              <w:spacing w:after="0"/>
              <w:rPr>
                <w:sz w:val="24"/>
                <w:szCs w:val="24"/>
                <w:color w:val="auto"/>
              </w:rPr>
            </w:pPr>
          </w:p>
        </w:tc>
        <w:tc>
          <w:tcPr>
            <w:tcW w:w="6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86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500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620" w:type="dxa"/>
            <w:vAlign w:val="bottom"/>
          </w:tcPr>
          <w:p>
            <w:pPr>
              <w:spacing w:after="0"/>
              <w:rPr>
                <w:sz w:val="23"/>
                <w:szCs w:val="23"/>
                <w:color w:val="auto"/>
              </w:rPr>
            </w:pPr>
          </w:p>
        </w:tc>
        <w:tc>
          <w:tcPr>
            <w:tcW w:w="374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6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9"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22, 2019, is 235,565,029.</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260"/>
          </w:cols>
          <w:pgMar w:left="240" w:top="1419"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6/30/2019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12/31/2018</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1,802.4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1,425.2</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549.6</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2,453.4</w:t>
            </w:r>
          </w:p>
        </w:tc>
      </w:tr>
      <w:tr>
        <w:trPr>
          <w:trHeight w:val="229"/>
        </w:trPr>
        <w:tc>
          <w:tcPr>
            <w:tcW w:w="856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($1,875.1 million at June 30, 2019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8560" w:type="dxa"/>
            <w:vAlign w:val="bottom"/>
          </w:tcPr>
          <w:p>
            <w:pPr>
              <w:ind w:left="40"/>
              <w:spacing w:after="0"/>
              <w:rPr>
                <w:sz w:val="20"/>
                <w:szCs w:val="20"/>
                <w:color w:val="auto"/>
              </w:rPr>
            </w:pPr>
            <w:r>
              <w:rPr>
                <w:rFonts w:ascii="Arial" w:cs="Arial" w:eastAsia="Arial" w:hAnsi="Arial"/>
                <w:sz w:val="18"/>
                <w:szCs w:val="18"/>
                <w:color w:val="auto"/>
              </w:rPr>
              <w:t>and $1,392.6 million at December 31, 2018, related to variable interest entities)</w:t>
            </w:r>
          </w:p>
        </w:tc>
        <w:tc>
          <w:tcPr>
            <w:tcW w:w="2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2,203.4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1,680.4</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661.3</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253.7</w:t>
            </w: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8,912.3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7,689.3</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228.5</w:t>
            </w:r>
          </w:p>
        </w:tc>
      </w:tr>
      <w:tr>
        <w:trPr>
          <w:trHeight w:val="23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of consolidated T. Rowe Price investment products ($75.8 million at June 30, 2019</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$22.7 million at December 31, 2018, related to variable interest entities)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380.0</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r>
      <w:tr>
        <w:trPr>
          <w:trHeight w:val="250"/>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1,320.9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824.7</w:t>
            </w:r>
          </w:p>
        </w:tc>
      </w:tr>
      <w:tr>
        <w:trPr>
          <w:trHeight w:val="324"/>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31"/>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740.3</w:t>
            </w:r>
          </w:p>
        </w:tc>
      </w:tr>
      <w:tr>
        <w:trPr>
          <w:trHeight w:val="331"/>
        </w:trPr>
        <w:tc>
          <w:tcPr>
            <w:tcW w:w="8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235,518,000 shares at June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8560" w:type="dxa"/>
            <w:vAlign w:val="bottom"/>
          </w:tcPr>
          <w:p>
            <w:pPr>
              <w:ind w:left="180"/>
              <w:spacing w:after="0"/>
              <w:rPr>
                <w:sz w:val="20"/>
                <w:szCs w:val="20"/>
                <w:color w:val="auto"/>
              </w:rPr>
            </w:pPr>
            <w:r>
              <w:rPr>
                <w:rFonts w:ascii="Arial" w:cs="Arial" w:eastAsia="Arial" w:hAnsi="Arial"/>
                <w:sz w:val="18"/>
                <w:szCs w:val="18"/>
                <w:color w:val="auto"/>
              </w:rPr>
              <w:t>30, 2019 and 238,069,000 at December 31, 2018</w:t>
            </w:r>
          </w:p>
        </w:tc>
        <w:tc>
          <w:tcPr>
            <w:tcW w:w="2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47.6</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5,915.9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5,464.1</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50"/>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6,579.1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6,124.3</w:t>
            </w: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8,912.3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7,689.3</w:t>
            </w: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1035" w:right="239" w:bottom="1440" w:gutter="0" w:footer="0" w:header="0"/>
        </w:sectPr>
      </w:pPr>
    </w:p>
    <w:bookmarkStart w:id="2" w:name="page3"/>
    <w:bookmarkEnd w:id="2"/>
    <w:p>
      <w:pPr>
        <w:ind w:right="536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620" w:type="dxa"/>
            <w:vAlign w:val="bottom"/>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5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6/30/2018</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1,270.2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1,214.4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2,464.4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2,403.6</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r>
      <w:tr>
        <w:trPr>
          <w:trHeight w:val="25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1,395.2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1,345.0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2,722.5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2,673.0</w:t>
            </w:r>
          </w:p>
        </w:tc>
      </w:tr>
      <w:tr>
        <w:trPr>
          <w:trHeight w:val="324"/>
        </w:trPr>
        <w:tc>
          <w:tcPr>
            <w:tcW w:w="5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897.4</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Distribution and servicing</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141.9</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Product-related costs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79.2</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187.3</w:t>
            </w:r>
          </w:p>
        </w:tc>
      </w:tr>
      <w:tr>
        <w:trPr>
          <w:trHeight w:val="26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145.1</w:t>
            </w:r>
          </w:p>
        </w:tc>
      </w:tr>
      <w:tr>
        <w:trPr>
          <w:trHeight w:val="25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780.1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750.3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1,574.9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1,494.5</w:t>
            </w:r>
          </w:p>
        </w:tc>
      </w:tr>
      <w:tr>
        <w:trPr>
          <w:trHeight w:val="324"/>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594.7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1,178.5</w:t>
            </w:r>
          </w:p>
        </w:tc>
      </w:tr>
      <w:tr>
        <w:trPr>
          <w:trHeight w:val="324"/>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Net gains on investments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on consolidated investment products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6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(loss)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non-operating income</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327.3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r>
      <w:tr>
        <w:trPr>
          <w:trHeight w:val="324"/>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739.6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1,228.7</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313.6</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555.9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915.1</w:t>
            </w: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auto"/>
              </w:rPr>
              <w:t>Less: net income attributable to redeemable non-controlling</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w:t>
            </w: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902.6</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7"/>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3.62</w:t>
            </w:r>
          </w:p>
        </w:tc>
      </w:tr>
      <w:tr>
        <w:trPr>
          <w:trHeight w:val="237"/>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1035" w:right="239" w:bottom="1440" w:gutter="0" w:footer="0" w:header="0"/>
        </w:sectPr>
      </w:pPr>
    </w:p>
    <w:bookmarkStart w:id="3" w:name="page4"/>
    <w:bookmarkEnd w:id="3"/>
    <w:p>
      <w:pPr>
        <w:ind w:right="374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620" w:type="dxa"/>
            <w:vAlign w:val="bottom"/>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5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6/30/2018</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555.9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1,109.9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915.1</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5580" w:type="dxa"/>
            <w:vAlign w:val="bottom"/>
          </w:tcPr>
          <w:p>
            <w:pPr>
              <w:ind w:left="280"/>
              <w:spacing w:after="0"/>
              <w:rPr>
                <w:sz w:val="20"/>
                <w:szCs w:val="20"/>
                <w:color w:val="auto"/>
              </w:rPr>
            </w:pPr>
            <w:r>
              <w:rPr>
                <w:rFonts w:ascii="Arial" w:cs="Arial" w:eastAsia="Arial" w:hAnsi="Arial"/>
                <w:sz w:val="18"/>
                <w:szCs w:val="18"/>
                <w:color w:val="auto"/>
              </w:rPr>
              <w:t>Consolidated T. Rowe Price investment products - variable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580" w:type="dxa"/>
            <w:vAlign w:val="bottom"/>
          </w:tcPr>
          <w:p>
            <w:pPr>
              <w:ind w:left="280"/>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5"/>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 gains recognized in non-operating income upon</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deconsolidation of certain T. Rowe Price investment products</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9"/>
        </w:trPr>
        <w:tc>
          <w:tcPr>
            <w:tcW w:w="5580" w:type="dxa"/>
            <w:vAlign w:val="bottom"/>
          </w:tcPr>
          <w:p>
            <w:pPr>
              <w:ind w:left="260"/>
              <w:spacing w:after="0"/>
              <w:rPr>
                <w:sz w:val="20"/>
                <w:szCs w:val="20"/>
                <w:color w:val="auto"/>
              </w:rPr>
            </w:pPr>
            <w:r>
              <w:rPr>
                <w:rFonts w:ascii="Arial" w:cs="Arial" w:eastAsia="Arial" w:hAnsi="Arial"/>
                <w:sz w:val="18"/>
                <w:szCs w:val="18"/>
                <w:color w:val="auto"/>
              </w:rPr>
              <w:t>Total currency translation adjustments of consolidated T. Rowe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5580" w:type="dxa"/>
            <w:vAlign w:val="bottom"/>
          </w:tcPr>
          <w:p>
            <w:pPr>
              <w:ind w:left="260"/>
              <w:spacing w:after="0"/>
              <w:rPr>
                <w:sz w:val="20"/>
                <w:szCs w:val="20"/>
                <w:color w:val="auto"/>
              </w:rPr>
            </w:pPr>
            <w:r>
              <w:rPr>
                <w:rFonts w:ascii="Arial" w:cs="Arial" w:eastAsia="Arial" w:hAnsi="Arial"/>
                <w:sz w:val="18"/>
                <w:szCs w:val="18"/>
                <w:color w:val="auto"/>
              </w:rPr>
              <w:t>Price investment products - variable interest entities</w:t>
            </w:r>
          </w:p>
        </w:tc>
        <w:tc>
          <w:tcPr>
            <w:tcW w:w="2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5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1,113.1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891.7</w:t>
            </w:r>
          </w:p>
        </w:tc>
      </w:tr>
      <w:tr>
        <w:trPr>
          <w:trHeight w:val="23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redeemable non-</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Total comprehensive income attributable to T. Rowe Price Group</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530.6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892.7</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1035" w:right="239" w:bottom="1440" w:gutter="0" w:footer="0" w:header="0"/>
        </w:sectPr>
      </w:pPr>
    </w:p>
    <w:bookmarkStart w:id="4" w:name="page5"/>
    <w:bookmarkEnd w:id="4"/>
    <w:p>
      <w:pPr>
        <w:ind w:right="4860"/>
        <w:spacing w:after="0" w:line="287"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0"/>
        </w:trPr>
        <w:tc>
          <w:tcPr>
            <w:tcW w:w="8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6/30/2018</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1,109.9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investments in T. Rowe Price investment products used to economically hedge supplemental</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948.8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324"/>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Dispositions of T. Rowe Price investment products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324"/>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324"/>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 including $70.1 million at December 31, 2018, and</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$103.1 million at December 31, 2017, held by consolidated T. Rowe Price investment products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15"/>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 including $110.7 million at June 30, 2019, and $111.9 million</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1,913.1</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1,596.3</w:t>
            </w:r>
          </w:p>
        </w:tc>
        <w:tc>
          <w:tcPr>
            <w:tcW w:w="0" w:type="dxa"/>
            <w:vAlign w:val="bottom"/>
          </w:tcPr>
          <w:p>
            <w:pPr>
              <w:spacing w:after="0"/>
              <w:rPr>
                <w:sz w:val="1"/>
                <w:szCs w:val="1"/>
                <w:color w:val="auto"/>
              </w:rPr>
            </w:pPr>
          </w:p>
        </w:tc>
      </w:tr>
      <w:tr>
        <w:trPr>
          <w:trHeight w:val="21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June 30, 2018, held by consolidated T. Rowe Price investment products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1035" w:right="259" w:bottom="1440" w:gutter="0" w:footer="0" w:header="0"/>
        </w:sectPr>
      </w:pPr>
    </w:p>
    <w:bookmarkStart w:id="5" w:name="page6"/>
    <w:bookmarkEnd w:id="5"/>
    <w:p>
      <w:pPr>
        <w:ind w:right="38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gridSpan w:val="6"/>
            <w:shd w:val="clear" w:color="auto" w:fill="CCEEFF"/>
          </w:tcPr>
          <w:p>
            <w:pPr>
              <w:ind w:left="140"/>
              <w:spacing w:after="0"/>
              <w:rPr>
                <w:sz w:val="20"/>
                <w:szCs w:val="20"/>
                <w:color w:val="auto"/>
              </w:rPr>
            </w:pPr>
            <w:r>
              <w:rPr>
                <w:rFonts w:ascii="Arial" w:cs="Arial" w:eastAsia="Arial" w:hAnsi="Arial"/>
                <w:sz w:val="13"/>
                <w:szCs w:val="13"/>
                <w:b w:val="1"/>
                <w:bCs w:val="1"/>
                <w:color w:val="auto"/>
              </w:rPr>
              <w:t>Three months ended 6/30/2019</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40"/>
        </w:trPr>
        <w:tc>
          <w:tcPr>
            <w:tcW w:w="5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Additional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8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8"/>
              </w:rPr>
              <w:t>controlling</w:t>
            </w:r>
          </w:p>
        </w:tc>
      </w:tr>
      <w:tr>
        <w:trPr>
          <w:trHeight w:val="178"/>
        </w:trPr>
        <w:tc>
          <w:tcPr>
            <w:tcW w:w="55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tcPr>
          <w:p>
            <w:pPr>
              <w:spacing w:after="0"/>
              <w:rPr>
                <w:sz w:val="15"/>
                <w:szCs w:val="15"/>
                <w:color w:val="auto"/>
              </w:rPr>
            </w:pPr>
          </w:p>
        </w:tc>
        <w:tc>
          <w:tcPr>
            <w:tcW w:w="780" w:type="dxa"/>
            <w:vAlign w:val="bottom"/>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r>
      <w:tr>
        <w:trPr>
          <w:trHeight w:val="257"/>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March 31, 2019</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236,432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654.5</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$5,650.8</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6,311.0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886.7</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527.5</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527.5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28.4</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Dividends declared ($0.76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125.7</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283"/>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at June 30, 2019</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235,518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47.1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$5,915.9</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6,579.1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1,012.3</w:t>
            </w:r>
          </w:p>
        </w:tc>
      </w:tr>
      <w:tr>
        <w:trPr>
          <w:trHeight w:val="318"/>
        </w:trPr>
        <w:tc>
          <w:tcPr>
            <w:tcW w:w="55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6"/>
          </w:tcPr>
          <w:p>
            <w:pPr>
              <w:ind w:left="140"/>
              <w:spacing w:after="0"/>
              <w:rPr>
                <w:sz w:val="20"/>
                <w:szCs w:val="20"/>
                <w:color w:val="auto"/>
              </w:rPr>
            </w:pPr>
            <w:r>
              <w:rPr>
                <w:rFonts w:ascii="Arial" w:cs="Arial" w:eastAsia="Arial" w:hAnsi="Arial"/>
                <w:sz w:val="13"/>
                <w:szCs w:val="13"/>
                <w:b w:val="1"/>
                <w:bCs w:val="1"/>
                <w:color w:val="auto"/>
              </w:rPr>
              <w:t>Three months ended 6/30/2018</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40"/>
        </w:trPr>
        <w:tc>
          <w:tcPr>
            <w:tcW w:w="5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center"/>
              <w:ind w:right="100"/>
              <w:spacing w:after="0" w:line="140" w:lineRule="exact"/>
              <w:rPr>
                <w:sz w:val="20"/>
                <w:szCs w:val="20"/>
                <w:color w:val="auto"/>
              </w:rPr>
            </w:pPr>
            <w:r>
              <w:rPr>
                <w:rFonts w:ascii="Arial" w:cs="Arial" w:eastAsia="Arial" w:hAnsi="Arial"/>
                <w:sz w:val="13"/>
                <w:szCs w:val="13"/>
                <w:b w:val="1"/>
                <w:bCs w:val="1"/>
                <w:color w:val="auto"/>
                <w:w w:val="94"/>
              </w:rPr>
              <w:t>Additional</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3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50"/>
              <w:spacing w:after="0" w:line="135" w:lineRule="exact"/>
              <w:rPr>
                <w:sz w:val="20"/>
                <w:szCs w:val="20"/>
                <w:color w:val="auto"/>
              </w:rPr>
            </w:pPr>
            <w:r>
              <w:rPr>
                <w:rFonts w:ascii="Arial" w:cs="Arial" w:eastAsia="Arial" w:hAnsi="Arial"/>
                <w:sz w:val="13"/>
                <w:szCs w:val="13"/>
                <w:b w:val="1"/>
                <w:bCs w:val="1"/>
                <w:color w:val="auto"/>
                <w:w w:val="98"/>
              </w:rPr>
              <w:t>controlling</w:t>
            </w:r>
          </w:p>
        </w:tc>
      </w:tr>
      <w:tr>
        <w:trPr>
          <w:trHeight w:val="178"/>
        </w:trPr>
        <w:tc>
          <w:tcPr>
            <w:tcW w:w="5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r>
      <w:tr>
        <w:trPr>
          <w:trHeight w:val="251"/>
        </w:trPr>
        <w:tc>
          <w:tcPr>
            <w:tcW w:w="5500" w:type="dxa"/>
            <w:vAlign w:val="bottom"/>
          </w:tcPr>
          <w:p>
            <w:pPr>
              <w:ind w:left="40"/>
              <w:spacing w:after="0"/>
              <w:rPr>
                <w:sz w:val="20"/>
                <w:szCs w:val="20"/>
                <w:color w:val="auto"/>
              </w:rPr>
            </w:pPr>
            <w:r>
              <w:rPr>
                <w:rFonts w:ascii="Arial" w:cs="Arial" w:eastAsia="Arial" w:hAnsi="Arial"/>
                <w:sz w:val="14"/>
                <w:szCs w:val="14"/>
                <w:color w:val="auto"/>
              </w:rPr>
              <w:t>Balances at March 31, 2018</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243,282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1"/>
                <w:szCs w:val="21"/>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Pr>
          <w:p>
            <w:pPr>
              <w:spacing w:after="0"/>
              <w:rPr>
                <w:sz w:val="21"/>
                <w:szCs w:val="21"/>
                <w:color w:val="auto"/>
              </w:rPr>
            </w:pP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$5,205.0</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(6.4)</w:t>
            </w:r>
          </w:p>
        </w:tc>
        <w:tc>
          <w:tcPr>
            <w:tcW w:w="100" w:type="dxa"/>
            <w:vAlign w:val="bottom"/>
          </w:tcPr>
          <w:p>
            <w:pPr>
              <w:spacing w:after="0"/>
              <w:rPr>
                <w:sz w:val="21"/>
                <w:szCs w:val="21"/>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5,901.9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546.5</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448.9</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10.7</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($0.70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144.8</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reconsolidations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57.7</w:t>
            </w:r>
          </w:p>
        </w:tc>
      </w:tr>
      <w:tr>
        <w:trPr>
          <w:trHeight w:val="243"/>
        </w:trPr>
        <w:tc>
          <w:tcPr>
            <w:tcW w:w="5500" w:type="dxa"/>
            <w:vAlign w:val="bottom"/>
          </w:tcPr>
          <w:p>
            <w:pPr>
              <w:ind w:left="40"/>
              <w:spacing w:after="0"/>
              <w:rPr>
                <w:sz w:val="20"/>
                <w:szCs w:val="20"/>
                <w:color w:val="auto"/>
              </w:rPr>
            </w:pPr>
            <w:r>
              <w:rPr>
                <w:rFonts w:ascii="Arial" w:cs="Arial" w:eastAsia="Arial" w:hAnsi="Arial"/>
                <w:sz w:val="14"/>
                <w:szCs w:val="14"/>
                <w:color w:val="auto"/>
              </w:rPr>
              <w:t>Balances at June 30, 2018</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243,180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$5,435.1</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6,114.6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739.2</w:t>
            </w: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i w:val="1"/>
          <w:iCs w:val="1"/>
          <w:color w:val="auto"/>
        </w:rPr>
      </w:pPr>
      <w:r>
        <w:rPr>
          <w:rFonts w:ascii="Arial" w:cs="Arial" w:eastAsia="Arial" w:hAnsi="Arial"/>
          <w:sz w:val="13"/>
          <w:szCs w:val="13"/>
          <w:i w:val="1"/>
          <w:iCs w:val="1"/>
          <w:color w:val="auto"/>
        </w:rPr>
        <w:t>Accumulated other comprehensive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1035" w:right="239" w:bottom="1440" w:gutter="0" w:footer="0" w:header="0"/>
        </w:sectPr>
      </w:pPr>
    </w:p>
    <w:bookmarkStart w:id="6" w:name="page7"/>
    <w:bookmarkEnd w:id="6"/>
    <w:p>
      <w:pPr>
        <w:ind w:right="38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140" w:type="dxa"/>
            <w:vAlign w:val="bottom"/>
            <w:tcBorders>
              <w:bottom w:val="single" w:sz="8" w:color="auto"/>
            </w:tcBorders>
            <w:gridSpan w:val="6"/>
            <w:shd w:val="clear" w:color="auto" w:fill="CCEEFF"/>
          </w:tcPr>
          <w:p>
            <w:pPr>
              <w:ind w:left="240"/>
              <w:spacing w:after="0"/>
              <w:rPr>
                <w:sz w:val="20"/>
                <w:szCs w:val="20"/>
                <w:color w:val="auto"/>
              </w:rPr>
            </w:pPr>
            <w:r>
              <w:rPr>
                <w:rFonts w:ascii="Arial" w:cs="Arial" w:eastAsia="Arial" w:hAnsi="Arial"/>
                <w:sz w:val="13"/>
                <w:szCs w:val="13"/>
                <w:b w:val="1"/>
                <w:bCs w:val="1"/>
                <w:color w:val="auto"/>
              </w:rPr>
              <w:t>Six months ended 6/30/2019</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40"/>
        </w:trPr>
        <w:tc>
          <w:tcPr>
            <w:tcW w:w="5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Additional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8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5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8"/>
              </w:rPr>
              <w:t>controlling</w:t>
            </w:r>
          </w:p>
        </w:tc>
      </w:tr>
      <w:tr>
        <w:trPr>
          <w:trHeight w:val="178"/>
        </w:trPr>
        <w:tc>
          <w:tcPr>
            <w:tcW w:w="55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tcPr>
          <w:p>
            <w:pPr>
              <w:spacing w:after="0"/>
              <w:rPr>
                <w:sz w:val="15"/>
                <w:szCs w:val="15"/>
                <w:color w:val="auto"/>
              </w:rPr>
            </w:pPr>
          </w:p>
        </w:tc>
        <w:tc>
          <w:tcPr>
            <w:tcW w:w="780" w:type="dxa"/>
            <w:vAlign w:val="bottom"/>
          </w:tcPr>
          <w:p>
            <w:pPr>
              <w:jc w:val="center"/>
              <w:ind w:right="29"/>
              <w:spacing w:after="0"/>
              <w:rPr>
                <w:sz w:val="20"/>
                <w:szCs w:val="20"/>
                <w:color w:val="auto"/>
              </w:rPr>
            </w:pPr>
            <w:r>
              <w:rPr>
                <w:rFonts w:ascii="Arial" w:cs="Arial" w:eastAsia="Arial" w:hAnsi="Arial"/>
                <w:sz w:val="13"/>
                <w:szCs w:val="13"/>
                <w:b w:val="1"/>
                <w:bCs w:val="1"/>
                <w:color w:val="auto"/>
                <w:w w:val="95"/>
              </w:rPr>
              <w:t>interests</w:t>
            </w:r>
          </w:p>
        </w:tc>
      </w:tr>
      <w:tr>
        <w:trPr>
          <w:trHeight w:val="257"/>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December 31, 2018</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238,069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$5,464.1</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6,124.3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740.3</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1,040.1</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1,040.1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69.8</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Dividends declared ($1.52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(367.2)</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vesting of restricted stock units, net of shares withheld for taxes</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211.6</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283"/>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at June 30, 2019</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235,518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47.1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$5,915.9</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6,579.1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1,012.3</w:t>
            </w:r>
          </w:p>
        </w:tc>
      </w:tr>
      <w:tr>
        <w:trPr>
          <w:trHeight w:val="143"/>
        </w:trPr>
        <w:tc>
          <w:tcPr>
            <w:tcW w:w="5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6"/>
          </w:tcPr>
          <w:p>
            <w:pPr>
              <w:ind w:left="240"/>
              <w:spacing w:after="0"/>
              <w:rPr>
                <w:sz w:val="20"/>
                <w:szCs w:val="20"/>
                <w:color w:val="auto"/>
              </w:rPr>
            </w:pPr>
            <w:r>
              <w:rPr>
                <w:rFonts w:ascii="Arial" w:cs="Arial" w:eastAsia="Arial" w:hAnsi="Arial"/>
                <w:sz w:val="13"/>
                <w:szCs w:val="13"/>
                <w:b w:val="1"/>
                <w:bCs w:val="1"/>
                <w:color w:val="auto"/>
              </w:rPr>
              <w:t>Six months ended 6/30/2018</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40"/>
        </w:trPr>
        <w:tc>
          <w:tcPr>
            <w:tcW w:w="5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center"/>
              <w:ind w:right="100"/>
              <w:spacing w:after="0" w:line="140" w:lineRule="exact"/>
              <w:rPr>
                <w:sz w:val="20"/>
                <w:szCs w:val="20"/>
                <w:color w:val="auto"/>
              </w:rPr>
            </w:pPr>
            <w:r>
              <w:rPr>
                <w:rFonts w:ascii="Arial" w:cs="Arial" w:eastAsia="Arial" w:hAnsi="Arial"/>
                <w:sz w:val="13"/>
                <w:szCs w:val="13"/>
                <w:b w:val="1"/>
                <w:bCs w:val="1"/>
                <w:color w:val="auto"/>
                <w:w w:val="94"/>
              </w:rPr>
              <w:t>Additional</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Common</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capital in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29"/>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5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excess of</w:t>
            </w:r>
          </w:p>
        </w:tc>
        <w:tc>
          <w:tcPr>
            <w:tcW w:w="8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49"/>
              <w:spacing w:after="0" w:line="135" w:lineRule="exact"/>
              <w:rPr>
                <w:sz w:val="20"/>
                <w:szCs w:val="20"/>
                <w:color w:val="auto"/>
              </w:rPr>
            </w:pPr>
            <w:r>
              <w:rPr>
                <w:rFonts w:ascii="Arial" w:cs="Arial" w:eastAsia="Arial" w:hAnsi="Arial"/>
                <w:sz w:val="13"/>
                <w:szCs w:val="13"/>
                <w:b w:val="1"/>
                <w:bCs w:val="1"/>
                <w:color w:val="auto"/>
                <w:w w:val="98"/>
              </w:rPr>
              <w:t>controlling</w:t>
            </w:r>
          </w:p>
        </w:tc>
      </w:tr>
      <w:tr>
        <w:trPr>
          <w:trHeight w:val="178"/>
        </w:trPr>
        <w:tc>
          <w:tcPr>
            <w:tcW w:w="55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right="29"/>
              <w:spacing w:after="0"/>
              <w:rPr>
                <w:sz w:val="20"/>
                <w:szCs w:val="20"/>
                <w:color w:val="auto"/>
              </w:rPr>
            </w:pPr>
            <w:r>
              <w:rPr>
                <w:rFonts w:ascii="Arial" w:cs="Arial" w:eastAsia="Arial" w:hAnsi="Arial"/>
                <w:sz w:val="13"/>
                <w:szCs w:val="13"/>
                <w:b w:val="1"/>
                <w:bCs w:val="1"/>
                <w:color w:val="auto"/>
                <w:w w:val="95"/>
              </w:rPr>
              <w:t>interests</w:t>
            </w:r>
          </w:p>
        </w:tc>
      </w:tr>
      <w:tr>
        <w:trPr>
          <w:trHeight w:val="251"/>
        </w:trPr>
        <w:tc>
          <w:tcPr>
            <w:tcW w:w="5500" w:type="dxa"/>
            <w:vAlign w:val="bottom"/>
          </w:tcPr>
          <w:p>
            <w:pPr>
              <w:ind w:left="40"/>
              <w:spacing w:after="0"/>
              <w:rPr>
                <w:sz w:val="20"/>
                <w:szCs w:val="20"/>
                <w:color w:val="auto"/>
              </w:rPr>
            </w:pPr>
            <w:r>
              <w:rPr>
                <w:rFonts w:ascii="Arial" w:cs="Arial" w:eastAsia="Arial" w:hAnsi="Arial"/>
                <w:sz w:val="14"/>
                <w:szCs w:val="14"/>
                <w:color w:val="auto"/>
              </w:rPr>
              <w:t>Balances at December 31, 2017</w:t>
            </w:r>
          </w:p>
        </w:tc>
        <w:tc>
          <w:tcPr>
            <w:tcW w:w="8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245,111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1"/>
                <w:szCs w:val="21"/>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846.1</w:t>
            </w:r>
          </w:p>
        </w:tc>
        <w:tc>
          <w:tcPr>
            <w:tcW w:w="120" w:type="dxa"/>
            <w:vAlign w:val="bottom"/>
          </w:tcPr>
          <w:p>
            <w:pPr>
              <w:spacing w:after="0"/>
              <w:rPr>
                <w:sz w:val="21"/>
                <w:szCs w:val="21"/>
                <w:color w:val="auto"/>
              </w:rPr>
            </w:pP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$4,932.9</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(3.6)</w:t>
            </w:r>
          </w:p>
        </w:tc>
        <w:tc>
          <w:tcPr>
            <w:tcW w:w="100" w:type="dxa"/>
            <w:vAlign w:val="bottom"/>
          </w:tcPr>
          <w:p>
            <w:pPr>
              <w:spacing w:after="0"/>
              <w:rPr>
                <w:sz w:val="21"/>
                <w:szCs w:val="21"/>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5,824.4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992.8</w:t>
            </w:r>
          </w:p>
        </w:tc>
      </w:tr>
      <w:tr>
        <w:trPr>
          <w:trHeight w:val="195"/>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adjustment upon adoption of financial instruments and AOCI</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9"/>
        </w:trPr>
        <w:tc>
          <w:tcPr>
            <w:tcW w:w="5500" w:type="dxa"/>
            <w:vAlign w:val="bottom"/>
            <w:shd w:val="clear" w:color="auto" w:fill="CCEEFF"/>
          </w:tcPr>
          <w:p>
            <w:pPr>
              <w:ind w:left="40"/>
              <w:spacing w:after="0" w:line="189" w:lineRule="exact"/>
              <w:rPr>
                <w:sz w:val="20"/>
                <w:szCs w:val="20"/>
                <w:color w:val="auto"/>
              </w:rPr>
            </w:pPr>
            <w:r>
              <w:rPr>
                <w:rFonts w:ascii="Arial" w:cs="Arial" w:eastAsia="Arial" w:hAnsi="Arial"/>
                <w:sz w:val="14"/>
                <w:szCs w:val="14"/>
                <w:color w:val="auto"/>
              </w:rPr>
              <w:t>guidance</w:t>
            </w:r>
            <w:r>
              <w:rPr>
                <w:rFonts w:ascii="Arial" w:cs="Arial" w:eastAsia="Arial" w:hAnsi="Arial"/>
                <w:sz w:val="17"/>
                <w:szCs w:val="17"/>
                <w:color w:val="auto"/>
                <w:vertAlign w:val="superscript"/>
              </w:rPr>
              <w:t>(2)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4"/>
        </w:trPr>
        <w:tc>
          <w:tcPr>
            <w:tcW w:w="5500" w:type="dxa"/>
            <w:vAlign w:val="bottom"/>
          </w:tcPr>
          <w:p>
            <w:pPr>
              <w:ind w:left="40"/>
              <w:spacing w:after="0"/>
              <w:rPr>
                <w:sz w:val="20"/>
                <w:szCs w:val="20"/>
                <w:color w:val="auto"/>
              </w:rPr>
            </w:pPr>
            <w:r>
              <w:rPr>
                <w:rFonts w:ascii="Arial" w:cs="Arial" w:eastAsia="Arial" w:hAnsi="Arial"/>
                <w:sz w:val="14"/>
                <w:szCs w:val="14"/>
                <w:color w:val="auto"/>
              </w:rPr>
              <w:t>Reclassification adjustment of stranded tax benefits on currency translation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8"/>
        </w:trPr>
        <w:tc>
          <w:tcPr>
            <w:tcW w:w="5500" w:type="dxa"/>
            <w:vAlign w:val="bottom"/>
          </w:tcPr>
          <w:p>
            <w:pPr>
              <w:ind w:left="40"/>
              <w:spacing w:after="0"/>
              <w:rPr>
                <w:sz w:val="20"/>
                <w:szCs w:val="20"/>
                <w:color w:val="auto"/>
              </w:rPr>
            </w:pPr>
            <w:r>
              <w:rPr>
                <w:rFonts w:ascii="Arial" w:cs="Arial" w:eastAsia="Arial" w:hAnsi="Arial"/>
                <w:sz w:val="14"/>
                <w:szCs w:val="14"/>
                <w:color w:val="auto"/>
              </w:rPr>
              <w:t>adjustments upon adoption of AOCI guidance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56"/>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January 1, 2018</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245,111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846.1</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4,957.6</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5,838.9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992.8</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902.6</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902.6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12.5</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Dividends declared ($1.40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(348.8)</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vesting of restricted stock units, net of shares withheld for taxes</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90.8</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322.6</w:t>
            </w: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(575.2)</w:t>
            </w:r>
          </w:p>
        </w:tc>
      </w:tr>
      <w:tr>
        <w:trPr>
          <w:trHeight w:val="243"/>
        </w:trPr>
        <w:tc>
          <w:tcPr>
            <w:tcW w:w="5500" w:type="dxa"/>
            <w:vAlign w:val="bottom"/>
          </w:tcPr>
          <w:p>
            <w:pPr>
              <w:ind w:left="40"/>
              <w:spacing w:after="0"/>
              <w:rPr>
                <w:sz w:val="20"/>
                <w:szCs w:val="20"/>
                <w:color w:val="auto"/>
              </w:rPr>
            </w:pPr>
            <w:r>
              <w:rPr>
                <w:rFonts w:ascii="Arial" w:cs="Arial" w:eastAsia="Arial" w:hAnsi="Arial"/>
                <w:sz w:val="14"/>
                <w:szCs w:val="14"/>
                <w:color w:val="auto"/>
              </w:rPr>
              <w:t>Balances at June 30, 2018</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243,180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$5,435.1</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6,114.6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739.2</w:t>
            </w: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Accumulated other comprehensive income.</w:t>
      </w:r>
    </w:p>
    <w:p>
      <w:pPr>
        <w:spacing w:after="0" w:line="76" w:lineRule="exact"/>
        <w:rPr>
          <w:rFonts w:ascii="Arial" w:cs="Arial" w:eastAsia="Arial" w:hAnsi="Arial"/>
          <w:sz w:val="13"/>
          <w:szCs w:val="13"/>
          <w:i w:val="1"/>
          <w:iCs w:val="1"/>
          <w:color w:val="auto"/>
          <w:vertAlign w:val="superscript"/>
        </w:rPr>
      </w:pPr>
    </w:p>
    <w:p>
      <w:pPr>
        <w:ind w:right="280" w:firstLine="8"/>
        <w:spacing w:after="0" w:line="267" w:lineRule="auto"/>
        <w:tabs>
          <w:tab w:leader="none" w:pos="128" w:val="left"/>
        </w:tabs>
        <w:numPr>
          <w:ilvl w:val="0"/>
          <w:numId w:val="4"/>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10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4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separately managed accounts, subadvised funds, and other T. Rowe Price products.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Certain prior year amounts have been reclassified to conform to the 2019 presentation.</w:t>
      </w:r>
    </w:p>
    <w:p>
      <w:pPr>
        <w:spacing w:after="0" w:line="204"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2018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 ACCOUNTING GUIDANCE.</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adopted Accounting Standards Update No. 2016-02 — Leases (Topic 842) on January 1, 2019. The update required the recognition of right-of-use lease assets and liabilities on the balance sheet and the disclosure of qualitative and quantitative information about leasing arrangements. We adopted this standard using a modified retrospective approach without restating prior comparative periods. We also elected to use certain practical expedients that allowed us to not perform the following: (1) reassess whether expired or existing non-lease contracts that commenced before January 1, 2019 contained an embedded lease, (2) reevaluate the accounting classification of our existing operating leases, and (3) determine whether initial direct costs related to existing leases should be capitalized under this guidance. On January 1, 2019, we recognized operating lease assets totaling $168.7 million and corresponding operating lease liabilities of $168.7 million related primarily to our real estate leases. At implementation, we also reclassified $27.7 million in deferred rent liabilities related to these leases, reducing the recognized operating lease assets to $ 141.0 million. The adoption did not have a material impact on our results of operations; however, the initial recognition of our operating lease assets and operating lease liabilities on January 1, 2019, represented a non-cash investing activity that affected the amount reported in other changes in assets and liabilities in our unaudited condensed consolidated statements of cash flows. Our leases accounting policy is included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below. Additional information on our operating leases is included in Note 6 -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August 2018, the FASB issued Accounting Standards Update No. 2018-15 — Intangibles—Goodwill and Other— Internal-Use Software (Subtopic 350-40): Customer’s Accounting for Implementation Costs Incurred in a Cloud Computing Arrangement That Is a Service Contract. This update provides additional guidance on the accounting for costs of implementation activities performed in a cloud computing arrangement that is a service contract. The amendments in this update are effective for fiscal years beginning after December 15, 2019, including interim periods within those fiscal years. Though early adoption is permitted, we expect to adopt this update on January 1, 2020. We are currently evaluating the impact this standard will have on our financial position and results of operations.</w:t>
      </w:r>
    </w:p>
    <w:p>
      <w:pPr>
        <w:spacing w:after="0" w:line="20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condensed consolidated statements, including those we have not yet adopted. We do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10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 believe that any such guidance has or will have a material effect on our financial position or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review new arrangements at inception to evaluate whether we substantially obtain all the economic benefits of and have the right to control the use of an asset. If we determine that an arrangement qualifies as a lease, we recognize a lease liability and a corresponding asset on the lease’s commencement date. The lease liability is initially measured at the present value of the future minimum lease payments over the lease term using the rate implicit in the arrangement or, if not available, our incremental borrowing rate. An operating lease asset is measured initially at the value of the lease liability less any lease incentives and initial direct costs incurred.</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leases qualify as operating leases and consist primarily of real estate leases for corporate offices, data centers, and other facilities. We measure our operating lease liabilities using an estimated incremental borrowing rate as there is no rate implicit in any of our operating lease arrangements. Since we do not have any outstanding borrowings, we estimate our incremental borrowing rate using an estimated credit rating and available market information. Additionally, certain of our leases contain options to extend or terminate the lease term that, if exercised, would result in the remeasurement of the operating lease liability.</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leases contain both lease and non-lease components. Non-lease components are distinct elements of a contract that are not related to securing the use of the lease assets, such as common area maintenance and other management costs. We elected to measure the lease liability of our real estate operating leases by combining the lease and non-lease components into one single lease component. As such, we included the fixed payments and any payments that depend on a rate or index related to our lease and non-lease components in measuring the operating lease liability.</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lease expense on a straight-line basis over the lease term. Operating lease expense is recognized as part of technology, occupancy, and facility costs in our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0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three- and six-month periods ended June 30, 2019 and 2018 under agreements with clients include: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Three months ended 6/30/2019</w:t>
            </w: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Three months ended 6/30/2018</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63"/>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2"/>
        </w:trPr>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63"/>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Distribution</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49"/>
        </w:trPr>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2"/>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4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6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860.7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846.9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956.8</w:t>
            </w:r>
          </w:p>
        </w:tc>
      </w:tr>
      <w:tr>
        <w:trPr>
          <w:trHeight w:val="22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409.5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367.5</w:t>
            </w: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 clients</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20.7</w:t>
            </w: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1,270.2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94.9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1,214.4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95.1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1,345.0</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1"/>
        </w:trPr>
        <w:tc>
          <w:tcPr>
            <w:tcW w:w="1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64"/>
        </w:trPr>
        <w:tc>
          <w:tcPr>
            <w:tcW w:w="19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Six months ended 6/30/2019</w:t>
            </w: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Six months ended 6/30/2018</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63"/>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2"/>
        </w:trPr>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63"/>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Distribution</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49"/>
        </w:trPr>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2"/>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4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6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1,676.6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146.3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1,883.2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1,679.8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1,908.1</w:t>
            </w:r>
          </w:p>
        </w:tc>
      </w:tr>
      <w:tr>
        <w:trPr>
          <w:trHeight w:val="22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787.8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723.8</w:t>
            </w: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 clients</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41.1</w:t>
            </w: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2,464.4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197.8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2,403.6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197.3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2,673.0</w:t>
            </w: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Total net revenues earned from our related parties, specifically T. Rowe Price investment products, aggregate $1,147.6 and $1,114.8 million for the three months ended June 30, 2019 and 2018, respectively. Total net revenues earned during the six months ended June 30, 2019 and</w:t>
      </w:r>
    </w:p>
    <w:p>
      <w:pPr>
        <w:spacing w:after="0" w:line="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2018 aggregate $2,241.0 million and $2,215.4 million, respectively. Accounts receivable from these products aggregate to $400.9 million at June 30, 2019, and $354.8 million at December 31,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140" w:type="dxa"/>
            <w:vAlign w:val="bottom"/>
            <w:gridSpan w:val="5"/>
            <w:shd w:val="clear" w:color="auto" w:fill="CCEEFF"/>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22"/>
                <w:szCs w:val="22"/>
                <w:color w:val="auto"/>
              </w:rPr>
            </w:pPr>
          </w:p>
        </w:tc>
        <w:tc>
          <w:tcPr>
            <w:tcW w:w="2020" w:type="dxa"/>
            <w:vAlign w:val="bottom"/>
            <w:gridSpan w:val="4"/>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6/30/2018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736.8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1,431.3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1,423.5</w:t>
            </w:r>
          </w:p>
        </w:tc>
      </w:tr>
      <w:tr>
        <w:trPr>
          <w:trHeight w:val="27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256.3</w:t>
            </w:r>
          </w:p>
        </w:tc>
      </w:tr>
      <w:tr>
        <w:trPr>
          <w:trHeight w:val="244"/>
        </w:trPr>
        <w:tc>
          <w:tcPr>
            <w:tcW w:w="69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860.7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846.9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1,676.6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1,679.8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664.9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605.0</w:t>
            </w:r>
          </w:p>
        </w:tc>
      </w:tr>
      <w:tr>
        <w:trPr>
          <w:trHeight w:val="27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r>
      <w:tr>
        <w:trPr>
          <w:trHeight w:val="244"/>
        </w:trPr>
        <w:tc>
          <w:tcPr>
            <w:tcW w:w="69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367.5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723.8</w:t>
            </w: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2,464.4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2,403.6</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10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fees.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40" w:type="dxa"/>
            <w:vAlign w:val="bottom"/>
            <w:gridSpan w:val="5"/>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2140" w:type="dxa"/>
            <w:vAlign w:val="bottom"/>
            <w:gridSpan w:val="5"/>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4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2"/>
                <w:szCs w:val="22"/>
                <w:color w:val="auto"/>
              </w:rPr>
            </w:pPr>
          </w:p>
        </w:tc>
        <w:tc>
          <w:tcPr>
            <w:tcW w:w="21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22"/>
                <w:szCs w:val="22"/>
                <w:color w:val="auto"/>
              </w:rPr>
            </w:pPr>
          </w:p>
        </w:tc>
      </w:tr>
      <w:tr>
        <w:trPr>
          <w:trHeight w:val="270"/>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12/31/2018</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441.1</w:t>
            </w:r>
          </w:p>
        </w:tc>
      </w:tr>
      <w:tr>
        <w:trPr>
          <w:trHeight w:val="264"/>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123.4</w:t>
            </w:r>
          </w:p>
        </w:tc>
      </w:tr>
      <w:tr>
        <w:trPr>
          <w:trHeight w:val="257"/>
        </w:trPr>
        <w:tc>
          <w:tcPr>
            <w:tcW w:w="46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638.5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624.6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624.4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623.3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648.3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564.5</w:t>
            </w:r>
          </w:p>
        </w:tc>
      </w:tr>
      <w:tr>
        <w:trPr>
          <w:trHeight w:val="209"/>
        </w:trPr>
        <w:tc>
          <w:tcPr>
            <w:tcW w:w="4640" w:type="dxa"/>
            <w:vAlign w:val="bottom"/>
          </w:tcPr>
          <w:p>
            <w:pPr>
              <w:ind w:left="40"/>
              <w:spacing w:after="0"/>
              <w:rPr>
                <w:sz w:val="20"/>
                <w:szCs w:val="20"/>
                <w:color w:val="auto"/>
              </w:rPr>
            </w:pPr>
            <w:r>
              <w:rPr>
                <w:rFonts w:ascii="Arial" w:cs="Arial" w:eastAsia="Arial" w:hAnsi="Arial"/>
                <w:sz w:val="18"/>
                <w:szCs w:val="18"/>
                <w:color w:val="auto"/>
              </w:rPr>
              <w:t>Subadvised and separate accounts and other investment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4"/>
        </w:trPr>
        <w:tc>
          <w:tcPr>
            <w:tcW w:w="4640" w:type="dxa"/>
            <w:vAlign w:val="bottom"/>
          </w:tcPr>
          <w:p>
            <w:pPr>
              <w:ind w:left="4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7"/>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299.2</w:t>
            </w:r>
          </w:p>
        </w:tc>
      </w:tr>
      <w:tr>
        <w:trPr>
          <w:trHeight w:val="264"/>
        </w:trPr>
        <w:tc>
          <w:tcPr>
            <w:tcW w:w="4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98.6</w:t>
            </w:r>
          </w:p>
        </w:tc>
      </w:tr>
      <w:tr>
        <w:trPr>
          <w:trHeight w:val="250"/>
        </w:trPr>
        <w:tc>
          <w:tcPr>
            <w:tcW w:w="46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461.3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411.9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407.7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476.7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397.8</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1,099.8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1,036.5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1,071.8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1,031.0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962.3</w:t>
            </w: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6.4% and 6.2% of our assets under management at June 30, 2019, and December 31,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6/30/2019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1,538.4</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T. Rowe Price investment products designated as an economic hedge of supplemental savings plan</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381.3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276.2</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152.4</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2,575.2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2,453.4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three- and six- months ended June 30, 2019, net gains on investments included $28.7 million and $79.3 million of net unrealized gains related to investments held at fair value that were still held at June 30, 2019. For the three- and six- months ended June 30, 2018, the net gains on investments included $8.0 million and $6.1 million, respectively, of net unrealized gains on investments held at fair value that were still held at June 30, 2018.</w:t>
      </w:r>
    </w:p>
    <w:p>
      <w:pPr>
        <w:spacing w:after="0" w:line="2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During the six months ended June 30, 2019 and 2018,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six months ended June 30, 2019 and 2018, certain T. Rowe Price investment products that were being accounted for as equity method investments were consolidated, as we regained a controlling interest. The net impact of these</w:t>
      </w:r>
    </w:p>
    <w:p>
      <w:pPr>
        <w:sectPr>
          <w:pgSz w:w="11900" w:h="16838" w:orient="portrait"/>
          <w:cols w:equalWidth="0" w:num="1">
            <w:col w:w="11420"/>
          </w:cols>
          <w:pgMar w:left="240" w:top="1057"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11</w:t>
      </w:r>
    </w:p>
    <w:p>
      <w:pPr>
        <w:sectPr>
          <w:pgSz w:w="11900" w:h="16838" w:orient="portrait"/>
          <w:cols w:equalWidth="0" w:num="1">
            <w:col w:w="11420"/>
          </w:cols>
          <w:pgMar w:left="240" w:top="1057" w:right="239" w:bottom="1440" w:gutter="0" w:footer="0" w:header="0"/>
          <w:type w:val="continuous"/>
        </w:sectPr>
      </w:pPr>
    </w:p>
    <w:bookmarkStart w:id="11" w:name="page12"/>
    <w:bookmarkEnd w:id="11"/>
    <w:p>
      <w:pPr>
        <w:ind w:right="1220"/>
        <w:spacing w:after="0" w:line="262" w:lineRule="auto"/>
        <w:rPr>
          <w:sz w:val="20"/>
          <w:szCs w:val="20"/>
          <w:color w:val="auto"/>
        </w:rPr>
      </w:pPr>
      <w:r>
        <w:rPr>
          <w:rFonts w:ascii="Arial" w:cs="Arial" w:eastAsia="Arial" w:hAnsi="Arial"/>
          <w:sz w:val="18"/>
          <w:szCs w:val="18"/>
          <w:color w:val="auto"/>
        </w:rPr>
        <w:t>changes on our unaudited condensed consolidated balance sheets and statements of income as of the dates the portfolios were deconsolidated or reconsolidated is detailed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4"/>
            <w:shd w:val="clear" w:color="auto" w:fill="CCEEFF"/>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258"/>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6/30/2018</w:t>
            </w:r>
          </w:p>
        </w:tc>
      </w:tr>
      <w:tr>
        <w:trPr>
          <w:trHeight w:val="21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assets of consolidated T. Rowe Price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w:t>
            </w: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Net increase (decrease) in liabilities of consolidated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T. Rowe Price investment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18.5</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r>
      <w:tr>
        <w:trPr>
          <w:trHeight w:val="284"/>
        </w:trPr>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recognized upon deconsolidation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bl>
    <w:p>
      <w:pPr>
        <w:spacing w:after="0" w:line="2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investments at June 30, 2019 and December 31, 2018, include interests in variable interest entities that we do not consolidate as we are not deemed the primary beneficiary. Our maximum risk of loss related to our involvement with these entities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6/30/2019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12/31/2018</w:t>
            </w:r>
          </w:p>
        </w:tc>
      </w:tr>
      <w:tr>
        <w:trPr>
          <w:trHeight w:val="249"/>
        </w:trPr>
        <w:tc>
          <w:tcPr>
            <w:tcW w:w="878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143.3</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175.8</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unfunded capital commitments totaling $22.4 million and $27.3 million at June 30, 2019 and December 31, 2018, respectively, relate primarily to the investment partnerships in which we have an existing investment. In addition to such amounts, a percentage of prior distributions may be called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obtained from independent sources.</w:t>
      </w:r>
    </w:p>
    <w:p>
      <w:pPr>
        <w:spacing w:after="0" w:line="9" w:lineRule="exact"/>
        <w:rPr>
          <w:sz w:val="20"/>
          <w:szCs w:val="20"/>
          <w:color w:val="auto"/>
        </w:rPr>
      </w:pPr>
    </w:p>
    <w:p>
      <w:pPr>
        <w:ind w:left="1460" w:right="2380" w:hanging="1458"/>
        <w:spacing w:after="0" w:line="262"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4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1057" w:right="239" w:bottom="1440" w:gutter="0" w:footer="0" w:header="0"/>
        </w:sectPr>
      </w:pPr>
    </w:p>
    <w:bookmarkStart w:id="12" w:name="page13"/>
    <w:bookmarkEnd w:id="12"/>
    <w:tbl>
      <w:tblPr>
        <w:tblLayout w:type="fixed"/>
        <w:tblInd w:w="180" w:type="dxa"/>
        <w:tblCellMar>
          <w:top w:w="0" w:type="dxa"/>
          <w:left w:w="0" w:type="dxa"/>
          <w:bottom w:w="0" w:type="dxa"/>
          <w:right w:w="0" w:type="dxa"/>
        </w:tblCellMar>
      </w:tblPr>
      <w:tr>
        <w:trPr>
          <w:trHeight w:val="264"/>
        </w:trPr>
        <w:tc>
          <w:tcPr>
            <w:tcW w:w="63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6/30/2019</w:t>
            </w: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12/31/2018</w:t>
            </w:r>
          </w:p>
        </w:tc>
        <w:tc>
          <w:tcPr>
            <w:tcW w:w="820" w:type="dxa"/>
            <w:vAlign w:val="bottom"/>
            <w:tcBorders>
              <w:bottom w:val="single" w:sz="8" w:color="auto"/>
            </w:tcBorders>
            <w:shd w:val="clear" w:color="auto" w:fill="CCEEFF"/>
          </w:tcPr>
          <w:p>
            <w:pPr>
              <w:spacing w:after="0"/>
              <w:rPr>
                <w:sz w:val="22"/>
                <w:szCs w:val="22"/>
                <w:color w:val="auto"/>
              </w:rPr>
            </w:pPr>
          </w:p>
        </w:tc>
      </w:tr>
      <w:tr>
        <w:trPr>
          <w:trHeight w:val="26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r>
      <w:tr>
        <w:trPr>
          <w:trHeight w:val="25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 held in T. Rowe Price money market funds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1,542.7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1,196.0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6380" w:type="dxa"/>
            <w:vAlign w:val="bottom"/>
          </w:tcPr>
          <w:p>
            <w:pPr>
              <w:ind w:left="20"/>
              <w:spacing w:after="0"/>
              <w:rPr>
                <w:sz w:val="20"/>
                <w:szCs w:val="20"/>
                <w:color w:val="auto"/>
              </w:rPr>
            </w:pPr>
            <w:r>
              <w:rPr>
                <w:rFonts w:ascii="Arial" w:cs="Arial" w:eastAsia="Arial" w:hAnsi="Arial"/>
                <w:sz w:val="18"/>
                <w:szCs w:val="18"/>
                <w:color w:val="auto"/>
              </w:rPr>
              <w:t>T. Rowe Price investment products</w:t>
            </w:r>
          </w:p>
        </w:tc>
        <w:tc>
          <w:tcPr>
            <w:tcW w:w="220" w:type="dxa"/>
            <w:vAlign w:val="bottom"/>
          </w:tcPr>
          <w:p>
            <w:pPr>
              <w:spacing w:after="0"/>
              <w:rPr>
                <w:sz w:val="22"/>
                <w:szCs w:val="22"/>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1,538.7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1,519.2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19.2</w:t>
            </w:r>
          </w:p>
        </w:tc>
      </w:tr>
      <w:tr>
        <w:trPr>
          <w:trHeight w:val="235"/>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 designated as economic hedge of</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4"/>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3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3,522.7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3,096.5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required by the accounting guidance, the fair value hierarchy levels table above does not include the investment partnerships and other investments that are held at fair value using their NAV per share as a practical expedient. The carrying value of these investments as disclosed in Note 3 were $100.4 million at June 30, 2019 and $99.6 million at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175"/>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5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95.5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Investments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1,721.1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2,023.0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1,584.0</w:t>
            </w:r>
          </w:p>
        </w:tc>
      </w:tr>
      <w:tr>
        <w:trPr>
          <w:trHeight w:val="264"/>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r>
        <w:trPr>
          <w:trHeight w:val="250"/>
        </w:trPr>
        <w:tc>
          <w:tcPr>
            <w:tcW w:w="46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1,875.1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2,203.4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1,680.4</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r>
      <w:tr>
        <w:trPr>
          <w:trHeight w:val="29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301.6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1,799.3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2,100.9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1,369.9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1,641.7</w:t>
            </w:r>
          </w:p>
        </w:tc>
      </w:tr>
      <w:tr>
        <w:trPr>
          <w:trHeight w:val="305"/>
        </w:trPr>
        <w:tc>
          <w:tcPr>
            <w:tcW w:w="4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1,088.6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901.4</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914.5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1,012.3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643.8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740.3</w:t>
            </w:r>
          </w:p>
        </w:tc>
      </w:tr>
      <w:tr>
        <w:trPr>
          <w:trHeight w:val="250"/>
        </w:trPr>
        <w:tc>
          <w:tcPr>
            <w:tcW w:w="46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1,799.3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2,100.9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1,641.7</w:t>
            </w: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Cash and cash equivalents includes $14.2 million and $18.5 million at June 30, 2019 and December 31, 2018, respectively, of T. Rowe Price money market mutual funds.</w:t>
      </w:r>
    </w:p>
    <w:p>
      <w:pPr>
        <w:ind w:left="140" w:hanging="132"/>
        <w:spacing w:after="0" w:line="224" w:lineRule="auto"/>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Investments includes $41.1 million and $43.8 million at June 30, 2019 and December 31, 2018, respectively, of T. Rowe Price investment products.</w:t>
      </w:r>
    </w:p>
    <w:p>
      <w:pPr>
        <w:spacing w:after="0" w:line="20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1193" w:right="239" w:bottom="1440" w:gutter="0" w:footer="0" w:header="0"/>
        </w:sectPr>
      </w:pPr>
    </w:p>
    <w:bookmarkStart w:id="13" w:name="page14"/>
    <w:bookmarkEnd w:id="13"/>
    <w:p>
      <w:pPr>
        <w:ind w:right="80"/>
        <w:spacing w:after="0" w:line="262" w:lineRule="auto"/>
        <w:rPr>
          <w:sz w:val="20"/>
          <w:szCs w:val="20"/>
          <w:color w:val="auto"/>
        </w:rPr>
      </w:pPr>
      <w:r>
        <w:rPr>
          <w:rFonts w:ascii="Arial" w:cs="Arial" w:eastAsia="Arial" w:hAnsi="Arial"/>
          <w:sz w:val="18"/>
          <w:szCs w:val="18"/>
          <w:color w:val="auto"/>
        </w:rPr>
        <w:t>The operating results of the consolidated T. Rowe Price investment products for the three- and six- months ended June 30, 2019 and 2018 are reflected in our unaudited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73660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64"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26035</wp:posOffset>
            </wp:positionV>
            <wp:extent cx="4305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5"/>
        </w:trPr>
        <w:tc>
          <w:tcPr>
            <w:tcW w:w="4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4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9"/>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(loss) reflected in non-operating</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r>
      <w:tr>
        <w:trPr>
          <w:trHeight w:val="29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w:t>
            </w:r>
          </w:p>
        </w:tc>
      </w:tr>
      <w:tr>
        <w:trPr>
          <w:trHeight w:val="305"/>
        </w:trPr>
        <w:tc>
          <w:tcPr>
            <w:tcW w:w="4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Net income (loss) 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5.3</w:t>
            </w: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r>
      <w:tr>
        <w:trPr>
          <w:trHeight w:val="250"/>
        </w:trPr>
        <w:tc>
          <w:tcPr>
            <w:tcW w:w="46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35"/>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4"/>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66"/>
        </w:trPr>
        <w:tc>
          <w:tcPr>
            <w:tcW w:w="46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r>
      <w:tr>
        <w:trPr>
          <w:trHeight w:val="258"/>
        </w:trPr>
        <w:tc>
          <w:tcPr>
            <w:tcW w:w="46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75"/>
        </w:trPr>
        <w:tc>
          <w:tcPr>
            <w:tcW w:w="4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4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9"/>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19.9</w:t>
            </w:r>
          </w:p>
        </w:tc>
      </w:tr>
      <w:tr>
        <w:trPr>
          <w:trHeight w:val="29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14.3</w:t>
            </w:r>
          </w:p>
        </w:tc>
      </w:tr>
      <w:tr>
        <w:trPr>
          <w:trHeight w:val="359"/>
        </w:trPr>
        <w:tc>
          <w:tcPr>
            <w:tcW w:w="4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w:t>
            </w: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r>
      <w:tr>
        <w:trPr>
          <w:trHeight w:val="250"/>
        </w:trPr>
        <w:tc>
          <w:tcPr>
            <w:tcW w:w="46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14.3</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The operating expenses of the consolidated investment products are reflected in other operating expenses. In preparing our unaudited condensed consolidated financial statements, we eliminated operating expenses of $2.2 million and $1.4 million for the three months ended June 30, 2019 and 2018, respectively, against the investment advisory and administrative fees earned from these products. Operating expenses eliminated for the six months ended June 30, 2019 and 2018, were $3.7 million and $3.1 million, respectively. The net investment income reflected in non-operating income includes dividend and interest income and realized and unrealized gains and losses on the underlying securities held by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1057" w:right="239" w:bottom="1440" w:gutter="0" w:footer="0" w:header="0"/>
        </w:sectPr>
      </w:pPr>
    </w:p>
    <w:bookmarkStart w:id="14" w:name="page15"/>
    <w:bookmarkEnd w:id="14"/>
    <w:p>
      <w:pPr>
        <w:ind w:right="160"/>
        <w:spacing w:after="0" w:line="262"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six months ended June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5"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26035</wp:posOffset>
            </wp:positionV>
            <wp:extent cx="4305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46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 consolidated</w:t>
            </w: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8"/>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 Rowe Price investment products</w:t>
            </w: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54"/>
        </w:trPr>
        <w:tc>
          <w:tcPr>
            <w:tcW w:w="46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net cash provided by financing activities during the six months ended June 30, 2019 and 2018 includes $146.9 million and $115.6 million, respectively, of net subscriptions we made into the consolidated T. Rowe Price investment products, net of dividends received. These cash flows were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100" w:hanging="728"/>
        <w:spacing w:after="0" w:line="262"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9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6/30/2019</w:t>
            </w: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gridSpan w:val="4"/>
            <w:shd w:val="clear" w:color="auto" w:fill="CCEEFF"/>
          </w:tcPr>
          <w:p>
            <w:pPr>
              <w:jc w:val="right"/>
              <w:ind w:right="633"/>
              <w:spacing w:after="0"/>
              <w:rPr>
                <w:sz w:val="20"/>
                <w:szCs w:val="20"/>
                <w:color w:val="auto"/>
              </w:rPr>
            </w:pPr>
            <w:r>
              <w:rPr>
                <w:rFonts w:ascii="Arial" w:cs="Arial" w:eastAsia="Arial" w:hAnsi="Arial"/>
                <w:sz w:val="14"/>
                <w:szCs w:val="14"/>
                <w:b w:val="1"/>
                <w:bCs w:val="1"/>
                <w:color w:val="auto"/>
              </w:rPr>
              <w:t>12/31/2018</w:t>
            </w:r>
          </w:p>
        </w:tc>
      </w:tr>
      <w:tr>
        <w:trPr>
          <w:trHeight w:val="264"/>
        </w:trPr>
        <w:tc>
          <w:tcPr>
            <w:tcW w:w="69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840" w:type="dxa"/>
            <w:vAlign w:val="bottom"/>
          </w:tcPr>
          <w:p>
            <w:pPr>
              <w:jc w:val="right"/>
              <w:ind w:right="173"/>
              <w:spacing w:after="0"/>
              <w:rPr>
                <w:sz w:val="20"/>
                <w:szCs w:val="20"/>
                <w:color w:val="auto"/>
              </w:rPr>
            </w:pPr>
            <w:r>
              <w:rPr>
                <w:rFonts w:ascii="Arial" w:cs="Arial" w:eastAsia="Arial" w:hAnsi="Arial"/>
                <w:sz w:val="14"/>
                <w:szCs w:val="14"/>
                <w:b w:val="1"/>
                <w:bCs w:val="1"/>
                <w:color w:val="auto"/>
              </w:rPr>
              <w:t>Level 2</w:t>
            </w:r>
          </w:p>
        </w:tc>
      </w:tr>
      <w:tr>
        <w:trPr>
          <w:trHeight w:val="270"/>
        </w:trPr>
        <w:tc>
          <w:tcPr>
            <w:tcW w:w="6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3"/>
        </w:trPr>
        <w:tc>
          <w:tcPr>
            <w:tcW w:w="692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483.5</w:t>
            </w:r>
          </w:p>
        </w:tc>
      </w:tr>
      <w:tr>
        <w:trPr>
          <w:trHeight w:val="263"/>
        </w:trPr>
        <w:tc>
          <w:tcPr>
            <w:tcW w:w="692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1,160.8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890.2</w:t>
            </w:r>
          </w:p>
        </w:tc>
      </w:tr>
      <w:tr>
        <w:trPr>
          <w:trHeight w:val="27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r>
      <w:tr>
        <w:trPr>
          <w:trHeight w:val="290"/>
        </w:trPr>
        <w:tc>
          <w:tcPr>
            <w:tcW w:w="69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1,811.3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1,392.7</w:t>
            </w:r>
          </w:p>
        </w:tc>
      </w:tr>
      <w:tr>
        <w:trPr>
          <w:trHeight w:val="284"/>
        </w:trPr>
        <w:tc>
          <w:tcPr>
            <w:tcW w:w="6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57"/>
        </w:trPr>
        <w:tc>
          <w:tcPr>
            <w:tcW w:w="69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15</w:t>
      </w:r>
    </w:p>
    <w:p>
      <w:pPr>
        <w:sectPr>
          <w:pgSz w:w="11900" w:h="16838" w:orient="portrait"/>
          <w:cols w:equalWidth="0" w:num="1">
            <w:col w:w="11420"/>
          </w:cols>
          <w:pgMar w:left="240" w:top="1057"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LEASES.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of our leases are operating leases and primarily consist of real estate leases for corporate offices, data centers, and other facilities. As of June 30, 2019, the weighted-average remaining lease term on our leases is approximately 7.0 years and the weighted-average discount rate used to measure the lease liabilities is 3.5%.</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lease expense for the three months ended June 30, 2019 and 2018, was $8.5 million and $6.5 million, respectively. Operating lease expense for the six months ended June 30, 2019 and 2018, was $15.8 million and $14.7 million, respectively. Charges related to our operating leases that are variable, including variable common area maintenance charges and other management-related costs, and not included in the measurement of the lease liabilities, were $2.4 million for the three months ended June 30, 2019 and $5.1 million for the six months ended June 30, 2019.</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made lease payments of $16.9 million during the six months ended June 30, 2019. Our future undiscounted cash flows related to our operating leases and the reconciliation to the operating lease liability as of June 30, 2019,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6/30/2019</w:t>
            </w:r>
          </w:p>
        </w:tc>
      </w:tr>
      <w:tr>
        <w:trPr>
          <w:trHeight w:val="246"/>
        </w:trPr>
        <w:tc>
          <w:tcPr>
            <w:tcW w:w="10160" w:type="dxa"/>
            <w:vAlign w:val="bottom"/>
          </w:tcPr>
          <w:p>
            <w:pPr>
              <w:ind w:left="180"/>
              <w:spacing w:after="0"/>
              <w:rPr>
                <w:sz w:val="20"/>
                <w:szCs w:val="20"/>
                <w:color w:val="auto"/>
              </w:rPr>
            </w:pPr>
            <w:r>
              <w:rPr>
                <w:rFonts w:ascii="Arial" w:cs="Arial" w:eastAsia="Arial" w:hAnsi="Arial"/>
                <w:sz w:val="18"/>
                <w:szCs w:val="18"/>
                <w:color w:val="auto"/>
              </w:rPr>
              <w:t>2019 (excluding the six months ended June 30,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w:t>
            </w:r>
          </w:p>
        </w:tc>
      </w:tr>
      <w:tr>
        <w:trPr>
          <w:trHeight w:val="263"/>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r>
      <w:tr>
        <w:trPr>
          <w:trHeight w:val="250"/>
        </w:trPr>
        <w:tc>
          <w:tcPr>
            <w:tcW w:w="10160" w:type="dxa"/>
            <w:vAlign w:val="bottom"/>
          </w:tcPr>
          <w:p>
            <w:pPr>
              <w:ind w:left="1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26.6</w:t>
            </w:r>
          </w:p>
        </w:tc>
      </w:tr>
      <w:tr>
        <w:trPr>
          <w:trHeight w:val="263"/>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r>
      <w:tr>
        <w:trPr>
          <w:trHeight w:val="250"/>
        </w:trPr>
        <w:tc>
          <w:tcPr>
            <w:tcW w:w="10160" w:type="dxa"/>
            <w:vAlign w:val="bottom"/>
          </w:tcPr>
          <w:p>
            <w:pPr>
              <w:ind w:left="18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257"/>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62.9</w:t>
            </w:r>
          </w:p>
        </w:tc>
      </w:tr>
      <w:tr>
        <w:trPr>
          <w:trHeight w:val="250"/>
        </w:trPr>
        <w:tc>
          <w:tcPr>
            <w:tcW w:w="10160" w:type="dxa"/>
            <w:vAlign w:val="bottom"/>
          </w:tcPr>
          <w:p>
            <w:pPr>
              <w:ind w:left="180"/>
              <w:spacing w:after="0"/>
              <w:rPr>
                <w:sz w:val="20"/>
                <w:szCs w:val="20"/>
                <w:color w:val="auto"/>
              </w:rPr>
            </w:pPr>
            <w:r>
              <w:rPr>
                <w:rFonts w:ascii="Arial" w:cs="Arial" w:eastAsia="Arial" w:hAnsi="Arial"/>
                <w:sz w:val="18"/>
                <w:szCs w:val="18"/>
                <w:color w:val="auto"/>
              </w:rPr>
              <w:t>Total future undiscounted cash flows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174.9</w:t>
            </w:r>
          </w:p>
        </w:tc>
      </w:tr>
      <w:tr>
        <w:trPr>
          <w:trHeight w:val="257"/>
        </w:trPr>
        <w:tc>
          <w:tcPr>
            <w:tcW w:w="10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 to be recognized in lease expense</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57"/>
        </w:trPr>
        <w:tc>
          <w:tcPr>
            <w:tcW w:w="10160" w:type="dxa"/>
            <w:vAlign w:val="bottom"/>
          </w:tcPr>
          <w:p>
            <w:pPr>
              <w:ind w:left="180"/>
              <w:spacing w:after="0"/>
              <w:rPr>
                <w:sz w:val="20"/>
                <w:szCs w:val="20"/>
                <w:color w:val="auto"/>
              </w:rPr>
            </w:pPr>
            <w:r>
              <w:rPr>
                <w:rFonts w:ascii="Arial" w:cs="Arial" w:eastAsia="Arial" w:hAnsi="Arial"/>
                <w:sz w:val="18"/>
                <w:szCs w:val="18"/>
                <w:color w:val="auto"/>
              </w:rPr>
              <w:t>Operating lease liabilities, as reported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154.9</w:t>
            </w:r>
          </w:p>
        </w:tc>
      </w:tr>
      <w:tr>
        <w:trPr>
          <w:trHeight w:val="20"/>
        </w:trPr>
        <w:tc>
          <w:tcPr>
            <w:tcW w:w="10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Accounts payable and accrued expenses includes liabilities of $9.2 million at December 31, 2018, for common stock repurchases that settled during the first week of January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six months ended June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85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price</w:t>
            </w:r>
          </w:p>
        </w:tc>
      </w:tr>
      <w:tr>
        <w:trPr>
          <w:trHeight w:val="249"/>
        </w:trPr>
        <w:tc>
          <w:tcPr>
            <w:tcW w:w="858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11,300,393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69.05</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(1,765,404)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62.39</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(86,456)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76.68</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59.07</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2019</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9,440,724</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70.23</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2019</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7,485,674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68.59</w:t>
            </w:r>
          </w:p>
        </w:tc>
      </w:tr>
      <w:tr>
        <w:trPr>
          <w:trHeight w:val="20"/>
        </w:trPr>
        <w:tc>
          <w:tcPr>
            <w:tcW w:w="8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10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six months ended June 30,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Restricted</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stock</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196"/>
        </w:trPr>
        <w:tc>
          <w:tcPr>
            <w:tcW w:w="74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37"/>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December 31, 2018</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136,964</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6,603,920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87.07</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7,404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34,221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100.03</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(55,360)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97.65</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(269,073)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87.81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June 30, 2019</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128,539</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6,313,708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87.02</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Nonvested at June 30, 2019, includes 2,400 performance-based restricted shares and 450,727 performance-based restricted stock units. These nonvested performance-based restricted shares and units include 2,400 restricted shares and 289,906 restricted stock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June 30, 2019.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60" w:type="dxa"/>
            <w:vAlign w:val="bottom"/>
          </w:tcPr>
          <w:p>
            <w:pPr>
              <w:ind w:left="40"/>
              <w:spacing w:after="0"/>
              <w:rPr>
                <w:sz w:val="20"/>
                <w:szCs w:val="20"/>
                <w:color w:val="auto"/>
              </w:rPr>
            </w:pPr>
            <w:r>
              <w:rPr>
                <w:rFonts w:ascii="Arial" w:cs="Arial" w:eastAsia="Arial" w:hAnsi="Arial"/>
                <w:sz w:val="18"/>
                <w:szCs w:val="18"/>
                <w:color w:val="auto"/>
              </w:rPr>
              <w:t>Third quarter 2019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63"/>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2019</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50"/>
        </w:trPr>
        <w:tc>
          <w:tcPr>
            <w:tcW w:w="10160" w:type="dxa"/>
            <w:vAlign w:val="bottom"/>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100.7</w:t>
            </w:r>
          </w:p>
        </w:tc>
      </w:tr>
      <w:tr>
        <w:trPr>
          <w:trHeight w:val="257"/>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 through 2024</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273.8</w:t>
            </w:r>
          </w:p>
        </w:tc>
      </w:tr>
      <w:tr>
        <w:trPr>
          <w:trHeight w:val="20"/>
        </w:trPr>
        <w:tc>
          <w:tcPr>
            <w:tcW w:w="10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 CALCULATIONS.</w:t>
      </w:r>
    </w:p>
    <w:p>
      <w:pPr>
        <w:spacing w:after="0" w:line="24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stock options had an anti-dilutive impact on the diluted earnings per common share calculation in the periods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4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420" w:type="dxa"/>
            <w:vAlign w:val="bottom"/>
            <w:gridSpan w:val="4"/>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6/30/2018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527.5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902.6</w:t>
            </w: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21.1</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1,013.3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881.5</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97"/>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236.2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243.2</w:t>
            </w: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248.6</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17</w:t>
      </w:r>
    </w:p>
    <w:p>
      <w:pPr>
        <w:sectPr>
          <w:pgSz w:w="11900" w:h="16838" w:orient="portrait"/>
          <w:cols w:equalWidth="0" w:num="1">
            <w:col w:w="11420"/>
          </w:cols>
          <w:pgMar w:left="240" w:top="1035"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 OTHER COMPREHENSIVE INCOME AND ACCUMULATED OTHER COMPREHENSIVE INCOME.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4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3"/>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6/30/2018</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5"/>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 recognized in the provision for income taxes</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upon deconsolidation of a T. Rowe Price investment product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6060" w:type="dxa"/>
            <w:vAlign w:val="bottom"/>
          </w:tcPr>
          <w:p>
            <w:pPr>
              <w:ind w:left="40"/>
              <w:spacing w:after="0"/>
              <w:rPr>
                <w:sz w:val="20"/>
                <w:szCs w:val="20"/>
                <w:color w:val="auto"/>
              </w:rPr>
            </w:pPr>
            <w:r>
              <w:rPr>
                <w:rFonts w:ascii="Arial" w:cs="Arial" w:eastAsia="Arial" w:hAnsi="Arial"/>
                <w:sz w:val="18"/>
                <w:szCs w:val="18"/>
                <w:color w:val="auto"/>
              </w:rPr>
              <w:t>Total deferred tax benefits (income taxes) on currency translation</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for the three months ended June 30, 2019 and 2018 are presented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880" w:type="dxa"/>
            <w:vAlign w:val="bottom"/>
            <w:tcBorders>
              <w:bottom w:val="single" w:sz="8" w:color="auto"/>
            </w:tcBorders>
            <w:gridSpan w:val="7"/>
            <w:shd w:val="clear" w:color="auto" w:fill="CCEEFF"/>
          </w:tcPr>
          <w:p>
            <w:pPr>
              <w:jc w:val="center"/>
              <w:ind w:right="15"/>
              <w:spacing w:after="0"/>
              <w:rPr>
                <w:sz w:val="20"/>
                <w:szCs w:val="20"/>
                <w:color w:val="auto"/>
              </w:rPr>
            </w:pPr>
            <w:r>
              <w:rPr>
                <w:rFonts w:ascii="Arial" w:cs="Arial" w:eastAsia="Arial" w:hAnsi="Arial"/>
                <w:sz w:val="14"/>
                <w:szCs w:val="14"/>
                <w:b w:val="1"/>
                <w:bCs w:val="1"/>
                <w:color w:val="auto"/>
              </w:rPr>
              <w:t>Three months ended 6/30/2019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900" w:type="dxa"/>
            <w:vAlign w:val="bottom"/>
            <w:tcBorders>
              <w:bottom w:val="single" w:sz="8" w:color="auto"/>
            </w:tcBorders>
            <w:gridSpan w:val="7"/>
            <w:shd w:val="clear" w:color="auto" w:fill="CCEEFF"/>
          </w:tcPr>
          <w:p>
            <w:pPr>
              <w:jc w:val="center"/>
              <w:ind w:right="15"/>
              <w:spacing w:after="0"/>
              <w:rPr>
                <w:sz w:val="20"/>
                <w:szCs w:val="20"/>
                <w:color w:val="auto"/>
              </w:rPr>
            </w:pPr>
            <w:r>
              <w:rPr>
                <w:rFonts w:ascii="Arial" w:cs="Arial" w:eastAsia="Arial" w:hAnsi="Arial"/>
                <w:sz w:val="14"/>
                <w:szCs w:val="14"/>
                <w:b w:val="1"/>
                <w:bCs w:val="1"/>
                <w:color w:val="auto"/>
              </w:rPr>
              <w:t>Three months ended 6/30/2018</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Currency translation adjustments</w:t>
            </w:r>
          </w:p>
        </w:tc>
        <w:tc>
          <w:tcPr>
            <w:tcW w:w="120" w:type="dxa"/>
            <w:vAlign w:val="bottom"/>
          </w:tcPr>
          <w:p>
            <w:pPr>
              <w:spacing w:after="0"/>
              <w:rPr>
                <w:sz w:val="21"/>
                <w:szCs w:val="21"/>
                <w:color w:val="auto"/>
              </w:rPr>
            </w:pPr>
          </w:p>
        </w:tc>
        <w:tc>
          <w:tcPr>
            <w:tcW w:w="3900" w:type="dxa"/>
            <w:vAlign w:val="bottom"/>
            <w:gridSpan w:val="7"/>
          </w:tcPr>
          <w:p>
            <w:pPr>
              <w:jc w:val="center"/>
              <w:ind w:right="15"/>
              <w:spacing w:after="0"/>
              <w:rPr>
                <w:sz w:val="20"/>
                <w:szCs w:val="20"/>
                <w:color w:val="auto"/>
              </w:rPr>
            </w:pPr>
            <w:r>
              <w:rPr>
                <w:rFonts w:ascii="Arial" w:cs="Arial" w:eastAsia="Arial" w:hAnsi="Arial"/>
                <w:sz w:val="14"/>
                <w:szCs w:val="14"/>
                <w:b w:val="1"/>
                <w:bCs w:val="1"/>
                <w:color w:val="auto"/>
              </w:rPr>
              <w:t>Currency translation adjustments</w:t>
            </w:r>
          </w:p>
        </w:tc>
        <w:tc>
          <w:tcPr>
            <w:tcW w:w="0" w:type="dxa"/>
            <w:vAlign w:val="bottom"/>
          </w:tcPr>
          <w:p>
            <w:pPr>
              <w:spacing w:after="0"/>
              <w:rPr>
                <w:sz w:val="1"/>
                <w:szCs w:val="1"/>
                <w:color w:val="auto"/>
              </w:rPr>
            </w:pPr>
          </w:p>
        </w:tc>
      </w:tr>
      <w:tr>
        <w:trPr>
          <w:trHeight w:val="175"/>
        </w:trPr>
        <w:tc>
          <w:tcPr>
            <w:tcW w:w="3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35"/>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35"/>
              <w:spacing w:after="0"/>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right="55"/>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w:t>
            </w: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40"/>
              <w:spacing w:after="0"/>
              <w:rPr>
                <w:sz w:val="20"/>
                <w:szCs w:val="20"/>
                <w:color w:val="auto"/>
              </w:rPr>
            </w:pPr>
            <w:r>
              <w:rPr>
                <w:rFonts w:ascii="Arial" w:cs="Arial" w:eastAsia="Arial" w:hAnsi="Arial"/>
                <w:sz w:val="16"/>
                <w:szCs w:val="16"/>
                <w:color w:val="auto"/>
              </w:rPr>
              <w:t>Reclassification adjustments recognized in</w:t>
            </w:r>
          </w:p>
        </w:tc>
        <w:tc>
          <w:tcPr>
            <w:tcW w:w="140" w:type="dxa"/>
            <w:vAlign w:val="bottom"/>
          </w:tcPr>
          <w:p>
            <w:pPr>
              <w:spacing w:after="0"/>
              <w:rPr>
                <w:sz w:val="18"/>
                <w:szCs w:val="18"/>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326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4"/>
        </w:trPr>
        <w:tc>
          <w:tcPr>
            <w:tcW w:w="326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1089" w:right="239" w:bottom="1440" w:gutter="0" w:footer="0" w:header="0"/>
        </w:sectPr>
      </w:pPr>
    </w:p>
    <w:bookmarkStart w:id="18" w:name="page19"/>
    <w:bookmarkEnd w:id="18"/>
    <w:p>
      <w:pPr>
        <w:ind w:right="100"/>
        <w:spacing w:after="0" w:line="233" w:lineRule="auto"/>
        <w:rPr>
          <w:sz w:val="20"/>
          <w:szCs w:val="20"/>
          <w:color w:val="auto"/>
        </w:rPr>
      </w:pPr>
      <w:r>
        <w:rPr>
          <w:rFonts w:ascii="Arial" w:cs="Arial" w:eastAsia="Arial" w:hAnsi="Arial"/>
          <w:sz w:val="18"/>
          <w:szCs w:val="18"/>
          <w:color w:val="auto"/>
        </w:rPr>
        <w:t>The changes in the currency translation adjustment component of accumulated other comprehensive income (loss)</w:t>
      </w:r>
      <w:r>
        <w:rPr>
          <w:rFonts w:ascii="Arial" w:cs="Arial" w:eastAsia="Arial" w:hAnsi="Arial"/>
          <w:sz w:val="21"/>
          <w:szCs w:val="21"/>
          <w:color w:val="auto"/>
          <w:vertAlign w:val="superscript"/>
        </w:rPr>
        <w:t>(1)</w:t>
      </w:r>
      <w:r>
        <w:rPr>
          <w:rFonts w:ascii="Arial" w:cs="Arial" w:eastAsia="Arial" w:hAnsi="Arial"/>
          <w:sz w:val="18"/>
          <w:szCs w:val="18"/>
          <w:color w:val="auto"/>
        </w:rPr>
        <w:t>, including reclassification adjustments for six months ended June 30, 2019 and 2018 are presented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0" w:type="dxa"/>
            <w:vAlign w:val="bottom"/>
            <w:gridSpan w:val="8"/>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Six months ended 6/30/2019</w:t>
            </w:r>
          </w:p>
        </w:tc>
        <w:tc>
          <w:tcPr>
            <w:tcW w:w="120" w:type="dxa"/>
            <w:vAlign w:val="bottom"/>
            <w:shd w:val="clear" w:color="auto" w:fill="CCEEFF"/>
          </w:tcPr>
          <w:p>
            <w:pPr>
              <w:spacing w:after="0"/>
              <w:rPr>
                <w:sz w:val="22"/>
                <w:szCs w:val="22"/>
                <w:color w:val="auto"/>
              </w:rPr>
            </w:pPr>
          </w:p>
        </w:tc>
        <w:tc>
          <w:tcPr>
            <w:tcW w:w="3900" w:type="dxa"/>
            <w:vAlign w:val="bottom"/>
            <w:gridSpan w:val="7"/>
            <w:shd w:val="clear" w:color="auto" w:fill="CCEEFF"/>
          </w:tcPr>
          <w:p>
            <w:pPr>
              <w:jc w:val="center"/>
              <w:ind w:right="15"/>
              <w:spacing w:after="0"/>
              <w:rPr>
                <w:sz w:val="20"/>
                <w:szCs w:val="20"/>
                <w:color w:val="auto"/>
              </w:rPr>
            </w:pPr>
            <w:r>
              <w:rPr>
                <w:rFonts w:ascii="Arial" w:cs="Arial" w:eastAsia="Arial" w:hAnsi="Arial"/>
                <w:sz w:val="14"/>
                <w:szCs w:val="14"/>
                <w:b w:val="1"/>
                <w:bCs w:val="1"/>
                <w:color w:val="auto"/>
              </w:rPr>
              <w:t>Six months ended 6/30/2018</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4"/>
                <w:szCs w:val="1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4"/>
                <w:szCs w:val="1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96"/>
        </w:trPr>
        <w:tc>
          <w:tcPr>
            <w:tcW w:w="32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56"/>
        </w:trPr>
        <w:tc>
          <w:tcPr>
            <w:tcW w:w="3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8"/>
        </w:trPr>
        <w:tc>
          <w:tcPr>
            <w:tcW w:w="3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7"/>
                <w:szCs w:val="17"/>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7"/>
        </w:trPr>
        <w:tc>
          <w:tcPr>
            <w:tcW w:w="3260" w:type="dxa"/>
            <w:vAlign w:val="bottom"/>
          </w:tcPr>
          <w:p>
            <w:pPr>
              <w:ind w:left="4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adjustments recognized in</w:t>
            </w:r>
          </w:p>
        </w:tc>
        <w:tc>
          <w:tcPr>
            <w:tcW w:w="14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8"/>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deferred tax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8890</wp:posOffset>
            </wp:positionV>
            <wp:extent cx="5179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5" w:lineRule="exact"/>
        <w:rPr>
          <w:sz w:val="20"/>
          <w:szCs w:val="20"/>
          <w:color w:val="auto"/>
        </w:rPr>
      </w:pPr>
    </w:p>
    <w:p>
      <w:pPr>
        <w:jc w:val="both"/>
        <w:ind w:left="180" w:right="100" w:hanging="172"/>
        <w:spacing w:after="0" w:line="265" w:lineRule="auto"/>
        <w:tabs>
          <w:tab w:leader="none" w:pos="190"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Accumulated other comprehensive income as of December 31, 2017, also included $7.9 million of net unrealized holding gains that were reclassified to retained earnings upon adoption of the financial instruments accounting guidance on January 1, 2018. This reclassification also includes the reclassification of $1.7 million of stranded income taxes on available-for-sale investments resulting from U.S. tax law changes enacted on December 22,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20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4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12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2019, the related condensed consolidated statements of income, comprehensive income, and stockholders’ equity for the three- and six- month periods ended June 30, 2019 and 2018, the related condensed consolidated statements of cash flows for the six-month periods ended</w:t>
      </w:r>
    </w:p>
    <w:p>
      <w:pPr>
        <w:spacing w:after="0" w:line="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June 30, 2019 and 2018,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2018, and the related consolidated statements of income, comprehensive income, stockholders’ equity, and cash flows for the year then ended (not presented herein); and in our report dated February 13, 2019, we expressed an unqualified opinion on those consolidated financial statements. In our opinion, the information set forth in the accompanying condensed consolidated balance sheet as of December 31, 2018, is fairly stated, in all material respects, in relation to the consolidated balance sheet from which it has been derived.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1273"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separately managed accounts, subadvised funds, and other T. Rowe Price products. The other T. Rowe Price products include: collective investment trusts, open-ended investment products offered to investors outside the U.S., and products offered through variable annuity life insurance plans in the U.S.</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0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to advance our strategic priorities to sustain and deepen our investment talent, add investment capabilities both in terms of new strategies and new investment vehicles, expand capabilities through enhanced technology, and broaden our distribution reach globally.</w:t>
      </w:r>
    </w:p>
    <w:p>
      <w:pPr>
        <w:spacing w:after="0" w:line="20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currently expect our 2019 non-GAAP operating expenses to grow in the range of 4% to 7%. This expense growth range factors in continued investments in the business, our cost optimization efforts, and the phased implementation of paying for all third-party investment research. We currently expect that our 2020 operating expenses will reflect a full year of all third-party investment research costs. We could elect to adjust our expense growth should unforeseen circumstances arise, including significant market movements.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stocks rose in the second quarter, despite a sharp pullback in May stemming from increased trade tensions between the U.S. and some of its key trading partners. Equities advanced amid decreasing longer-term interest rates and growing expectations that the Federal Reserve would reduce short-term rates in response to slowing economic growth. Toward the end of the quarter, U.S. stocks were lifted by the European Central Bank’s willingness to implement more stimulus measures if weakening eurozone growth weighs on already-low regional inflation. Hopes that the U.S. and China would draw closer to negotiating a trade deal at the G-20 summit at the end of June also buoyed equities. While a trade agreement was not reached, both parties agreed to resume negotiations and not implement new tariffs.</w:t>
      </w:r>
    </w:p>
    <w:p>
      <w:pPr>
        <w:spacing w:after="0" w:line="209"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Stocks in developed non-U.S. equity markets also climbed. Developed European stock markets rose broadly, but UK shares lagged with a roughly 1% gain in U.S. dollar terms due to political and Brexit uncertainty. Stocks in developed Asian countries trailed European markets. Australia and Singapore led the region with returns of around 7%, while shares in Hong Kong and Japan only rose about 1%.</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Stocks in emerging markets underperformed equities in developed markets. Chinese shares declined more than 3% amid trade tensions with the U.S. In emerging Europe, Russian shares soared more than 17%, helped by a mid-June central bank interest rate cut. Turkish shares lagged the broad region with a 3% gain, hindered in part by concerns that the government’s purchase of Russian military hardware could lead to U.S. sanctions. Latin American markets were mixed. Shares in Argentina rallied nearly 32%, as several Argentine companies were added to the MSCI Emerging Markets Index at the end of May. Brazilian shares advanced 7%, but markets in Chile, Colombia, and Peru declined. Mexican shares rose slightly more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00"/>
          </w:cols>
          <w:pgMar w:left="240" w:top="103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Returns of several major equity market indexes for the three- and six-month periods ended June 30,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6/30/2019</w:t>
            </w:r>
          </w:p>
        </w:tc>
      </w:tr>
      <w:tr>
        <w:trPr>
          <w:trHeight w:val="25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18.5%</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NASDAQ Composite Index</w:t>
            </w:r>
            <w:r>
              <w:rPr>
                <w:rFonts w:ascii="Arial" w:cs="Arial" w:eastAsia="Arial" w:hAnsi="Arial"/>
                <w:sz w:val="21"/>
                <w:szCs w:val="21"/>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3.6%</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20.7%</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17.0%</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4.0%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14.5%</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MSCI Emerging Markets Index</w:t>
            </w:r>
          </w:p>
        </w:tc>
        <w:tc>
          <w:tcPr>
            <w:tcW w:w="1480" w:type="dxa"/>
            <w:vAlign w:val="bottom"/>
          </w:tcPr>
          <w:p>
            <w:pPr>
              <w:jc w:val="center"/>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32"/>
        <w:spacing w:after="0"/>
        <w:tabs>
          <w:tab w:leader="none" w:pos="18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i w:val="1"/>
          <w:iCs w:val="1"/>
          <w:color w:val="auto"/>
        </w:rPr>
        <w:t>Returns exclude dividends</w:t>
      </w:r>
    </w:p>
    <w:p>
      <w:pPr>
        <w:spacing w:after="0" w:line="2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Global bond returns were broadly strong. The Fed kept short-term interest rates unchanged, as expected. However, after the Fed’s June 2019 meeting, policymakers indicated a willingness to cut rates if needed. The Fed’s dovish tone contributed to a rally in Treasury securities. The 10-year Treasury note yield decreased to 2.00% from 2.41%. In the U.S. investment-grade universe, longer-term Treasuries and corporate bonds fared best. Mortgage-backed securities lagged with smaller gains, as falling long-term rates led to increasing mortgage prepayments and refinancing activity. Municipal bonds produced positive returns but underperformed taxable bonds. High yield bonds slightly underperformed investment-grade issues.</w:t>
      </w:r>
    </w:p>
    <w:p>
      <w:pPr>
        <w:spacing w:after="0" w:line="20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Bonds in developed non-U.S. countries generated strong returns in local currency terms, as weakening economic growth and dovish signals from some central banks sent longer-term interest rates in several countries notably lower. A weaker U.S. dollar versus various currencies enhanced returns in U.S. dollar terms. In the eurozone, the benchmark 10-year German sovereign note yield fell deeper into negative territory to hit a series of fresh record lows. In Japan, the 10-year government bond yield also slipped deeper into negative territory despite the central bank continuing to target a 0% yield. In the UK, the 10-year gilt yield decreased to 0.83% from 1.00%.</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Bonds in emerging markets fared better than bonds issued in developed countries, as dovish signals from major central banks bolstered risk appetite. Local currency bonds outperformed dollar-denominated issues, thanks to strength in several key emerging markets currencies versus the U.S. dollar.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six-month periods ended June 30, 2019,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6/30/2019</w:t>
            </w:r>
          </w:p>
        </w:tc>
      </w:tr>
      <w:tr>
        <w:trPr>
          <w:trHeight w:val="25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6.1%</w:t>
            </w:r>
          </w:p>
        </w:tc>
      </w:tr>
      <w:tr>
        <w:trPr>
          <w:trHeight w:val="26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2.8%</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10.1%</w:t>
            </w:r>
          </w:p>
        </w:tc>
      </w:tr>
      <w:tr>
        <w:trPr>
          <w:trHeight w:val="27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5.1%</w:t>
            </w:r>
          </w:p>
        </w:tc>
      </w:tr>
      <w:tr>
        <w:trPr>
          <w:trHeight w:val="26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3.4%</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5.0%</w:t>
            </w:r>
          </w:p>
        </w:tc>
      </w:tr>
      <w:tr>
        <w:trPr>
          <w:trHeight w:val="27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10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Assets under management ended the second quarter of 2019 at $1,125.0 billion, an increase of $ 43.3 billion from March 31, 2019 and $162.7 billion from the end of 2018. We had net cash inflows of $2.5 billion in the second quarter of 2019 and $7.9 billion for the first half of 2019. The following table details changes in our assets under management, by vehicle and asset class during the three- and six-month periods ended June 30,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 6/30/2019</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Six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U.S.</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Subadvised and</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U.S.</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Subadvised and</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mutual</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separate</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mutual</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separate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0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7"/>
                <w:szCs w:val="17"/>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funds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accounts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funds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630.7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6"/>
                <w:szCs w:val="16"/>
                <w:color w:val="auto"/>
              </w:rPr>
              <w:t>Client transfers</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after client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8"/>
        </w:trPr>
        <w:tc>
          <w:tcPr>
            <w:tcW w:w="2300" w:type="dxa"/>
            <w:vAlign w:val="bottom"/>
          </w:tcPr>
          <w:p>
            <w:pPr>
              <w:ind w:left="40"/>
              <w:spacing w:after="0"/>
              <w:rPr>
                <w:sz w:val="20"/>
                <w:szCs w:val="20"/>
                <w:color w:val="auto"/>
              </w:rPr>
            </w:pPr>
            <w:r>
              <w:rPr>
                <w:rFonts w:ascii="Arial" w:cs="Arial" w:eastAsia="Arial" w:hAnsi="Arial"/>
                <w:sz w:val="16"/>
                <w:szCs w:val="16"/>
                <w:color w:val="auto"/>
              </w:rPr>
              <w:t>Net market appreciation and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ind w:left="4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distributions reinvested</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 reinvested)</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0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648.3</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292.6</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18"/>
                <w:szCs w:val="18"/>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648.3</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292.6</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1,125.0</w:t>
            </w:r>
          </w:p>
        </w:tc>
        <w:tc>
          <w:tcPr>
            <w:tcW w:w="0" w:type="dxa"/>
            <w:vAlign w:val="bottom"/>
          </w:tcPr>
          <w:p>
            <w:pPr>
              <w:spacing w:after="0"/>
              <w:rPr>
                <w:sz w:val="1"/>
                <w:szCs w:val="1"/>
                <w:color w:val="auto"/>
              </w:rPr>
            </w:pPr>
          </w:p>
        </w:tc>
      </w:tr>
      <w:tr>
        <w:trPr>
          <w:trHeight w:val="203"/>
        </w:trPr>
        <w:tc>
          <w:tcPr>
            <w:tcW w:w="2300" w:type="dxa"/>
            <w:vAlign w:val="bottom"/>
          </w:tcPr>
          <w:p>
            <w:pPr>
              <w:ind w:left="40"/>
              <w:spacing w:after="0"/>
              <w:rPr>
                <w:sz w:val="20"/>
                <w:szCs w:val="20"/>
                <w:color w:val="auto"/>
              </w:rPr>
            </w:pPr>
            <w:r>
              <w:rPr>
                <w:rFonts w:ascii="Arial" w:cs="Arial" w:eastAsia="Arial" w:hAnsi="Arial"/>
                <w:sz w:val="16"/>
                <w:szCs w:val="16"/>
                <w:color w:val="auto"/>
              </w:rPr>
              <w:t>June 30, 2019</w:t>
            </w:r>
          </w:p>
        </w:tc>
        <w:tc>
          <w:tcPr>
            <w:tcW w:w="1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 6/30/2019</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Six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Fixed income,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Fixed income,</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including money</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including money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0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7"/>
                <w:szCs w:val="17"/>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Multi-asset</w:t>
            </w:r>
            <w:r>
              <w:rPr>
                <w:rFonts w:ascii="Arial" w:cs="Arial" w:eastAsia="Arial" w:hAnsi="Arial"/>
                <w:sz w:val="17"/>
                <w:szCs w:val="17"/>
                <w:b w:val="1"/>
                <w:bCs w:val="1"/>
                <w:color w:val="auto"/>
                <w:w w:val="98"/>
                <w:vertAlign w:val="superscript"/>
              </w:rPr>
              <w:t>(1)</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7"/>
                <w:szCs w:val="17"/>
                <w:b w:val="1"/>
                <w:bCs w:val="1"/>
                <w:color w:val="auto"/>
                <w:vertAlign w:val="superscript"/>
              </w:rPr>
              <w:t>(1)</w:t>
            </w:r>
          </w:p>
        </w:tc>
        <w:tc>
          <w:tcPr>
            <w:tcW w:w="1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621.6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136.1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286.3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2300" w:type="dxa"/>
            <w:vAlign w:val="bottom"/>
          </w:tcPr>
          <w:p>
            <w:pPr>
              <w:ind w:left="40"/>
              <w:spacing w:after="0"/>
              <w:rPr>
                <w:sz w:val="20"/>
                <w:szCs w:val="20"/>
                <w:color w:val="auto"/>
              </w:rPr>
            </w:pPr>
            <w:r>
              <w:rPr>
                <w:rFonts w:ascii="Arial" w:cs="Arial" w:eastAsia="Arial" w:hAnsi="Arial"/>
                <w:sz w:val="16"/>
                <w:szCs w:val="16"/>
                <w:color w:val="auto"/>
              </w:rPr>
              <w:t>Net market appreciation and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tcPr>
          <w:p>
            <w:pPr>
              <w:ind w:left="40"/>
              <w:spacing w:after="0" w:line="219" w:lineRule="exact"/>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198"/>
        </w:trPr>
        <w:tc>
          <w:tcPr>
            <w:tcW w:w="230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648.4</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648.4</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144.1</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332.5</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1,125.0</w:t>
            </w:r>
          </w:p>
        </w:tc>
        <w:tc>
          <w:tcPr>
            <w:tcW w:w="0" w:type="dxa"/>
            <w:vAlign w:val="bottom"/>
          </w:tcPr>
          <w:p>
            <w:pPr>
              <w:spacing w:after="0"/>
              <w:rPr>
                <w:sz w:val="1"/>
                <w:szCs w:val="1"/>
                <w:color w:val="auto"/>
              </w:rPr>
            </w:pPr>
          </w:p>
        </w:tc>
      </w:tr>
      <w:tr>
        <w:trPr>
          <w:trHeight w:val="195"/>
        </w:trPr>
        <w:tc>
          <w:tcPr>
            <w:tcW w:w="2300" w:type="dxa"/>
            <w:vAlign w:val="bottom"/>
          </w:tcPr>
          <w:p>
            <w:pPr>
              <w:ind w:left="40"/>
              <w:spacing w:after="0"/>
              <w:rPr>
                <w:sz w:val="20"/>
                <w:szCs w:val="20"/>
                <w:color w:val="auto"/>
              </w:rPr>
            </w:pPr>
            <w:r>
              <w:rPr>
                <w:rFonts w:ascii="Arial" w:cs="Arial" w:eastAsia="Arial" w:hAnsi="Arial"/>
                <w:sz w:val="16"/>
                <w:szCs w:val="16"/>
                <w:color w:val="auto"/>
              </w:rPr>
              <w:t>June 30, 2019</w:t>
            </w: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3810</wp:posOffset>
            </wp:positionV>
            <wp:extent cx="578866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8660" cy="26035"/>
                    </a:xfrm>
                    <a:prstGeom prst="rect">
                      <a:avLst/>
                    </a:prstGeom>
                    <a:noFill/>
                  </pic:spPr>
                </pic:pic>
              </a:graphicData>
            </a:graphic>
          </wp:anchor>
        </w:drawing>
      </w:r>
    </w:p>
    <w:p>
      <w:pPr>
        <w:spacing w:after="0" w:line="17" w:lineRule="exact"/>
        <w:rPr>
          <w:sz w:val="20"/>
          <w:szCs w:val="20"/>
          <w:color w:val="auto"/>
        </w:rPr>
      </w:pPr>
    </w:p>
    <w:p>
      <w:pPr>
        <w:ind w:left="180" w:right="340" w:hanging="172"/>
        <w:spacing w:after="0" w:line="227" w:lineRule="auto"/>
        <w:tabs>
          <w:tab w:leader="none" w:pos="153" w:val="left"/>
        </w:tabs>
        <w:numPr>
          <w:ilvl w:val="0"/>
          <w:numId w:val="8"/>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ind w:left="160" w:hanging="152"/>
        <w:spacing w:after="0" w:line="199" w:lineRule="auto"/>
        <w:tabs>
          <w:tab w:leader="none" w:pos="160" w:val="left"/>
        </w:tabs>
        <w:numPr>
          <w:ilvl w:val="0"/>
          <w:numId w:val="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distributions reinvested and not reinvested.</w:t>
      </w:r>
    </w:p>
    <w:p>
      <w:pPr>
        <w:spacing w:after="0" w:line="147"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Investment advisory clients outside the U.S. account for about 6.4% of our assets under management at June 30, 2019 and 6.2% at December 31, 2018.</w:t>
      </w:r>
    </w:p>
    <w:p>
      <w:pPr>
        <w:spacing w:after="0" w:line="19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Our target date retirement products, which are included in the multi -asset totals shown above, continue to be a significant part of our assets under management. Assets under management in these portfolios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billions)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12/31/2018</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U.S. mutual funds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144.8</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Target date separately managed retirement accounts</w:t>
            </w:r>
          </w:p>
        </w:tc>
        <w:tc>
          <w:tcPr>
            <w:tcW w:w="28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5.9</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trusts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79.7</w:t>
            </w:r>
          </w:p>
        </w:tc>
      </w:tr>
      <w:tr>
        <w:trPr>
          <w:trHeight w:val="237"/>
        </w:trPr>
        <w:tc>
          <w:tcPr>
            <w:tcW w:w="67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257.8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230.4</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35"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23</w:t>
      </w:r>
    </w:p>
    <w:p>
      <w:pPr>
        <w:sectPr>
          <w:pgSz w:w="11900" w:h="16838" w:orient="portrait"/>
          <w:cols w:equalWidth="0" w:num="1">
            <w:col w:w="11420"/>
          </w:cols>
          <w:pgMar w:left="240" w:top="1035" w:right="239" w:bottom="1440" w:gutter="0" w:footer="0" w:header="0"/>
          <w:type w:val="continuous"/>
        </w:sectPr>
      </w:pPr>
    </w:p>
    <w:bookmarkStart w:id="23" w:name="page24"/>
    <w:bookmarkEnd w:id="23"/>
    <w:p>
      <w:pPr>
        <w:ind w:right="80"/>
        <w:spacing w:after="0" w:line="256"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Net cash inflows into our target date retirement products were $1.6 billion in the second quarter of 2019 and $4.6 billion in the first six months of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1"/>
          <w:szCs w:val="21"/>
          <w:b w:val="1"/>
          <w:bCs w:val="1"/>
          <w:i w:val="1"/>
          <w:iCs w:val="1"/>
          <w:color w:val="auto"/>
          <w:vertAlign w:val="superscript"/>
        </w:rPr>
        <w:t>(1)</w:t>
      </w:r>
    </w:p>
    <w:p>
      <w:pPr>
        <w:spacing w:after="0" w:line="21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percentage of our U.S. mutual funds</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June 30, 2019,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1 year</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54"/>
        </w:trPr>
        <w:tc>
          <w:tcPr>
            <w:tcW w:w="3780" w:type="dxa"/>
            <w:vAlign w:val="bottom"/>
          </w:tcPr>
          <w:p>
            <w:pPr>
              <w:ind w:left="40"/>
              <w:spacing w:after="0"/>
              <w:rPr>
                <w:sz w:val="20"/>
                <w:szCs w:val="20"/>
                <w:color w:val="auto"/>
              </w:rPr>
            </w:pPr>
            <w:r>
              <w:rPr>
                <w:rFonts w:ascii="Arial" w:cs="Arial" w:eastAsia="Arial" w:hAnsi="Arial"/>
                <w:sz w:val="16"/>
                <w:szCs w:val="16"/>
                <w:color w:val="auto"/>
              </w:rPr>
              <w:t>Outperformed Morningstar median</w:t>
            </w: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8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78%</w:t>
            </w:r>
          </w:p>
        </w:tc>
      </w:tr>
      <w:tr>
        <w:trPr>
          <w:trHeight w:val="260"/>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89%</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82%</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172"/>
        </w:trPr>
        <w:tc>
          <w:tcPr>
            <w:tcW w:w="3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Top Morningstar quartile</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8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29%</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51%</w:t>
            </w:r>
          </w:p>
        </w:tc>
      </w:tr>
      <w:tr>
        <w:trPr>
          <w:trHeight w:val="251"/>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28%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79%</w:t>
            </w:r>
          </w:p>
        </w:tc>
      </w:tr>
    </w:tbl>
    <w:p>
      <w:pPr>
        <w:spacing w:after="0" w:line="2" w:lineRule="exact"/>
        <w:rPr>
          <w:sz w:val="20"/>
          <w:szCs w:val="20"/>
          <w:color w:val="auto"/>
        </w:rPr>
      </w:pPr>
    </w:p>
    <w:p>
      <w:pPr>
        <w:jc w:val="both"/>
        <w:ind w:left="180" w:right="200" w:hanging="172"/>
        <w:spacing w:after="0" w:line="244" w:lineRule="auto"/>
        <w:tabs>
          <w:tab w:leader="none" w:pos="153" w:val="left"/>
        </w:tabs>
        <w:numPr>
          <w:ilvl w:val="0"/>
          <w:numId w:val="9"/>
        </w:numPr>
        <w:rPr>
          <w:rFonts w:ascii="Arial" w:cs="Arial" w:eastAsia="Arial" w:hAnsi="Arial"/>
          <w:sz w:val="9"/>
          <w:szCs w:val="9"/>
          <w:b w:val="1"/>
          <w:bCs w:val="1"/>
          <w:i w:val="1"/>
          <w:iCs w:val="1"/>
          <w:color w:val="auto"/>
        </w:rPr>
      </w:pPr>
      <w:r>
        <w:rPr>
          <w:rFonts w:ascii="Arial" w:cs="Arial" w:eastAsia="Arial" w:hAnsi="Arial"/>
          <w:sz w:val="13"/>
          <w:szCs w:val="13"/>
          <w:i w:val="1"/>
          <w:iCs w:val="1"/>
          <w:color w:val="auto"/>
        </w:rPr>
        <w:t>Source: © 2019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1" w:lineRule="exact"/>
        <w:rPr>
          <w:rFonts w:ascii="Arial" w:cs="Arial" w:eastAsia="Arial" w:hAnsi="Arial"/>
          <w:sz w:val="9"/>
          <w:szCs w:val="9"/>
          <w:b w:val="1"/>
          <w:bCs w:val="1"/>
          <w:i w:val="1"/>
          <w:iCs w:val="1"/>
          <w:color w:val="auto"/>
        </w:rPr>
      </w:pPr>
    </w:p>
    <w:p>
      <w:pPr>
        <w:ind w:left="160" w:hanging="152"/>
        <w:spacing w:after="0"/>
        <w:tabs>
          <w:tab w:leader="none" w:pos="160" w:val="left"/>
        </w:tabs>
        <w:numPr>
          <w:ilvl w:val="0"/>
          <w:numId w:val="9"/>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220"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addition, 86.2% of our rated U.S. mutual funds' assets under management ended the quarter with an overall rating of four or five stars from Morningstar. The performance of our institutional strategies against their benchmarks remains competitive, especially over longer time periods.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six months ended June 30, 2019 and 2018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 Beginning in the second quarter of 2018, our non-GAAP adjustments no longer include non-operating income related to our cash and discretionary investments not consolidated. We believe the non-GAAP financial measures below provide relevant and meaningful information to investors about our core operating results.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127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gridSpan w:val="5"/>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Q2 2019 vs. Q2 2018</w:t>
            </w:r>
          </w:p>
        </w:tc>
        <w:tc>
          <w:tcPr>
            <w:tcW w:w="2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2019 vs. YTD 2018</w:t>
            </w:r>
          </w:p>
        </w:tc>
      </w:tr>
      <w:tr>
        <w:trPr>
          <w:trHeight w:val="264"/>
        </w:trPr>
        <w:tc>
          <w:tcPr>
            <w:tcW w:w="2200" w:type="dxa"/>
            <w:vAlign w:val="bottom"/>
            <w:gridSpan w:val="4"/>
          </w:tcPr>
          <w:p>
            <w:pPr>
              <w:ind w:left="40"/>
              <w:spacing w:after="0"/>
              <w:rPr>
                <w:sz w:val="20"/>
                <w:szCs w:val="20"/>
                <w:color w:val="auto"/>
              </w:rPr>
            </w:pPr>
            <w:r>
              <w:rPr>
                <w:rFonts w:ascii="Arial" w:cs="Arial" w:eastAsia="Arial" w:hAnsi="Arial"/>
                <w:sz w:val="13"/>
                <w:szCs w:val="13"/>
                <w:color w:val="auto"/>
              </w:rPr>
              <w:t>(in millions, except per-share data)</w:t>
            </w:r>
          </w:p>
        </w:tc>
        <w:tc>
          <w:tcPr>
            <w:tcW w:w="16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6/30/2019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6/30/2019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6/30/2018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216"/>
        </w:trPr>
        <w:tc>
          <w:tcPr>
            <w:tcW w:w="220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U.S. GAAP basis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260"/>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Investment advisory fees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1,270.2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1,214.4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4.6 %</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2,464.4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2,403.6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80"/>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2,722.5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2,673.0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60"/>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780.1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4.0 %</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1,574.9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1,494.5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80"/>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Non-operating income</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23"/>
                <w:szCs w:val="23"/>
                <w:color w:val="auto"/>
              </w:rPr>
            </w:pPr>
          </w:p>
        </w:tc>
        <w:tc>
          <w:tcPr>
            <w:tcW w:w="1320" w:type="dxa"/>
            <w:vAlign w:val="bottom"/>
            <w:gridSpan w:val="2"/>
          </w:tcPr>
          <w:p>
            <w:pPr>
              <w:ind w:left="600"/>
              <w:spacing w:after="0"/>
              <w:rPr>
                <w:sz w:val="20"/>
                <w:szCs w:val="20"/>
                <w:color w:val="auto"/>
              </w:rPr>
            </w:pPr>
            <w:r>
              <w:rPr>
                <w:rFonts w:ascii="Arial" w:cs="Arial" w:eastAsia="Arial" w:hAnsi="Arial"/>
                <w:sz w:val="16"/>
                <w:szCs w:val="16"/>
                <w:color w:val="auto"/>
              </w:rPr>
              <w:t>n/m</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327.3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277.1</w:t>
            </w:r>
          </w:p>
        </w:tc>
        <w:tc>
          <w:tcPr>
            <w:tcW w:w="100" w:type="dxa"/>
            <w:vAlign w:val="bottom"/>
          </w:tcPr>
          <w:p>
            <w:pPr>
              <w:spacing w:after="0"/>
              <w:rPr>
                <w:sz w:val="23"/>
                <w:szCs w:val="23"/>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n/m</w:t>
            </w:r>
          </w:p>
        </w:tc>
      </w:tr>
      <w:tr>
        <w:trPr>
          <w:trHeight w:val="21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income attributable to 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Rowe Price Group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w:t>
            </w:r>
          </w:p>
        </w:tc>
      </w:tr>
      <w:tr>
        <w:trPr>
          <w:trHeight w:val="218"/>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Diluted earnings per common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4"/>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21.5 %</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19.2 %</w:t>
            </w:r>
          </w:p>
        </w:tc>
      </w:tr>
      <w:tr>
        <w:trPr>
          <w:trHeight w:val="22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Weighted average common</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9"/>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shares outstanding assuming</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4"/>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dilution</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32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200" w:type="dxa"/>
            <w:vAlign w:val="bottom"/>
            <w:gridSpan w:val="4"/>
            <w:shd w:val="clear" w:color="auto" w:fill="CCEEFF"/>
          </w:tcPr>
          <w:p>
            <w:pPr>
              <w:ind w:left="40"/>
              <w:spacing w:after="0" w:line="216" w:lineRule="exact"/>
              <w:rPr>
                <w:sz w:val="20"/>
                <w:szCs w:val="20"/>
                <w:color w:val="auto"/>
              </w:rPr>
            </w:pPr>
            <w:r>
              <w:rPr>
                <w:rFonts w:ascii="Arial" w:cs="Arial" w:eastAsia="Arial" w:hAnsi="Arial"/>
                <w:sz w:val="16"/>
                <w:szCs w:val="16"/>
                <w:b w:val="1"/>
                <w:bCs w:val="1"/>
                <w:color w:val="auto"/>
                <w:w w:val="98"/>
              </w:rPr>
              <w:t>Adjusted non-GAAP basis</w:t>
            </w:r>
            <w:r>
              <w:rPr>
                <w:rFonts w:ascii="Arial" w:cs="Arial" w:eastAsia="Arial" w:hAnsi="Arial"/>
                <w:sz w:val="21"/>
                <w:szCs w:val="21"/>
                <w:b w:val="1"/>
                <w:bCs w:val="1"/>
                <w:color w:val="auto"/>
                <w:w w:val="98"/>
                <w:vertAlign w:val="superscript"/>
              </w:rPr>
              <w:t>(2)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260"/>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764.6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745.3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2.6 %</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1,521.2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1,486.3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80"/>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1,205.0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60"/>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2"/>
                <w:szCs w:val="22"/>
                <w:color w:val="auto"/>
              </w:rPr>
            </w:pPr>
          </w:p>
        </w:tc>
        <w:tc>
          <w:tcPr>
            <w:tcW w:w="1320" w:type="dxa"/>
            <w:vAlign w:val="bottom"/>
            <w:gridSpan w:val="2"/>
          </w:tcPr>
          <w:p>
            <w:pPr>
              <w:ind w:left="600"/>
              <w:spacing w:after="0"/>
              <w:rPr>
                <w:sz w:val="20"/>
                <w:szCs w:val="20"/>
                <w:color w:val="auto"/>
              </w:rPr>
            </w:pPr>
            <w:r>
              <w:rPr>
                <w:rFonts w:ascii="Arial" w:cs="Arial" w:eastAsia="Arial" w:hAnsi="Arial"/>
                <w:sz w:val="16"/>
                <w:szCs w:val="16"/>
                <w:color w:val="auto"/>
              </w:rPr>
              <w:t>n/m</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2"/>
                <w:szCs w:val="22"/>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n/m</w:t>
            </w:r>
          </w:p>
        </w:tc>
      </w:tr>
      <w:tr>
        <w:trPr>
          <w:trHeight w:val="22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Net income attributable to 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Rowe Price Group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958.7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18"/>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Diluted earnings per common</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4"/>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8.6 %</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334"/>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16"/>
        </w:trPr>
        <w:tc>
          <w:tcPr>
            <w:tcW w:w="3340" w:type="dxa"/>
            <w:vAlign w:val="bottom"/>
            <w:gridSpan w:val="8"/>
          </w:tcPr>
          <w:p>
            <w:pPr>
              <w:ind w:left="40"/>
              <w:spacing w:after="0"/>
              <w:rPr>
                <w:sz w:val="20"/>
                <w:szCs w:val="20"/>
                <w:color w:val="auto"/>
              </w:rPr>
            </w:pPr>
            <w:r>
              <w:rPr>
                <w:rFonts w:ascii="Arial" w:cs="Arial" w:eastAsia="Arial" w:hAnsi="Arial"/>
                <w:sz w:val="16"/>
                <w:szCs w:val="16"/>
                <w:b w:val="1"/>
                <w:bCs w:val="1"/>
                <w:color w:val="auto"/>
              </w:rPr>
              <w:t>Assets under management (in billions)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8"/>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Average assets under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4"/>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management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8"/>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Ending assets under</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management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1,044.1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7.7 %</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1,044.1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7.7 %</w:t>
            </w:r>
          </w:p>
        </w:tc>
      </w:tr>
    </w:tbl>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4462780</wp:posOffset>
            </wp:positionH>
            <wp:positionV relativeFrom="page">
              <wp:posOffset>757555</wp:posOffset>
            </wp:positionV>
            <wp:extent cx="8890" cy="4699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4699635"/>
                    </a:xfrm>
                    <a:prstGeom prst="rect">
                      <a:avLst/>
                    </a:prstGeom>
                    <a:noFill/>
                  </pic:spPr>
                </pic:pic>
              </a:graphicData>
            </a:graphic>
          </wp:anchor>
        </w:drawing>
      </w:r>
    </w:p>
    <w:p>
      <w:pPr>
        <w:ind w:left="140" w:hanging="132"/>
        <w:spacing w:after="0"/>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40" w:hanging="132"/>
        <w:spacing w:after="0" w:line="224"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 of this Management’s Discussion and Analysis.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w:t>
      </w:r>
    </w:p>
    <w:p>
      <w:pPr>
        <w:spacing w:after="0" w:line="22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revenues earned in the second quarter of 2019 increased over the comparable 2018</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as average assets under our management increased $63.3 billion, or 6.1%, to $1,099.8 billion. The average annualized effective fee rate earned during the second quarter of 2019 was 46.3 basis points, compared with 47.0 basis points earned during the second quarter of 2018.</w:t>
      </w:r>
    </w:p>
    <w:p>
      <w:pPr>
        <w:spacing w:after="0" w:line="19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Investment advisory revenues earned in the six months ended June 30, 2019 increased over the comparable 2018 period as average assets under our management increased $40.8 billion, or 4.0%, to $1,071.8 billion. The average annualized effective fee rate earned on our assets under management during the six months ended June 30, 2019 was 46.4 basis points, compared with 47.0 basis points earned during the same period 2018.</w:t>
      </w:r>
    </w:p>
    <w:p>
      <w:pPr>
        <w:spacing w:after="0" w:line="20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effective fee rate for both periods has declined due to client transfers within the complex to lower fee vehicles or share classes over the last twelve months and, to a lesser extent, fee reductions we made to certain mutual funds and other products during 2018. We regularly assess the competitiveness of our investment advisory fees and will continue to make adjustments as deemed appropriate. Our effective rate has been stable with an effective fee rate of 46.4 basis points earned in the first quarter of 2019 compared to the 46.3 basis points earned in the second quarter of 2019. Over time, our effective fee rate can be impacted by market or cash flow related shifts among asset and share classes, price changes in existing products, and asset level changes in products with tiered-fee structures.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1193" w:right="239" w:bottom="1440" w:gutter="0" w:footer="0" w:header="0"/>
        </w:sectPr>
      </w:pPr>
    </w:p>
    <w:bookmarkStart w:id="25" w:name="page26"/>
    <w:bookmarkEnd w:id="25"/>
    <w:p>
      <w:pPr>
        <w:ind w:right="160"/>
        <w:spacing w:after="0" w:line="25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$780.1 million in the second quarter of 2019 compared with $ 750.3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2018. Operating expenses were $1,574.9 million in the six months ended June 30, 2019 compared with $1,494.5 million in the six months ended June 30, 2018. The increase in operating expenses for both the second quarter of 2019 and for the six months ended June 30, 2019 was primarily due to higher salary, annual bonus accrual, and benefits expense, higher compensation expense related to the supplemental savings plan as markets were strong in the first half 2019, and our continued strategic investments. The higher expense related to the supplemental savings plan is partially offset by the non-operating gains earned on the investments used to hedge the related liability.</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 non-GAAP basis, our operating expenses in the second quarter of 2019 increased 2.6% to $764.6 million compared to the 2018 quarter. For the six months ended June 30, 2019, our operating expenses on a non-GAAP basis increased 2.3% to $1,521.2 million compared to the six months ended June 30, 2018. Our non-GAAP operating expenses excludes the impacts of our supplemental savings plan as well as our consolidated T. Rowe Price investment products. See our non-GAAP reconciliations later in this Management’s Discussion and Analysis section.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second quarter of 2019 was 44.1%, compared to 44.2% earned in the 2018 quarter.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margin in the six months ended June 30, 2019 was 42.2%, compared to 44.1% earned in the six months ended June 30, 2018. The decrease in our operating margin for both periods is primarily due to the higher compensation expense related to our supplemental savings plan as markets in the first and second quarters of 2019 outperformed the same periods in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Q2 2019 vs. Q2 2018</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2019 vs. YTD 2018</w:t>
            </w:r>
          </w:p>
        </w:tc>
      </w:tr>
      <w:tr>
        <w:trPr>
          <w:trHeight w:val="264"/>
        </w:trPr>
        <w:tc>
          <w:tcPr>
            <w:tcW w:w="22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rPr>
              <w:t>6/30/2019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6/30/2018</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right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b w:val="1"/>
                <w:bCs w:val="1"/>
                <w:color w:val="auto"/>
              </w:rPr>
              <w:t>6/30/2019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6/30/2018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270"/>
        </w:trPr>
        <w:tc>
          <w:tcPr>
            <w:tcW w:w="2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advisory fees</w:t>
            </w: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0"/>
        </w:trPr>
        <w:tc>
          <w:tcPr>
            <w:tcW w:w="2200" w:type="dxa"/>
            <w:vAlign w:val="bottom"/>
          </w:tcPr>
          <w:p>
            <w:pPr>
              <w:ind w:left="180"/>
              <w:spacing w:after="0"/>
              <w:rPr>
                <w:sz w:val="20"/>
                <w:szCs w:val="20"/>
                <w:color w:val="auto"/>
              </w:rPr>
            </w:pPr>
            <w:r>
              <w:rPr>
                <w:rFonts w:ascii="Arial" w:cs="Arial" w:eastAsia="Arial" w:hAnsi="Arial"/>
                <w:sz w:val="16"/>
                <w:szCs w:val="16"/>
                <w:color w:val="auto"/>
              </w:rPr>
              <w:t>U.S. mutual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860.7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846.9</w:t>
            </w:r>
          </w:p>
        </w:tc>
        <w:tc>
          <w:tcPr>
            <w:tcW w:w="120" w:type="dxa"/>
            <w:vAlign w:val="bottom"/>
          </w:tcPr>
          <w:p>
            <w:pPr>
              <w:spacing w:after="0"/>
              <w:rPr>
                <w:sz w:val="22"/>
                <w:szCs w:val="22"/>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1,676.6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1,679.8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8"/>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Subadvised and separate</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9"/>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and other</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8"/>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products</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409.5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787.8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50"/>
        </w:trPr>
        <w:tc>
          <w:tcPr>
            <w:tcW w:w="2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1,270.2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1,214.4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2,464.4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2,403.6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r>
      <w:tr>
        <w:trPr>
          <w:trHeight w:val="184"/>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Administrative,</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distribution, and servicing</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fees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0"/>
        </w:trPr>
        <w:tc>
          <w:tcPr>
            <w:tcW w:w="2200" w:type="dxa"/>
            <w:vAlign w:val="bottom"/>
          </w:tcPr>
          <w:p>
            <w:pPr>
              <w:ind w:left="180"/>
              <w:spacing w:after="0"/>
              <w:rPr>
                <w:sz w:val="20"/>
                <w:szCs w:val="20"/>
                <w:color w:val="auto"/>
              </w:rPr>
            </w:pPr>
            <w:r>
              <w:rPr>
                <w:rFonts w:ascii="Arial" w:cs="Arial" w:eastAsia="Arial" w:hAnsi="Arial"/>
                <w:sz w:val="16"/>
                <w:szCs w:val="16"/>
                <w:color w:val="auto"/>
              </w:rPr>
              <w:t>Administrative fees</w:t>
            </w: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28"/>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and servicing</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fees</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50"/>
        </w:trPr>
        <w:tc>
          <w:tcPr>
            <w:tcW w:w="2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258.1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269.4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4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1,395.2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1,345.0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2,722.5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2,673.0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change based on fluctuations in financial markets and net cash flows. As our average assets under management increase or decrease in a given period, the level of our investment advisory fee revenue for that same period generally fluctuates in a similar manner.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Investment advisory revenues earned in the second quarter of 2019 from our U.S. mutual funds were $860.7 million, an increase of 1.6% from the comparable 2018 quarter. Average assets under management in these funds for the second quarter of 2019 increased 2.2% to $638.5 billion. The increase in average assets under management exceeded the increase in investment advisory revenues in the second quarter of 2019 as compared to the same quarter in 2018, primarily due to higher U.S. equity valuations, which resulted in a larger proportion of assets under management in U.S. equities as compared to international equities.</w:t>
      </w:r>
    </w:p>
    <w:p>
      <w:pPr>
        <w:spacing w:after="0" w:line="20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Investment advisory revenues earned in the six months ended June 30, 2019 from the firm's U.S. mutual funds were $1,676.6 million, a decrease of .2% from the 2018 period. Average assets under management in these funds for the six months ended June 30, 2019 decreased .2% to $624.4 billion.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103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Subadvised and separate accounts and other investment products</w:t>
      </w:r>
    </w:p>
    <w:p>
      <w:pPr>
        <w:spacing w:after="0" w:line="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Investment advisory revenues earned in the second quarter of 2019 from subadvised and separate accounts as well as other investment products were $409.5 million, an increase of 11.4% from the comparable 2018 quarter. Average assets under management for these products increased 12.0% to $461.3 billion. The increase in average assets under management exceeded the increase in investment advisory fees in the second quarter of 2019 as compared to the same quarter in 2018, primarily due to a larger proportion of the assets under management in investment products that have a lower effective fee.</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Investment advisory revenues earned in the six months ended June 30, 2019 from subadvised and separate accounts as well as other investment products were $787.8 million, an increase of 8.8% from the 2018 period. Average assets under management for these products increased 9.7% to $447.4 billion. The increase in average assets under management exceeded the increase in investment advisory fees in the first half of 2019 as compared to the same period in 2018, primarily due to a larger proportion of the assets under management in investment products that have a lower effective fee.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second quarter of 2019 were $125.0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million, a decrease of $5.6 million, or 4.3%, from the comparable 2018 quarter. For the six months ended June 30, 2019, these fees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$258.1 million, a decrease of $11.3 million, or 4.2% from the 2018 period. In this line, we recognize fees earned from providing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distribution services to our investment advisory clients, primarily our U.S. mutual funds and their investors. The decrease for both periods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primarily attributable to lower 12b-1 revenue earned on certain share classes, including the Advisor and R classes, of the U.S. mutual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funds as client transfers to lower fee vehicles and share classes has reduced assets under management in these share classes. This decline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offset entirely by a reduction in the costs paid to third-party intermediaries that source these assets and reported in distribution and servicing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second quarter net revenues reflect the elimination of $2.2 million in 2019 and $1.4 million in 2018, earned from our consolidated T. Rowe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investment products. For the six months ended June 30, 2019 and 2018 net revenues reflect an elimination of $3.7 million in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 million in 2018. The corresponding expenses recognized by these products, and consolidated in our financial statements, were eliminated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operating expenses.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Q2 2019 vs. Q2 2018</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2019 vs. YTD 2018</w:t>
            </w:r>
          </w:p>
        </w:tc>
      </w:tr>
      <w:tr>
        <w:trPr>
          <w:trHeight w:val="264"/>
        </w:trPr>
        <w:tc>
          <w:tcPr>
            <w:tcW w:w="22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2"/>
                <w:szCs w:val="22"/>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rPr>
              <w:t>6/30/2019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6/30/2018</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right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b w:val="1"/>
                <w:bCs w:val="1"/>
                <w:color w:val="auto"/>
              </w:rPr>
              <w:t>6/30/2019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6/30/2018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204"/>
        </w:trPr>
        <w:tc>
          <w:tcPr>
            <w:tcW w:w="2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related</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4"/>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974.7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897.4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77.3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60"/>
        </w:trPr>
        <w:tc>
          <w:tcPr>
            <w:tcW w:w="2200" w:type="dxa"/>
            <w:vAlign w:val="bottom"/>
          </w:tcPr>
          <w:p>
            <w:pPr>
              <w:ind w:left="40"/>
              <w:spacing w:after="0"/>
              <w:rPr>
                <w:sz w:val="20"/>
                <w:szCs w:val="20"/>
                <w:color w:val="auto"/>
              </w:rPr>
            </w:pPr>
            <w:r>
              <w:rPr>
                <w:rFonts w:ascii="Arial" w:cs="Arial" w:eastAsia="Arial" w:hAnsi="Arial"/>
                <w:sz w:val="16"/>
                <w:szCs w:val="16"/>
                <w:color w:val="auto"/>
              </w:rPr>
              <w:t>Distribution and servicing</w:t>
            </w: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80"/>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and promotion</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60"/>
        </w:trPr>
        <w:tc>
          <w:tcPr>
            <w:tcW w:w="2200" w:type="dxa"/>
            <w:vAlign w:val="bottom"/>
          </w:tcPr>
          <w:p>
            <w:pPr>
              <w:ind w:left="40"/>
              <w:spacing w:after="0"/>
              <w:rPr>
                <w:sz w:val="20"/>
                <w:szCs w:val="20"/>
                <w:color w:val="auto"/>
              </w:rPr>
            </w:pPr>
            <w:r>
              <w:rPr>
                <w:rFonts w:ascii="Arial" w:cs="Arial" w:eastAsia="Arial" w:hAnsi="Arial"/>
                <w:sz w:val="16"/>
                <w:szCs w:val="16"/>
                <w:color w:val="auto"/>
              </w:rPr>
              <w:t>Product-related costs</w:t>
            </w: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8"/>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occupancy, and</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4"/>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facility costs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18"/>
        </w:trPr>
        <w:tc>
          <w:tcPr>
            <w:tcW w:w="2200" w:type="dxa"/>
            <w:vAlign w:val="bottom"/>
          </w:tcPr>
          <w:p>
            <w:pPr>
              <w:ind w:left="40"/>
              <w:spacing w:after="0"/>
              <w:rPr>
                <w:sz w:val="20"/>
                <w:szCs w:val="20"/>
                <w:color w:val="auto"/>
              </w:rPr>
            </w:pPr>
            <w:r>
              <w:rPr>
                <w:rFonts w:ascii="Arial" w:cs="Arial" w:eastAsia="Arial" w:hAnsi="Arial"/>
                <w:sz w:val="16"/>
                <w:szCs w:val="16"/>
                <w:color w:val="auto"/>
              </w:rPr>
              <w:t>General, administrative, and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8"/>
        </w:trPr>
        <w:tc>
          <w:tcPr>
            <w:tcW w:w="2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74.4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r>
      <w:tr>
        <w:trPr>
          <w:trHeight w:val="24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780.1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1,574.9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1,494.5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were $483.2 million in the second quarter of 2019, an increase of $27.2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6.0%, compared to the 2018 quarter. The increase in compensation and related costs was primarily due to higher salaries, benefits and related employee costs of $14.7 million, primarily as a result of a 3.5% increase in our average staff size and modest increases in base salaries at the beginning of 2019, higher market-related expense related to our supplemental savings plan of $10.6 million, and an increase in non-cash stock-based compensation expense of $2.0 million. Our interim accrual for annual variable compensation also increased $12.4 million from the 2018 quarter. We recognize the interim accrual ratably over the year using the ratio of recognized quarterly net revenues to forecasted annual net revenues. These increases in compensation and related costs were offset in part by the absence in 2019 of the $9.0 million one-time bonus funded by U.S. tax reform benefits that was paid to certain associates in the second quarter of 2018 and $1.5 million of higher labor capitalization related to internally developed software compared to the 2018 quarter.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1057" w:right="239" w:bottom="1440" w:gutter="0" w:footer="0" w:header="0"/>
        </w:sectPr>
      </w:pPr>
    </w:p>
    <w:bookmarkStart w:id="27" w:name="page28"/>
    <w:bookmarkEnd w:id="27"/>
    <w:p>
      <w:pPr>
        <w:spacing w:after="0" w:line="252" w:lineRule="auto"/>
        <w:rPr>
          <w:sz w:val="20"/>
          <w:szCs w:val="20"/>
          <w:color w:val="auto"/>
        </w:rPr>
      </w:pPr>
      <w:r>
        <w:rPr>
          <w:rFonts w:ascii="Arial" w:cs="Arial" w:eastAsia="Arial" w:hAnsi="Arial"/>
          <w:sz w:val="18"/>
          <w:szCs w:val="18"/>
          <w:color w:val="auto"/>
        </w:rPr>
        <w:t>Compensation and related costs were $974.7 million in the six months ended June 30, 2019, an increase of $77.3 million, or 8.6%, compared to the 2018 period. The increase in compensation and related costs was primarily due to higher market-related expense related to our supplemental savings plan of $44.8 million along with an increase in salaries, benefits and related employee costs, which have increased $32.8 million from the 2018 period. An increase of 2.8% in our average staff size and modest increases in base salaries at the beginning of 2019 have contributed to higher associate-related costs. Our interim accrual for annual variable compensation also increased $17.0 million in 2019 from the 2018 period. Similar to the quarterly period, these increases in compensation and related costs were offset in part by the absence in 2019 of the one-time bonus paid to certain associates in the second quarter of 2018 and higher labor capitalization related to internally developed software in 2019 of $5.9 million.</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includes those costs incurred to distribute T. Rowe Price products as well as client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servicing, recordkeeping, and administrative services. These costs were $64.4 million for the second quarter of 2019, a decrease of 10.1% from the $71.6 million recognized in the second quarter of 2018. For the six months ended June 30, 2019, these costs were $130.8 million, a decrease of 7.8% over the $141.9 million recognized in the comparable 2018 period. The decrease for both periods is primarily driven by client transfers to lower fee vehicles or share classes over the last twelve months, which resulted in lower assets under management in those mutual funds that are distributed by third-party intermediaries. These costs include those distribution and servicing costs paid to third-party intermediaries that source the assets of certain share classes of our U.S. mutual funds and is offset entirely by the 12b-1 revenue we earn and report in administrative, distribution, and servicing fees.</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i w:val="1"/>
          <w:iCs w:val="1"/>
          <w:u w:val="single" w:color="auto"/>
          <w:color w:val="auto"/>
        </w:rPr>
        <w:t>Technology, occupancy, and facility costs.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occupancy, and facility costs consists of depreciation expense, technology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maintenance, software, and costs related to our facilities. These costs were $104.9 million in the second quarter of 2019, an increase of $11.7 million, or 12.6%, compared to the $93.2 million recognized in the 2018 quarter. For the six months ended June 30, 2019, these costs were $203.0 million, an increase of $15.7 million, or 8.4%, compared to the 2018 period. The increase for both periods is due primarily to incremental investment in our technology capabilities, including related depreciation, hosted solution licenses, and maintenance programs.</w:t>
      </w:r>
    </w:p>
    <w:p>
      <w:pPr>
        <w:spacing w:after="0" w:line="168"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i w:val="1"/>
          <w:iCs w:val="1"/>
          <w:u w:val="single" w:color="auto"/>
          <w:color w:val="auto"/>
        </w:rPr>
        <w:t>General, administrative,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administrative, and other expenses were $74.4 million in the second quarter of 2019,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$1.0 million, or 1.4%, compared to the $73.4 million recognized in the 2018 quarter. For the six months ended June 30, 2019, these costs were $ 147.4 million, an increase of $2.3 million, or 1.6%, compared to the 2018 period. The increase for both periods is primarily a result of higher third-party investment research costs that were partially offset by lower professional fees in 2019 as compared to the 2018 periods.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00"/>
          </w:cols>
          <w:pgMar w:left="240" w:top="1057"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Non-operating income</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Non-operating income in the second quarter of 2019 was $124.5 million, an increase of $90.4 million from the 2018 quarter. For the six months ended June 30, 2019, non-operating income increased $277.1 million from the 2018 period to $327.3 million. The following table details the components of non-operating income during both the second quarter and six months ended June 30, 2019 and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60" w:type="dxa"/>
            <w:vAlign w:val="bottom"/>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140" w:type="dxa"/>
            <w:vAlign w:val="bottom"/>
            <w:gridSpan w:val="4"/>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6/30/2018</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Market related gains (losses) and equity in earnings</w:t>
            </w:r>
          </w:p>
        </w:tc>
        <w:tc>
          <w:tcPr>
            <w:tcW w:w="26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Seed capital investments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Dividend income</w:t>
            </w:r>
          </w:p>
        </w:tc>
        <w:tc>
          <w:tcPr>
            <w:tcW w:w="26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related gains (losses) and equity in earnings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Net gain recognized upon deconsolidation</w:t>
            </w:r>
          </w:p>
        </w:tc>
        <w:tc>
          <w:tcPr>
            <w:tcW w:w="26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Total net gains from non-consolidated T. Rowe Price investment products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57.0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152.4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17.2</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Net gains on investments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161.9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31.8</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consolidated sponsored investment portfolios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(loss), including foreign currency gains and losses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327.3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50.2</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second quarter of 2019 as well as the six months ended June 30, 2019, non-operating income included the impact of sharp market increases, which resulted in significant unrealized gains on our investment portfolio compared with modest gains recognized during 2018.</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table above includes the net investment income of the underlying portfolios included in the consolidated T. Rowe Price investment products and not just the net investment income related to our interest. The table below shows the impact that the consolidated T. Rowe Price investment products have on the individual lines of our unaudited condensed consolidated statements of income and the portion attributable to our interest: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320" w:type="dxa"/>
            <w:vAlign w:val="bottom"/>
            <w:gridSpan w:val="5"/>
            <w:shd w:val="clear" w:color="auto" w:fill="CCEEFF"/>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6/30/2018</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19.9</w:t>
            </w: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our interest in the consolidated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29"/>
        </w:trPr>
        <w:tc>
          <w:tcPr>
            <w:tcW w:w="650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party investors)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r>
      <w:tr>
        <w:trPr>
          <w:trHeight w:val="250"/>
        </w:trPr>
        <w:tc>
          <w:tcPr>
            <w:tcW w:w="6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10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effective tax rate for the second quarter of 2019 was 24.8%, compared with 26.9% in the 2018 quarter. Our effective tax rate for the six months ended June 30, 2019 was 24.7%, compared with 25.5% in the 2018 period. The income tax provision for both the 2018 quarter and year-to-date period include nonrecurring charges totaling $28.7 million related to the enactment of U.S. tax reform and new Maryland state tax legislation. The following table reconciles the statutory federal income tax rate to our effective tax rate for both the quarter and six months ended June 30, 2019 and 2018:</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20" w:type="dxa"/>
            <w:vAlign w:val="bottom"/>
            <w:shd w:val="clear" w:color="auto" w:fill="CCEEFF"/>
          </w:tcPr>
          <w:p>
            <w:pPr>
              <w:spacing w:after="0"/>
              <w:rPr>
                <w:sz w:val="22"/>
                <w:szCs w:val="22"/>
                <w:color w:val="auto"/>
              </w:rPr>
            </w:pPr>
          </w:p>
        </w:tc>
        <w:tc>
          <w:tcPr>
            <w:tcW w:w="2700" w:type="dxa"/>
            <w:vAlign w:val="bottom"/>
            <w:gridSpan w:val="4"/>
            <w:shd w:val="clear" w:color="auto" w:fill="CCEEFF"/>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3"/>
            <w:shd w:val="clear" w:color="auto" w:fill="CCEEFF"/>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1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6/30/2018</w:t>
            </w:r>
          </w:p>
        </w:tc>
      </w:tr>
      <w:tr>
        <w:trPr>
          <w:trHeight w:val="256"/>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63"/>
        </w:trPr>
        <w:tc>
          <w:tcPr>
            <w:tcW w:w="6120" w:type="dxa"/>
            <w:vAlign w:val="bottom"/>
          </w:tcPr>
          <w:p>
            <w:pPr>
              <w:ind w:left="40"/>
              <w:spacing w:after="0"/>
              <w:rPr>
                <w:sz w:val="20"/>
                <w:szCs w:val="20"/>
                <w:color w:val="auto"/>
              </w:rPr>
            </w:pPr>
            <w:r>
              <w:rPr>
                <w:rFonts w:ascii="Arial" w:cs="Arial" w:eastAsia="Arial" w:hAnsi="Arial"/>
                <w:sz w:val="18"/>
                <w:szCs w:val="18"/>
                <w:color w:val="auto"/>
              </w:rPr>
              <w:t>Impact of nonrecurring charge related to U.S. tax reform</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1.7</w:t>
            </w:r>
          </w:p>
        </w:tc>
      </w:tr>
      <w:tr>
        <w:trPr>
          <w:trHeight w:val="277"/>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nonrecurring charge related to new Maryland state tax legislation</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1"/>
                <w:szCs w:val="21"/>
                <w:color w:val="auto"/>
                <w:vertAlign w:val="superscript"/>
              </w:rPr>
              <w:t>(1)</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4.4</w:t>
            </w: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r>
      <w:tr>
        <w:trPr>
          <w:trHeight w:val="263"/>
        </w:trPr>
        <w:tc>
          <w:tcPr>
            <w:tcW w:w="6120" w:type="dxa"/>
            <w:vAlign w:val="bottom"/>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(2.4)</w:t>
            </w: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r>
      <w:tr>
        <w:trPr>
          <w:trHeight w:val="257"/>
        </w:trPr>
        <w:tc>
          <w:tcPr>
            <w:tcW w:w="612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240" w:type="dxa"/>
            <w:vAlign w:val="bottom"/>
          </w:tcPr>
          <w:p>
            <w:pPr>
              <w:jc w:val="right"/>
              <w:spacing w:after="0"/>
              <w:rPr>
                <w:sz w:val="20"/>
                <w:szCs w:val="20"/>
                <w:color w:val="auto"/>
              </w:rPr>
            </w:pPr>
            <w:r>
              <w:rPr>
                <w:rFonts w:ascii="Arial" w:cs="Arial" w:eastAsia="Arial" w:hAnsi="Arial"/>
                <w:sz w:val="18"/>
                <w:szCs w:val="18"/>
                <w:color w:val="auto"/>
              </w:rPr>
              <w:t>24.8 %</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24.7 %</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0</wp:posOffset>
            </wp:positionV>
            <wp:extent cx="336169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1690" cy="26035"/>
                    </a:xfrm>
                    <a:prstGeom prst="rect">
                      <a:avLst/>
                    </a:prstGeom>
                    <a:noFill/>
                  </pic:spPr>
                </pic:pic>
              </a:graphicData>
            </a:graphic>
          </wp:anchor>
        </w:drawing>
      </w:r>
    </w:p>
    <w:p>
      <w:pPr>
        <w:spacing w:after="0" w:line="11"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currently estimate our effective tax rate for the full-year 2019 will be in the range of 23.5% to 25.5%. Our effective tax rate will continue to experience volatility in future periods as the tax benefits recognized from stock-based compensation are impacted by market fluctuations in our stock price and timing of option exercises. The rate will also be impacted by net investment income recognized on our consolidated investment products that are driven by market fluctuations and changes in the proportion of their net income that is attributable to non-controlling interests.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non-GAAP effective tax rate for the second quarter of 2019 and 2018 was 25.5% and 22.4%, respectively. Our non-GAAP effective tax rate for the six months ended June 30, 2019 and 2018 was 25.4% and 23.3%, respectively. We currently estimate our non-GAAP effective tax rate for the full-year 2019 will be in the range of 24% to 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10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schedules reconcile certain U.S. GAAP financial measures for the three months ended June 30, 2019 and 2018.</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gridSpan w:val="6"/>
            <w:shd w:val="clear" w:color="auto" w:fill="CCEEFF"/>
          </w:tcPr>
          <w:p>
            <w:pPr>
              <w:ind w:left="100"/>
              <w:spacing w:after="0"/>
              <w:rPr>
                <w:sz w:val="20"/>
                <w:szCs w:val="20"/>
                <w:color w:val="auto"/>
              </w:rPr>
            </w:pPr>
            <w:r>
              <w:rPr>
                <w:rFonts w:ascii="Arial" w:cs="Arial" w:eastAsia="Arial" w:hAnsi="Arial"/>
                <w:sz w:val="16"/>
                <w:szCs w:val="16"/>
                <w:b w:val="1"/>
                <w:bCs w:val="1"/>
                <w:color w:val="auto"/>
              </w:rPr>
              <w:t>Three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16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Provision</w:t>
            </w:r>
          </w:p>
        </w:tc>
        <w:tc>
          <w:tcPr>
            <w:tcW w:w="15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rPr>
              <w:t>attributable to T.</w:t>
            </w:r>
          </w:p>
        </w:tc>
        <w:tc>
          <w:tcPr>
            <w:tcW w:w="12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Diluted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w:t>
            </w: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operating</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6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(benefit) for</w:t>
            </w:r>
          </w:p>
        </w:tc>
        <w:tc>
          <w:tcPr>
            <w:tcW w:w="180" w:type="dxa"/>
            <w:vAlign w:val="bottom"/>
          </w:tcPr>
          <w:p>
            <w:pPr>
              <w:spacing w:after="0"/>
              <w:rPr>
                <w:sz w:val="16"/>
                <w:szCs w:val="16"/>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Rowe Price</w:t>
            </w:r>
          </w:p>
        </w:tc>
        <w:tc>
          <w:tcPr>
            <w:tcW w:w="12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earnings per</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w:t>
            </w:r>
          </w:p>
        </w:tc>
        <w:tc>
          <w:tcPr>
            <w:tcW w:w="1380" w:type="dxa"/>
            <w:vAlign w:val="bottom"/>
            <w:gridSpan w:val="4"/>
          </w:tcPr>
          <w:p>
            <w:pPr>
              <w:jc w:val="center"/>
              <w:ind w:right="100"/>
              <w:spacing w:after="0" w:line="234" w:lineRule="exact"/>
              <w:rPr>
                <w:sz w:val="20"/>
                <w:szCs w:val="20"/>
                <w:color w:val="auto"/>
              </w:rPr>
            </w:pPr>
            <w:r>
              <w:rPr>
                <w:rFonts w:ascii="Arial" w:cs="Arial" w:eastAsia="Arial" w:hAnsi="Arial"/>
                <w:sz w:val="16"/>
                <w:szCs w:val="16"/>
                <w:b w:val="1"/>
                <w:bCs w:val="1"/>
                <w:color w:val="auto"/>
                <w:w w:val="97"/>
              </w:rPr>
              <w:t>income taxes</w:t>
            </w:r>
            <w:r>
              <w:rPr>
                <w:rFonts w:ascii="Arial" w:cs="Arial" w:eastAsia="Arial" w:hAnsi="Arial"/>
                <w:sz w:val="21"/>
                <w:szCs w:val="21"/>
                <w:b w:val="1"/>
                <w:bCs w:val="1"/>
                <w:color w:val="auto"/>
                <w:w w:val="97"/>
                <w:vertAlign w:val="superscript"/>
              </w:rPr>
              <w:t>(6)</w:t>
            </w:r>
          </w:p>
        </w:tc>
        <w:tc>
          <w:tcPr>
            <w:tcW w:w="180" w:type="dxa"/>
            <w:vAlign w:val="bottom"/>
          </w:tcPr>
          <w:p>
            <w:pPr>
              <w:spacing w:after="0"/>
              <w:rPr>
                <w:sz w:val="20"/>
                <w:szCs w:val="20"/>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9"/>
              </w:rPr>
              <w:t>Group</w:t>
            </w:r>
          </w:p>
        </w:tc>
        <w:tc>
          <w:tcPr>
            <w:tcW w:w="120" w:type="dxa"/>
            <w:vAlign w:val="bottom"/>
          </w:tcPr>
          <w:p>
            <w:pPr>
              <w:spacing w:after="0"/>
              <w:rPr>
                <w:sz w:val="20"/>
                <w:szCs w:val="20"/>
                <w:color w:val="auto"/>
              </w:rPr>
            </w:pPr>
          </w:p>
        </w:tc>
        <w:tc>
          <w:tcPr>
            <w:tcW w:w="1140" w:type="dxa"/>
            <w:vAlign w:val="bottom"/>
            <w:gridSpan w:val="2"/>
          </w:tcPr>
          <w:p>
            <w:pPr>
              <w:jc w:val="center"/>
              <w:ind w:right="140"/>
              <w:spacing w:after="0" w:line="234" w:lineRule="exact"/>
              <w:rPr>
                <w:sz w:val="20"/>
                <w:szCs w:val="20"/>
                <w:color w:val="auto"/>
              </w:rPr>
            </w:pPr>
            <w:r>
              <w:rPr>
                <w:rFonts w:ascii="Arial" w:cs="Arial" w:eastAsia="Arial" w:hAnsi="Arial"/>
                <w:sz w:val="16"/>
                <w:szCs w:val="16"/>
                <w:b w:val="1"/>
                <w:bCs w:val="1"/>
                <w:color w:val="auto"/>
                <w:w w:val="93"/>
              </w:rPr>
              <w:t>share</w:t>
            </w:r>
            <w:r>
              <w:rPr>
                <w:rFonts w:ascii="Arial" w:cs="Arial" w:eastAsia="Arial" w:hAnsi="Arial"/>
                <w:sz w:val="21"/>
                <w:szCs w:val="21"/>
                <w:b w:val="1"/>
                <w:bCs w:val="1"/>
                <w:color w:val="auto"/>
                <w:w w:val="93"/>
                <w:vertAlign w:val="superscript"/>
              </w:rPr>
              <w:t>(7)</w:t>
            </w:r>
          </w:p>
        </w:tc>
        <w:tc>
          <w:tcPr>
            <w:tcW w:w="0" w:type="dxa"/>
            <w:vAlign w:val="bottom"/>
          </w:tcPr>
          <w:p>
            <w:pPr>
              <w:spacing w:after="0"/>
              <w:rPr>
                <w:sz w:val="1"/>
                <w:szCs w:val="1"/>
                <w:color w:val="auto"/>
              </w:rPr>
            </w:pPr>
          </w:p>
        </w:tc>
      </w:tr>
      <w:tr>
        <w:trPr>
          <w:trHeight w:val="250"/>
        </w:trPr>
        <w:tc>
          <w:tcPr>
            <w:tcW w:w="35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780.1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124.5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183.7</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520" w:type="dxa"/>
            <w:vAlign w:val="bottom"/>
            <w:gridSpan w:val="2"/>
          </w:tcPr>
          <w:p>
            <w:pPr>
              <w:ind w:left="4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20" w:type="dxa"/>
            <w:vAlign w:val="bottom"/>
            <w:gridSpan w:val="2"/>
            <w:shd w:val="clear" w:color="auto" w:fill="CCEEFF"/>
          </w:tcPr>
          <w:p>
            <w:pPr>
              <w:ind w:left="4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80" w:type="dxa"/>
            <w:vAlign w:val="bottom"/>
          </w:tcPr>
          <w:p>
            <w:pPr>
              <w:ind w:left="14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52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764.6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632.8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170.5</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4"/>
          </w:tcPr>
          <w:p>
            <w:pPr>
              <w:spacing w:after="0"/>
              <w:rPr>
                <w:sz w:val="24"/>
                <w:szCs w:val="24"/>
                <w:color w:val="auto"/>
              </w:rPr>
            </w:pPr>
          </w:p>
        </w:tc>
        <w:tc>
          <w:tcPr>
            <w:tcW w:w="1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gridSpan w:val="6"/>
            <w:shd w:val="clear" w:color="auto" w:fill="CCEEFF"/>
          </w:tcPr>
          <w:p>
            <w:pPr>
              <w:ind w:left="80"/>
              <w:spacing w:after="0"/>
              <w:rPr>
                <w:sz w:val="20"/>
                <w:szCs w:val="20"/>
                <w:color w:val="auto"/>
              </w:rPr>
            </w:pPr>
            <w:r>
              <w:rPr>
                <w:rFonts w:ascii="Arial" w:cs="Arial" w:eastAsia="Arial" w:hAnsi="Arial"/>
                <w:sz w:val="16"/>
                <w:szCs w:val="16"/>
                <w:b w:val="1"/>
                <w:bCs w:val="1"/>
                <w:color w:val="auto"/>
              </w:rPr>
              <w:t>Three months ended 6/30/2018</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1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Provision</w:t>
            </w:r>
          </w:p>
        </w:tc>
        <w:tc>
          <w:tcPr>
            <w:tcW w:w="15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8"/>
              </w:rPr>
              <w:t>attributable to T.</w:t>
            </w:r>
          </w:p>
        </w:tc>
        <w:tc>
          <w:tcPr>
            <w:tcW w:w="12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Diluted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w:t>
            </w: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operating</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(benefit) for</w:t>
            </w:r>
          </w:p>
        </w:tc>
        <w:tc>
          <w:tcPr>
            <w:tcW w:w="180" w:type="dxa"/>
            <w:vAlign w:val="bottom"/>
          </w:tcPr>
          <w:p>
            <w:pPr>
              <w:spacing w:after="0"/>
              <w:rPr>
                <w:sz w:val="16"/>
                <w:szCs w:val="16"/>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Rowe Price</w:t>
            </w:r>
          </w:p>
        </w:tc>
        <w:tc>
          <w:tcPr>
            <w:tcW w:w="12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earnings per</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w:t>
            </w:r>
          </w:p>
        </w:tc>
        <w:tc>
          <w:tcPr>
            <w:tcW w:w="1380" w:type="dxa"/>
            <w:vAlign w:val="bottom"/>
            <w:gridSpan w:val="4"/>
          </w:tcPr>
          <w:p>
            <w:pPr>
              <w:jc w:val="center"/>
              <w:ind w:right="100"/>
              <w:spacing w:after="0" w:line="234" w:lineRule="exact"/>
              <w:rPr>
                <w:sz w:val="20"/>
                <w:szCs w:val="20"/>
                <w:color w:val="auto"/>
              </w:rPr>
            </w:pPr>
            <w:r>
              <w:rPr>
                <w:rFonts w:ascii="Arial" w:cs="Arial" w:eastAsia="Arial" w:hAnsi="Arial"/>
                <w:sz w:val="16"/>
                <w:szCs w:val="16"/>
                <w:b w:val="1"/>
                <w:bCs w:val="1"/>
                <w:color w:val="auto"/>
                <w:w w:val="97"/>
              </w:rPr>
              <w:t>income taxes</w:t>
            </w:r>
            <w:r>
              <w:rPr>
                <w:rFonts w:ascii="Arial" w:cs="Arial" w:eastAsia="Arial" w:hAnsi="Arial"/>
                <w:sz w:val="21"/>
                <w:szCs w:val="21"/>
                <w:b w:val="1"/>
                <w:bCs w:val="1"/>
                <w:color w:val="auto"/>
                <w:w w:val="97"/>
                <w:vertAlign w:val="superscript"/>
              </w:rPr>
              <w:t>(6)</w:t>
            </w:r>
          </w:p>
        </w:tc>
        <w:tc>
          <w:tcPr>
            <w:tcW w:w="180" w:type="dxa"/>
            <w:vAlign w:val="bottom"/>
          </w:tcPr>
          <w:p>
            <w:pPr>
              <w:spacing w:after="0"/>
              <w:rPr>
                <w:sz w:val="20"/>
                <w:szCs w:val="20"/>
                <w:color w:val="auto"/>
              </w:rPr>
            </w:pPr>
          </w:p>
        </w:tc>
        <w:tc>
          <w:tcPr>
            <w:tcW w:w="13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9"/>
              </w:rPr>
              <w:t>Group</w:t>
            </w:r>
          </w:p>
        </w:tc>
        <w:tc>
          <w:tcPr>
            <w:tcW w:w="120" w:type="dxa"/>
            <w:vAlign w:val="bottom"/>
          </w:tcPr>
          <w:p>
            <w:pPr>
              <w:spacing w:after="0"/>
              <w:rPr>
                <w:sz w:val="20"/>
                <w:szCs w:val="20"/>
                <w:color w:val="auto"/>
              </w:rPr>
            </w:pPr>
          </w:p>
        </w:tc>
        <w:tc>
          <w:tcPr>
            <w:tcW w:w="1140" w:type="dxa"/>
            <w:vAlign w:val="bottom"/>
            <w:gridSpan w:val="2"/>
          </w:tcPr>
          <w:p>
            <w:pPr>
              <w:jc w:val="center"/>
              <w:ind w:right="180"/>
              <w:spacing w:after="0" w:line="234" w:lineRule="exact"/>
              <w:rPr>
                <w:sz w:val="20"/>
                <w:szCs w:val="20"/>
                <w:color w:val="auto"/>
              </w:rPr>
            </w:pPr>
            <w:r>
              <w:rPr>
                <w:rFonts w:ascii="Arial" w:cs="Arial" w:eastAsia="Arial" w:hAnsi="Arial"/>
                <w:sz w:val="16"/>
                <w:szCs w:val="16"/>
                <w:b w:val="1"/>
                <w:bCs w:val="1"/>
                <w:color w:val="auto"/>
                <w:w w:val="93"/>
              </w:rPr>
              <w:t>share</w:t>
            </w:r>
            <w:r>
              <w:rPr>
                <w:rFonts w:ascii="Arial" w:cs="Arial" w:eastAsia="Arial" w:hAnsi="Arial"/>
                <w:sz w:val="21"/>
                <w:szCs w:val="21"/>
                <w:b w:val="1"/>
                <w:bCs w:val="1"/>
                <w:color w:val="auto"/>
                <w:w w:val="93"/>
                <w:vertAlign w:val="superscript"/>
              </w:rPr>
              <w:t>(7)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750.3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594.7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169.2</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448.9</w:t>
            </w: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8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6"/>
                <w:szCs w:val="16"/>
                <w:color w:val="auto"/>
              </w:rPr>
              <w:t>Nonrecurring charge related to</w:t>
            </w:r>
          </w:p>
        </w:tc>
        <w:tc>
          <w:tcPr>
            <w:tcW w:w="16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restart"/>
          </w:tcPr>
          <w:p>
            <w:pPr>
              <w:jc w:val="right"/>
              <w:ind w:right="13"/>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480" w:type="dxa"/>
            <w:vAlign w:val="bottom"/>
          </w:tcPr>
          <w:p>
            <w:pPr>
              <w:ind w:left="20"/>
              <w:spacing w:after="0" w:line="219" w:lineRule="exact"/>
              <w:rPr>
                <w:sz w:val="20"/>
                <w:szCs w:val="20"/>
                <w:color w:val="auto"/>
              </w:rPr>
            </w:pPr>
            <w:r>
              <w:rPr>
                <w:rFonts w:ascii="Arial" w:cs="Arial" w:eastAsia="Arial" w:hAnsi="Arial"/>
                <w:sz w:val="16"/>
                <w:szCs w:val="16"/>
                <w:color w:val="auto"/>
              </w:rPr>
              <w:t>enactment of U.S. tax reform</w:t>
            </w:r>
            <w:r>
              <w:rPr>
                <w:rFonts w:ascii="Arial" w:cs="Arial" w:eastAsia="Arial" w:hAnsi="Arial"/>
                <w:sz w:val="21"/>
                <w:szCs w:val="21"/>
                <w:color w:val="auto"/>
                <w:vertAlign w:val="superscript"/>
              </w:rPr>
              <w:t>(4)</w:t>
            </w: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Nonrecurring charge related to</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enactment of Maryland state tax</w:t>
            </w:r>
          </w:p>
        </w:tc>
        <w:tc>
          <w:tcPr>
            <w:tcW w:w="1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legislation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745.3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the six months ended June 30, 2019 and 2018.</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4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6"/>
                <w:szCs w:val="16"/>
                <w:b w:val="1"/>
                <w:bCs w:val="1"/>
                <w:color w:val="auto"/>
              </w:rPr>
              <w:t>Six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Provision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attributable to T.</w:t>
            </w:r>
          </w:p>
        </w:tc>
        <w:tc>
          <w:tcPr>
            <w:tcW w:w="140" w:type="dxa"/>
            <w:vAlign w:val="bottom"/>
          </w:tcPr>
          <w:p>
            <w:pPr>
              <w:spacing w:after="0"/>
              <w:rPr>
                <w:sz w:val="16"/>
                <w:szCs w:val="16"/>
                <w:color w:val="auto"/>
              </w:rPr>
            </w:pPr>
          </w:p>
        </w:tc>
        <w:tc>
          <w:tcPr>
            <w:tcW w:w="1120" w:type="dxa"/>
            <w:vAlign w:val="bottom"/>
          </w:tcPr>
          <w:p>
            <w:pPr>
              <w:jc w:val="center"/>
              <w:ind w:right="53"/>
              <w:spacing w:after="0"/>
              <w:rPr>
                <w:sz w:val="20"/>
                <w:szCs w:val="20"/>
                <w:color w:val="auto"/>
              </w:rPr>
            </w:pPr>
            <w:r>
              <w:rPr>
                <w:rFonts w:ascii="Arial" w:cs="Arial" w:eastAsia="Arial" w:hAnsi="Arial"/>
                <w:sz w:val="16"/>
                <w:szCs w:val="16"/>
                <w:b w:val="1"/>
                <w:bCs w:val="1"/>
                <w:color w:val="auto"/>
                <w:w w:val="99"/>
              </w:rPr>
              <w:t>Diluted</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w:t>
            </w: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operating</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(benefit) for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Rowe Price</w:t>
            </w:r>
          </w:p>
        </w:tc>
        <w:tc>
          <w:tcPr>
            <w:tcW w:w="140" w:type="dxa"/>
            <w:vAlign w:val="bottom"/>
          </w:tcPr>
          <w:p>
            <w:pPr>
              <w:spacing w:after="0"/>
              <w:rPr>
                <w:sz w:val="16"/>
                <w:szCs w:val="16"/>
                <w:color w:val="auto"/>
              </w:rPr>
            </w:pPr>
          </w:p>
        </w:tc>
        <w:tc>
          <w:tcPr>
            <w:tcW w:w="1120" w:type="dxa"/>
            <w:vAlign w:val="bottom"/>
          </w:tcPr>
          <w:p>
            <w:pPr>
              <w:jc w:val="center"/>
              <w:ind w:right="53"/>
              <w:spacing w:after="0"/>
              <w:rPr>
                <w:sz w:val="20"/>
                <w:szCs w:val="20"/>
                <w:color w:val="auto"/>
              </w:rPr>
            </w:pPr>
            <w:r>
              <w:rPr>
                <w:rFonts w:ascii="Arial" w:cs="Arial" w:eastAsia="Arial" w:hAnsi="Arial"/>
                <w:sz w:val="16"/>
                <w:szCs w:val="16"/>
                <w:b w:val="1"/>
                <w:bCs w:val="1"/>
                <w:color w:val="auto"/>
              </w:rPr>
              <w:t>earnings per</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w:t>
            </w:r>
          </w:p>
        </w:tc>
        <w:tc>
          <w:tcPr>
            <w:tcW w:w="1380" w:type="dxa"/>
            <w:vAlign w:val="bottom"/>
            <w:gridSpan w:val="3"/>
          </w:tcPr>
          <w:p>
            <w:pPr>
              <w:ind w:left="60"/>
              <w:spacing w:after="0" w:line="234" w:lineRule="exact"/>
              <w:rPr>
                <w:sz w:val="20"/>
                <w:szCs w:val="20"/>
                <w:color w:val="auto"/>
              </w:rPr>
            </w:pPr>
            <w:r>
              <w:rPr>
                <w:rFonts w:ascii="Arial" w:cs="Arial" w:eastAsia="Arial" w:hAnsi="Arial"/>
                <w:sz w:val="16"/>
                <w:szCs w:val="16"/>
                <w:b w:val="1"/>
                <w:bCs w:val="1"/>
                <w:color w:val="auto"/>
              </w:rPr>
              <w:t>income taxes</w:t>
            </w:r>
            <w:r>
              <w:rPr>
                <w:rFonts w:ascii="Arial" w:cs="Arial" w:eastAsia="Arial" w:hAnsi="Arial"/>
                <w:sz w:val="21"/>
                <w:szCs w:val="21"/>
                <w:b w:val="1"/>
                <w:bCs w:val="1"/>
                <w:color w:val="auto"/>
                <w:vertAlign w:val="superscript"/>
              </w:rPr>
              <w:t>(6)</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Group</w:t>
            </w:r>
          </w:p>
        </w:tc>
        <w:tc>
          <w:tcPr>
            <w:tcW w:w="140" w:type="dxa"/>
            <w:vAlign w:val="bottom"/>
          </w:tcPr>
          <w:p>
            <w:pPr>
              <w:spacing w:after="0"/>
              <w:rPr>
                <w:sz w:val="20"/>
                <w:szCs w:val="20"/>
                <w:color w:val="auto"/>
              </w:rPr>
            </w:pPr>
          </w:p>
        </w:tc>
        <w:tc>
          <w:tcPr>
            <w:tcW w:w="1120" w:type="dxa"/>
            <w:vAlign w:val="bottom"/>
          </w:tcPr>
          <w:p>
            <w:pPr>
              <w:jc w:val="center"/>
              <w:ind w:right="73"/>
              <w:spacing w:after="0" w:line="234" w:lineRule="exact"/>
              <w:rPr>
                <w:sz w:val="20"/>
                <w:szCs w:val="20"/>
                <w:color w:val="auto"/>
              </w:rPr>
            </w:pPr>
            <w:r>
              <w:rPr>
                <w:rFonts w:ascii="Arial" w:cs="Arial" w:eastAsia="Arial" w:hAnsi="Arial"/>
                <w:sz w:val="16"/>
                <w:szCs w:val="16"/>
                <w:b w:val="1"/>
                <w:bCs w:val="1"/>
                <w:color w:val="auto"/>
                <w:w w:val="93"/>
              </w:rPr>
              <w:t>share</w:t>
            </w:r>
            <w:r>
              <w:rPr>
                <w:rFonts w:ascii="Arial" w:cs="Arial" w:eastAsia="Arial" w:hAnsi="Arial"/>
                <w:sz w:val="21"/>
                <w:szCs w:val="21"/>
                <w:b w:val="1"/>
                <w:bCs w:val="1"/>
                <w:color w:val="auto"/>
                <w:w w:val="93"/>
                <w:vertAlign w:val="superscript"/>
              </w:rPr>
              <w:t>(7)</w:t>
            </w:r>
          </w:p>
        </w:tc>
        <w:tc>
          <w:tcPr>
            <w:tcW w:w="0" w:type="dxa"/>
            <w:vAlign w:val="bottom"/>
          </w:tcPr>
          <w:p>
            <w:pPr>
              <w:spacing w:after="0"/>
              <w:rPr>
                <w:sz w:val="1"/>
                <w:szCs w:val="1"/>
                <w:color w:val="auto"/>
              </w:rPr>
            </w:pP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1,574.9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1,147.6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327.3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365.0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1,040.1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60"/>
        </w:trPr>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7"/>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1,521.2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5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31</w:t>
      </w:r>
    </w:p>
    <w:p>
      <w:pPr>
        <w:sectPr>
          <w:pgSz w:w="11900" w:h="16838" w:orient="portrait"/>
          <w:cols w:equalWidth="0" w:num="1">
            <w:col w:w="11420"/>
          </w:cols>
          <w:pgMar w:left="240" w:top="1057" w:right="239" w:bottom="1440" w:gutter="0" w:footer="0" w:header="0"/>
          <w:type w:val="continuous"/>
        </w:sectPr>
      </w:pPr>
    </w:p>
    <w:bookmarkStart w:id="31" w:name="page32"/>
    <w:bookmarkEnd w:id="31"/>
    <w:tbl>
      <w:tblPr>
        <w:tblLayout w:type="fixed"/>
        <w:tblInd w:w="32" w:type="dxa"/>
        <w:tblCellMar>
          <w:top w:w="0" w:type="dxa"/>
          <w:left w:w="0" w:type="dxa"/>
          <w:bottom w:w="0" w:type="dxa"/>
          <w:right w:w="0" w:type="dxa"/>
        </w:tblCellMar>
      </w:tblPr>
      <w:tr>
        <w:trPr>
          <w:trHeight w:val="264"/>
        </w:trPr>
        <w:tc>
          <w:tcPr>
            <w:tcW w:w="34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6"/>
                <w:szCs w:val="16"/>
                <w:b w:val="1"/>
                <w:bCs w:val="1"/>
                <w:color w:val="auto"/>
              </w:rPr>
              <w:t>Six months ended 6/30/2018</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Provision</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attributable to T.</w:t>
            </w:r>
          </w:p>
        </w:tc>
        <w:tc>
          <w:tcPr>
            <w:tcW w:w="140" w:type="dxa"/>
            <w:vAlign w:val="bottom"/>
          </w:tcPr>
          <w:p>
            <w:pPr>
              <w:spacing w:after="0"/>
              <w:rPr>
                <w:sz w:val="16"/>
                <w:szCs w:val="16"/>
                <w:color w:val="auto"/>
              </w:rPr>
            </w:pPr>
          </w:p>
        </w:tc>
        <w:tc>
          <w:tcPr>
            <w:tcW w:w="1120" w:type="dxa"/>
            <w:vAlign w:val="bottom"/>
          </w:tcPr>
          <w:p>
            <w:pPr>
              <w:jc w:val="center"/>
              <w:ind w:right="53"/>
              <w:spacing w:after="0"/>
              <w:rPr>
                <w:sz w:val="20"/>
                <w:szCs w:val="20"/>
                <w:color w:val="auto"/>
              </w:rPr>
            </w:pPr>
            <w:r>
              <w:rPr>
                <w:rFonts w:ascii="Arial" w:cs="Arial" w:eastAsia="Arial" w:hAnsi="Arial"/>
                <w:sz w:val="16"/>
                <w:szCs w:val="16"/>
                <w:b w:val="1"/>
                <w:bCs w:val="1"/>
                <w:color w:val="auto"/>
                <w:w w:val="99"/>
              </w:rPr>
              <w:t>Diluted</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w:t>
            </w: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operating</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(benefit) for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Rowe Price</w:t>
            </w:r>
          </w:p>
        </w:tc>
        <w:tc>
          <w:tcPr>
            <w:tcW w:w="140" w:type="dxa"/>
            <w:vAlign w:val="bottom"/>
          </w:tcPr>
          <w:p>
            <w:pPr>
              <w:spacing w:after="0"/>
              <w:rPr>
                <w:sz w:val="16"/>
                <w:szCs w:val="16"/>
                <w:color w:val="auto"/>
              </w:rPr>
            </w:pPr>
          </w:p>
        </w:tc>
        <w:tc>
          <w:tcPr>
            <w:tcW w:w="1120" w:type="dxa"/>
            <w:vAlign w:val="bottom"/>
          </w:tcPr>
          <w:p>
            <w:pPr>
              <w:jc w:val="center"/>
              <w:ind w:right="53"/>
              <w:spacing w:after="0"/>
              <w:rPr>
                <w:sz w:val="20"/>
                <w:szCs w:val="20"/>
                <w:color w:val="auto"/>
              </w:rPr>
            </w:pPr>
            <w:r>
              <w:rPr>
                <w:rFonts w:ascii="Arial" w:cs="Arial" w:eastAsia="Arial" w:hAnsi="Arial"/>
                <w:sz w:val="16"/>
                <w:szCs w:val="16"/>
                <w:b w:val="1"/>
                <w:bCs w:val="1"/>
                <w:color w:val="auto"/>
              </w:rPr>
              <w:t>earnings per</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w:t>
            </w:r>
          </w:p>
        </w:tc>
        <w:tc>
          <w:tcPr>
            <w:tcW w:w="1380" w:type="dxa"/>
            <w:vAlign w:val="bottom"/>
            <w:gridSpan w:val="3"/>
          </w:tcPr>
          <w:p>
            <w:pPr>
              <w:ind w:left="60"/>
              <w:spacing w:after="0" w:line="234" w:lineRule="exact"/>
              <w:rPr>
                <w:sz w:val="20"/>
                <w:szCs w:val="20"/>
                <w:color w:val="auto"/>
              </w:rPr>
            </w:pPr>
            <w:r>
              <w:rPr>
                <w:rFonts w:ascii="Arial" w:cs="Arial" w:eastAsia="Arial" w:hAnsi="Arial"/>
                <w:sz w:val="16"/>
                <w:szCs w:val="16"/>
                <w:b w:val="1"/>
                <w:bCs w:val="1"/>
                <w:color w:val="auto"/>
              </w:rPr>
              <w:t>income taxes</w:t>
            </w:r>
            <w:r>
              <w:rPr>
                <w:rFonts w:ascii="Arial" w:cs="Arial" w:eastAsia="Arial" w:hAnsi="Arial"/>
                <w:sz w:val="21"/>
                <w:szCs w:val="21"/>
                <w:b w:val="1"/>
                <w:bCs w:val="1"/>
                <w:color w:val="auto"/>
                <w:vertAlign w:val="superscript"/>
              </w:rPr>
              <w:t>(6)</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Group</w:t>
            </w:r>
          </w:p>
        </w:tc>
        <w:tc>
          <w:tcPr>
            <w:tcW w:w="140" w:type="dxa"/>
            <w:vAlign w:val="bottom"/>
          </w:tcPr>
          <w:p>
            <w:pPr>
              <w:spacing w:after="0"/>
              <w:rPr>
                <w:sz w:val="20"/>
                <w:szCs w:val="20"/>
                <w:color w:val="auto"/>
              </w:rPr>
            </w:pPr>
          </w:p>
        </w:tc>
        <w:tc>
          <w:tcPr>
            <w:tcW w:w="1120" w:type="dxa"/>
            <w:vAlign w:val="bottom"/>
          </w:tcPr>
          <w:p>
            <w:pPr>
              <w:jc w:val="center"/>
              <w:ind w:right="73"/>
              <w:spacing w:after="0" w:line="234" w:lineRule="exact"/>
              <w:rPr>
                <w:sz w:val="20"/>
                <w:szCs w:val="20"/>
                <w:color w:val="auto"/>
              </w:rPr>
            </w:pPr>
            <w:r>
              <w:rPr>
                <w:rFonts w:ascii="Arial" w:cs="Arial" w:eastAsia="Arial" w:hAnsi="Arial"/>
                <w:sz w:val="16"/>
                <w:szCs w:val="16"/>
                <w:b w:val="1"/>
                <w:bCs w:val="1"/>
                <w:color w:val="auto"/>
                <w:w w:val="93"/>
              </w:rPr>
              <w:t>share</w:t>
            </w:r>
            <w:r>
              <w:rPr>
                <w:rFonts w:ascii="Arial" w:cs="Arial" w:eastAsia="Arial" w:hAnsi="Arial"/>
                <w:sz w:val="21"/>
                <w:szCs w:val="21"/>
                <w:b w:val="1"/>
                <w:bCs w:val="1"/>
                <w:color w:val="auto"/>
                <w:w w:val="93"/>
                <w:vertAlign w:val="superscript"/>
              </w:rPr>
              <w:t>(7)</w:t>
            </w:r>
          </w:p>
        </w:tc>
        <w:tc>
          <w:tcPr>
            <w:tcW w:w="0" w:type="dxa"/>
            <w:vAlign w:val="bottom"/>
          </w:tcPr>
          <w:p>
            <w:pPr>
              <w:spacing w:after="0"/>
              <w:rPr>
                <w:sz w:val="1"/>
                <w:szCs w:val="1"/>
                <w:color w:val="auto"/>
              </w:rPr>
            </w:pP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1,494.5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1,178.5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313.6</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902.6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60"/>
        </w:trPr>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3"/>
        </w:trPr>
        <w:tc>
          <w:tcPr>
            <w:tcW w:w="3480" w:type="dxa"/>
            <w:vAlign w:val="bottom"/>
          </w:tcPr>
          <w:p>
            <w:pPr>
              <w:ind w:left="160"/>
              <w:spacing w:after="0"/>
              <w:rPr>
                <w:sz w:val="20"/>
                <w:szCs w:val="20"/>
                <w:color w:val="auto"/>
              </w:rPr>
            </w:pPr>
            <w:r>
              <w:rPr>
                <w:rFonts w:ascii="Arial" w:cs="Arial" w:eastAsia="Arial" w:hAnsi="Arial"/>
                <w:sz w:val="16"/>
                <w:szCs w:val="16"/>
                <w:color w:val="auto"/>
              </w:rPr>
              <w:t>Nonrecurring charge related to</w:t>
            </w:r>
          </w:p>
        </w:tc>
        <w:tc>
          <w:tcPr>
            <w:tcW w:w="16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restart"/>
          </w:tcPr>
          <w:p>
            <w:pPr>
              <w:jc w:val="right"/>
              <w:ind w:right="13"/>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line="219" w:lineRule="exact"/>
              <w:rPr>
                <w:sz w:val="20"/>
                <w:szCs w:val="20"/>
                <w:color w:val="auto"/>
              </w:rPr>
            </w:pPr>
            <w:r>
              <w:rPr>
                <w:rFonts w:ascii="Arial" w:cs="Arial" w:eastAsia="Arial" w:hAnsi="Arial"/>
                <w:sz w:val="16"/>
                <w:szCs w:val="16"/>
                <w:color w:val="auto"/>
              </w:rPr>
              <w:t>enactment of U.S. tax reform</w:t>
            </w:r>
            <w:r>
              <w:rPr>
                <w:rFonts w:ascii="Arial" w:cs="Arial" w:eastAsia="Arial" w:hAnsi="Arial"/>
                <w:sz w:val="21"/>
                <w:szCs w:val="21"/>
                <w:color w:val="auto"/>
                <w:vertAlign w:val="superscript"/>
              </w:rPr>
              <w:t>(4)</w:t>
            </w: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Nonrecurring charge related to</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enactment of Maryland state tax</w:t>
            </w:r>
          </w:p>
        </w:tc>
        <w:tc>
          <w:tcPr>
            <w:tcW w:w="1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legislation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1,486.3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1,189.8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918.4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32" w:right="180" w:hanging="332"/>
        <w:spacing w:after="0" w:line="250"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These non-GAAP adjustments remove the impact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We believe the consolidated T. Rowe Price investment products may impact the reader’s ability to understand our core operating results.</w:t>
      </w:r>
    </w:p>
    <w:p>
      <w:pPr>
        <w:spacing w:after="0" w:line="196" w:lineRule="exact"/>
        <w:rPr>
          <w:rFonts w:ascii="Arial" w:cs="Arial" w:eastAsia="Arial" w:hAnsi="Arial"/>
          <w:sz w:val="14"/>
          <w:szCs w:val="14"/>
          <w:color w:val="auto"/>
        </w:rPr>
      </w:pPr>
    </w:p>
    <w:p>
      <w:pPr>
        <w:ind w:left="332" w:right="120" w:hanging="332"/>
        <w:spacing w:after="0" w:line="250"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This non-GAAP adjustment removes the compensation expense from market valuation changes in the supplemental savings plan and the related net gains (losses) on investments designated as an economic hedge against the related liability. Amounts deferred under the supplemental savings plan are adjusted for appreciation (depreciation) of hypothetical investments chosen by employees. We use T. Rowe Price investment products to economically hedge the exposure to these market movements. We believe it is useful to offset the non-operating investment income (loss) realized on the hedges against the related compensation expense and remove the net impact to help the reader's ability to understand our core operating results and to increase comparability period to period.</w:t>
      </w:r>
    </w:p>
    <w:p>
      <w:pPr>
        <w:spacing w:after="0" w:line="196" w:lineRule="exact"/>
        <w:rPr>
          <w:rFonts w:ascii="Arial" w:cs="Arial" w:eastAsia="Arial" w:hAnsi="Arial"/>
          <w:sz w:val="14"/>
          <w:szCs w:val="14"/>
          <w:color w:val="auto"/>
        </w:rPr>
      </w:pPr>
    </w:p>
    <w:p>
      <w:pPr>
        <w:ind w:left="332" w:hanging="332"/>
        <w:spacing w:after="0" w:line="250"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beginning in the second quarter of 2018, non-consolidated seed investments and other investments that are not part of the cash and discretionary investment portfolio. We decided to retain the investment gains recognized on our non-consolidated cash and discretionary investments as these assets and related income (loss) are considered part of our core operations. The impact on previously reported non-GAAP measures is immaterial.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performance.</w:t>
      </w:r>
    </w:p>
    <w:p>
      <w:pPr>
        <w:spacing w:after="0" w:line="195" w:lineRule="exact"/>
        <w:rPr>
          <w:rFonts w:ascii="Arial" w:cs="Arial" w:eastAsia="Arial" w:hAnsi="Arial"/>
          <w:sz w:val="14"/>
          <w:szCs w:val="14"/>
          <w:color w:val="auto"/>
        </w:rPr>
      </w:pPr>
    </w:p>
    <w:p>
      <w:pPr>
        <w:ind w:left="332" w:right="420" w:hanging="332"/>
        <w:spacing w:after="0" w:line="254"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During the second quarter of 2018, we recognized a nonrecurring charge of $20.8 million for an adjustment made to the charge taken in 2017 related to the enactment of U.S. tax reform. We believe it is useful to readers of our consolidated statements of income to adjust for this nonrecurring charge in arriving at net income attributable to T. Rowe Price Group and diluted earnings per share.</w:t>
      </w:r>
    </w:p>
    <w:p>
      <w:pPr>
        <w:spacing w:after="0" w:line="189" w:lineRule="exact"/>
        <w:rPr>
          <w:rFonts w:ascii="Arial" w:cs="Arial" w:eastAsia="Arial" w:hAnsi="Arial"/>
          <w:sz w:val="14"/>
          <w:szCs w:val="14"/>
          <w:color w:val="auto"/>
        </w:rPr>
      </w:pPr>
    </w:p>
    <w:p>
      <w:pPr>
        <w:ind w:left="332" w:right="180" w:hanging="332"/>
        <w:spacing w:after="0" w:line="252"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During the second quarter of 2018, we recognized a nonrecurring charge of $7.9 million for the remeasurement of our deferred tax assets and liabilities to reflect the effect of Maryland state tax legislation enacted on April 24, 2018. We believe it is useful to readers of our consolidated statements of income to adjust for this nonrecurring charge in arriving at net income attributable to T. Rowe Price Group and diluted earnings per share.</w:t>
      </w:r>
    </w:p>
    <w:p>
      <w:pPr>
        <w:spacing w:after="0" w:line="191" w:lineRule="exact"/>
        <w:rPr>
          <w:rFonts w:ascii="Arial" w:cs="Arial" w:eastAsia="Arial" w:hAnsi="Arial"/>
          <w:sz w:val="14"/>
          <w:szCs w:val="14"/>
          <w:color w:val="auto"/>
        </w:rPr>
      </w:pPr>
    </w:p>
    <w:p>
      <w:pPr>
        <w:ind w:left="332" w:right="20" w:hanging="332"/>
        <w:spacing w:after="0" w:line="254"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7"/>
          <w:szCs w:val="17"/>
          <w:color w:val="auto"/>
        </w:rPr>
        <w:t>The income tax impacts were calculated in order to achieve an overall non-GAAP effective tax rate of 25.4% for the first half of 2019 and 23.3% for the 2018 period. As such, the non-GAAP effective tax rate for the second quarter was 25.5% in 2019 and 22.4% in 2018. We estimate that our effective tax rate for the full-year 2019 on a non-GAAP basis will be in the range of 24% to 26%.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12"/>
          </w:cols>
          <w:pgMar w:left="248" w:top="1193" w:right="239" w:bottom="1440" w:gutter="0" w:footer="0" w:header="0"/>
        </w:sectPr>
      </w:pPr>
    </w:p>
    <w:bookmarkStart w:id="32" w:name="page33"/>
    <w:bookmarkEnd w:id="32"/>
    <w:p>
      <w:pPr>
        <w:ind w:left="340" w:right="160" w:hanging="332"/>
        <w:spacing w:after="0" w:line="26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6/30/2019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12/31/2018</w:t>
            </w:r>
          </w:p>
        </w:tc>
      </w:tr>
      <w:tr>
        <w:trPr>
          <w:trHeight w:val="249"/>
        </w:trPr>
        <w:tc>
          <w:tcPr>
            <w:tcW w:w="85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1,802.4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1,425.2</w:t>
            </w:r>
          </w:p>
        </w:tc>
      </w:t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1,692.5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1,597.1</w:t>
            </w:r>
          </w:p>
        </w:tc>
      </w:tr>
      <w:tr>
        <w:trPr>
          <w:trHeight w:val="250"/>
        </w:trPr>
        <w:tc>
          <w:tcPr>
            <w:tcW w:w="854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3,494.9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3,022.3</w:t>
            </w:r>
          </w:p>
        </w:tc>
      </w:tr>
      <w:tr>
        <w:trPr>
          <w:trHeight w:val="277"/>
        </w:trPr>
        <w:tc>
          <w:tcPr>
            <w:tcW w:w="8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1,118.9</w:t>
            </w:r>
          </w:p>
        </w:tc>
      </w:tr>
      <w:tr>
        <w:trPr>
          <w:trHeight w:val="264"/>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381.3</w:t>
            </w:r>
          </w:p>
        </w:tc>
      </w:tr>
      <w:tr>
        <w:trPr>
          <w:trHeight w:val="25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5,195.8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4,522.5</w:t>
            </w:r>
          </w:p>
        </w:tc>
      </w:tr>
      <w:tr>
        <w:trPr>
          <w:trHeight w:val="20"/>
        </w:trPr>
        <w:tc>
          <w:tcPr>
            <w:tcW w:w="8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Cash and discretionary investments in T. Rowe Price products held by our subsidiaries outside the U.S. were $500.7 million at June 30, 2019 and $425.3 million at December 31, 2018.</w:t>
      </w:r>
    </w:p>
    <w:p>
      <w:pPr>
        <w:spacing w:after="0" w:line="19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 Group’s interests in cash and investments relate to where they are presented on the unaudited condensed consolidated balance sheet as of June 30, 2019.</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7"/>
              </w:rPr>
              <w:t>products</w:t>
            </w:r>
            <w:r>
              <w:rPr>
                <w:rFonts w:ascii="Arial" w:cs="Arial" w:eastAsia="Arial" w:hAnsi="Arial"/>
                <w:sz w:val="17"/>
                <w:szCs w:val="17"/>
                <w:b w:val="1"/>
                <w:bCs w:val="1"/>
                <w:color w:val="auto"/>
                <w:w w:val="97"/>
                <w:vertAlign w:val="superscript"/>
              </w:rPr>
              <w:t>(1)</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6/30/2019</w:t>
            </w:r>
          </w:p>
        </w:tc>
        <w:tc>
          <w:tcPr>
            <w:tcW w:w="0" w:type="dxa"/>
            <w:vAlign w:val="bottom"/>
          </w:tcPr>
          <w:p>
            <w:pPr>
              <w:spacing w:after="0"/>
              <w:rPr>
                <w:sz w:val="1"/>
                <w:szCs w:val="1"/>
                <w:color w:val="auto"/>
              </w:rPr>
            </w:pPr>
          </w:p>
        </w:tc>
      </w:tr>
      <w:tr>
        <w:trPr>
          <w:trHeight w:val="257"/>
        </w:trPr>
        <w:tc>
          <w:tcPr>
            <w:tcW w:w="546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1,802.4</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1,627.3</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3,494.9</w:t>
            </w: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2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1,023.4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1,259.6</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15"/>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in T. Rowe Price products attributable</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T. Rowe Price Group</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1,802.4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1,088.6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5,195.8</w:t>
            </w:r>
          </w:p>
        </w:tc>
        <w:tc>
          <w:tcPr>
            <w:tcW w:w="0" w:type="dxa"/>
            <w:vAlign w:val="bottom"/>
          </w:tcPr>
          <w:p>
            <w:pPr>
              <w:spacing w:after="0"/>
              <w:rPr>
                <w:sz w:val="1"/>
                <w:szCs w:val="1"/>
                <w:color w:val="auto"/>
              </w:rPr>
            </w:pPr>
          </w:p>
        </w:tc>
      </w:tr>
      <w:tr>
        <w:trPr>
          <w:trHeight w:val="264"/>
        </w:trPr>
        <w:tc>
          <w:tcPr>
            <w:tcW w:w="5460" w:type="dxa"/>
            <w:vAlign w:val="bottom"/>
          </w:tcPr>
          <w:p>
            <w:pPr>
              <w:ind w:left="80"/>
              <w:spacing w:after="0"/>
              <w:rPr>
                <w:sz w:val="20"/>
                <w:szCs w:val="20"/>
                <w:color w:val="auto"/>
              </w:rPr>
            </w:pPr>
            <w:r>
              <w:rPr>
                <w:rFonts w:ascii="Arial" w:cs="Arial" w:eastAsia="Arial" w:hAnsi="Arial"/>
                <w:sz w:val="18"/>
                <w:szCs w:val="18"/>
                <w:color w:val="auto"/>
              </w:rPr>
              <w:t>Investment in UTI and other investments</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7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1,802.4</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2,575.2</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1,088.6</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5,466.2</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15"/>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reported on unaudited condensed consolidated balance sheet at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1,802.4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2,575.2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2,100.9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6,478.5</w:t>
            </w:r>
          </w:p>
        </w:tc>
        <w:tc>
          <w:tcPr>
            <w:tcW w:w="0" w:type="dxa"/>
            <w:vAlign w:val="bottom"/>
          </w:tcPr>
          <w:p>
            <w:pPr>
              <w:spacing w:after="0"/>
              <w:rPr>
                <w:sz w:val="1"/>
                <w:szCs w:val="1"/>
                <w:color w:val="auto"/>
              </w:rPr>
            </w:pPr>
          </w:p>
        </w:tc>
      </w:tr>
      <w:tr>
        <w:trPr>
          <w:trHeight w:val="21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80" w:right="140" w:hanging="172"/>
        <w:spacing w:after="0" w:line="233" w:lineRule="auto"/>
        <w:tabs>
          <w:tab w:leader="none" w:pos="18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 Rowe Price investment products that we consolidate are generally those products we provided seed capital at the time of their formation and have a controlling interest. These products generally represent U.S. mutual funds as well as those regulated outside the U.S. The net assets of the T. Rowe Price investment products at June 30, 2019 consist of the assets of these products that we consolidate on our unaudited condensed consolidated balance sheets of $2,203.4 million, less the liabilities of these products of $102.5 million.</w:t>
      </w:r>
    </w:p>
    <w:p>
      <w:pPr>
        <w:spacing w:after="0" w:line="20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105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increased our quarterly recurring dividend per common share in February 2019 by 8.6% to $.76 per common share from $.70 per common share. Additionally, we expended $393.6 million in the first half of 2019 to repurchase 4.1 million shares, or 1.7%, of our outstanding common stock at an average price of $96.50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Since the end of 2016, we have returned $3.6 billion to stockholders through stock repurchases and our regular quarterly dividends,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r>
      <w:tr>
        <w:trPr>
          <w:trHeight w:val="162"/>
        </w:trPr>
        <w:tc>
          <w:tcPr>
            <w:tcW w:w="7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rPr>
              <w:t>returned to</w:t>
            </w:r>
          </w:p>
        </w:tc>
      </w:tr>
      <w:tr>
        <w:trPr>
          <w:trHeight w:val="19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Recurring dividend</w:t>
            </w: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r>
      <w:tr>
        <w:trPr>
          <w:trHeight w:val="249"/>
        </w:trPr>
        <w:tc>
          <w:tcPr>
            <w:tcW w:w="708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21"/>
                <w:szCs w:val="21"/>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1,020.7</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1,794.3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Six months ended 6/30/2019</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760.8</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1,624.5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3,575.8</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anticipate property and equipment expenditures for the full-year 2019 to be about $200 million, of which about two-thirds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125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summarizes the cash flows for the six months ended June 30, 2019 and 2018, that are attributable to T. Rowe Price Group, our consolidated T. Rowe Price investment products, and the related eliminations required in preparing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5"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26035</wp:posOffset>
            </wp:positionV>
            <wp:extent cx="4896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6/30/2019</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75"/>
        </w:trPr>
        <w:tc>
          <w:tcPr>
            <w:tcW w:w="3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Cash flow</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62"/>
        </w:trPr>
        <w:tc>
          <w:tcPr>
            <w:tcW w:w="3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7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consolidated</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7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7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investment</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As</w:t>
            </w: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As</w:t>
            </w:r>
          </w:p>
        </w:tc>
      </w:tr>
      <w:tr>
        <w:trPr>
          <w:trHeight w:val="202"/>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Elims</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98"/>
              </w:rPr>
              <w:t>reported</w:t>
            </w: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7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$ 1,040.1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(88.0)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915.1</w:t>
            </w:r>
          </w:p>
        </w:tc>
      </w:tr>
      <w:tr>
        <w:trPr>
          <w:trHeight w:val="229"/>
        </w:trPr>
        <w:tc>
          <w:tcPr>
            <w:tcW w:w="37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cash provided by (used in) operating</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0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5"/>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 property</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equipment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r>
      <w:tr>
        <w:trPr>
          <w:trHeight w:val="263"/>
        </w:trPr>
        <w:tc>
          <w:tcPr>
            <w:tcW w:w="37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90.8</w:t>
            </w:r>
          </w:p>
        </w:tc>
      </w:tr>
      <w:tr>
        <w:trPr>
          <w:trHeight w:val="277"/>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3700" w:type="dxa"/>
            <w:vAlign w:val="bottom"/>
          </w:tcPr>
          <w:p>
            <w:pPr>
              <w:ind w:left="280"/>
              <w:spacing w:after="0"/>
              <w:rPr>
                <w:sz w:val="20"/>
                <w:szCs w:val="20"/>
                <w:color w:val="auto"/>
              </w:rPr>
            </w:pPr>
            <w:r>
              <w:rPr>
                <w:rFonts w:ascii="Arial" w:cs="Arial" w:eastAsia="Arial" w:hAnsi="Arial"/>
                <w:sz w:val="18"/>
                <w:szCs w:val="18"/>
                <w:color w:val="auto"/>
              </w:rPr>
              <w:t>Net investments in T. Rowe Price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00" w:type="dxa"/>
            <w:vAlign w:val="bottom"/>
          </w:tcPr>
          <w:p>
            <w:pPr>
              <w:ind w:left="280"/>
              <w:spacing w:after="0" w:line="202" w:lineRule="exact"/>
              <w:rPr>
                <w:sz w:val="20"/>
                <w:szCs w:val="20"/>
                <w:color w:val="auto"/>
              </w:rPr>
            </w:pPr>
            <w:r>
              <w:rPr>
                <w:rFonts w:ascii="Arial" w:cs="Arial" w:eastAsia="Arial" w:hAnsi="Arial"/>
                <w:sz w:val="18"/>
                <w:szCs w:val="18"/>
                <w:color w:val="auto"/>
              </w:rPr>
              <w:t>investment products used to economically</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00" w:type="dxa"/>
            <w:vAlign w:val="bottom"/>
          </w:tcPr>
          <w:p>
            <w:pPr>
              <w:ind w:left="280"/>
              <w:spacing w:after="0"/>
              <w:rPr>
                <w:sz w:val="20"/>
                <w:szCs w:val="20"/>
                <w:color w:val="auto"/>
              </w:rPr>
            </w:pPr>
            <w:r>
              <w:rPr>
                <w:rFonts w:ascii="Arial" w:cs="Arial" w:eastAsia="Arial" w:hAnsi="Arial"/>
                <w:sz w:val="18"/>
                <w:szCs w:val="18"/>
                <w:color w:val="auto"/>
              </w:rPr>
              <w:t>hedge supplemental savings plan liability</w:t>
            </w: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5"/>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03"/>
        </w:trPr>
        <w:tc>
          <w:tcPr>
            <w:tcW w:w="37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consolidated T. Rowe Price investment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r>
      <w:tr>
        <w:trPr>
          <w:trHeight w:val="264"/>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274.9</w:t>
            </w:r>
          </w:p>
        </w:tc>
      </w:tr>
      <w:tr>
        <w:trPr>
          <w:trHeight w:val="215"/>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1,243.0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929.3</w:t>
            </w: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Net cash provided by (used in) investing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70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(1,040.7)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640" w:type="dxa"/>
            <w:vAlign w:val="bottom"/>
            <w:gridSpan w:val="2"/>
          </w:tcPr>
          <w:p>
            <w:pPr>
              <w:jc w:val="right"/>
              <w:ind w:right="11"/>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(944.0)</w:t>
            </w:r>
          </w:p>
        </w:tc>
      </w:tr>
      <w:tr>
        <w:trPr>
          <w:trHeight w:val="235"/>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337.2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433.6</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00" w:type="dxa"/>
            <w:vAlign w:val="bottom"/>
          </w:tcPr>
          <w:p>
            <w:pPr>
              <w:ind w:left="40"/>
              <w:spacing w:after="0" w:line="202" w:lineRule="exact"/>
              <w:rPr>
                <w:sz w:val="20"/>
                <w:szCs w:val="20"/>
                <w:color w:val="auto"/>
              </w:rPr>
            </w:pPr>
            <w:r>
              <w:rPr>
                <w:rFonts w:ascii="Arial" w:cs="Arial" w:eastAsia="Arial" w:hAnsi="Arial"/>
                <w:sz w:val="18"/>
                <w:szCs w:val="18"/>
                <w:color w:val="auto"/>
              </w:rPr>
              <w:t>cash equivalents of consolidated T. Rowe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00" w:type="dxa"/>
            <w:vAlign w:val="bottom"/>
          </w:tcPr>
          <w:p>
            <w:pPr>
              <w:ind w:left="40"/>
              <w:spacing w:after="0"/>
              <w:rPr>
                <w:sz w:val="20"/>
                <w:szCs w:val="20"/>
                <w:color w:val="auto"/>
              </w:rPr>
            </w:pPr>
            <w:r>
              <w:rPr>
                <w:rFonts w:ascii="Arial" w:cs="Arial" w:eastAsia="Arial" w:hAnsi="Arial"/>
                <w:sz w:val="18"/>
                <w:szCs w:val="18"/>
                <w:color w:val="auto"/>
              </w:rPr>
              <w:t>Price investment products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3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1,425.2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2,005.8</w:t>
            </w: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$ 1,802.4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1,596.3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103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activities attributable to T. Rowe Price Group during the first half of 2019 provided cash flows of $1,243.0 million, a decrease of $ 85.6 million from the 2018 period. Higher adjustments made to 2019 net income to arrive at cash flows from operating activities more than offset the $137.5 million increase in 2019 net income. The most significant adjustment related to a $205.2 million change in net investment gains, which was driven by stronger equity markets in 2019 compared with the 2018 period. The majority of the remaining adjustments related to timing differences on the cash settlement of our assets and liabilities, which decreased cash flows by $23.5 million.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that are attributable to T. Rowe Price Group totaled $174.0 million in the first half of 2019 compared with</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$1,040.7 million in the 2018 period. During the first half of 2018, we rebalanced our cash and discretionary investments portfolio resulting in the reallocation of cash and cash equivalents of $945.0 million to certain T. Rowe Price fixed income funds. During 2019, we increased our property and equipment expenditures by $15.9 million and the level of seed capital provided by $31.6 million. Since we consolidate the seed capital in T. Rowe Price investment products, our seed capital was eliminated in preparing our unaudited condensed consolidated statement of cash flows. The remaining $30.8 million change in cash used in investing activities attributable to T. Rowe Price Group primarily stems from a decrease in net proceeds received in 2019 as compared to 2018 related to the purchases and sales of other T. Rowe Price products. The net cash removed from our balance sheet from consolidating and deconsolidating investment products during the first half of 2019 compared with the 2018 period accounts for the remaining $16.6 million change in reported cash flows from 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were $691.8 million in the first half of 2019 compared with $706.2 million in the 2018 period. During 2019, we repurchased only slightly fewer shares of our common stock; however, this expended $47.5 million less cash as the average price paid to repurchase shares in the first half of 2019 was $96.50 as compared to $106.48 in 2018 period. This decrease in cash used was offset by an 8.6% increase in our quarterly dividend per share, which resulted in paying $19.1 million more in dividends in 2019. The remaining change in reported cash flows from financing activities is primarily attributable to a $127.7 million decrease in net subscriptions received from redeemable non-controlling interest holders of our consolidated investment products during the first half of 2019 compared to the 2018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2018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2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00"/>
          </w:cols>
          <w:pgMar w:left="240" w:top="1039"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new products and services, capital expenditures, the timing of the assumption of all third party research payments, changes in our effective fee rate,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2018.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12"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funds and other investment products, fluctuations in global financial markets that result in appreciation or depreciation of the assets under our management, our introduction of new mutual funds and investment products,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U.S.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total potential loss information provided in Item 7A of the Form 10-K Annual Report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00"/>
          </w:cols>
          <w:pgMar w:left="240" w:top="1035"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June 30, 2019. Based on that evaluation, our principal executive and principal financial officers have concluded that our disclosure controls and procedures as of June 30, 2019,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2019, and has concluded that there was no change during the second quarter of 2019 that has materially affected, or is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20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4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103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2019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3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2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r>
      <w:tr>
        <w:trPr>
          <w:trHeight w:val="249"/>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April</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51,541</w:t>
            </w:r>
          </w:p>
        </w:tc>
        <w:tc>
          <w:tcPr>
            <w:tcW w:w="12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106.78</w:t>
            </w:r>
          </w:p>
        </w:tc>
        <w:tc>
          <w:tcPr>
            <w:tcW w:w="12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21,871,898</w:t>
            </w:r>
          </w:p>
        </w:tc>
      </w:tr>
      <w:tr>
        <w:trPr>
          <w:trHeight w:val="277"/>
        </w:trPr>
        <w:tc>
          <w:tcPr>
            <w:tcW w:w="3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May</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1,272,951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102.62</w:t>
            </w: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1,261,919</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20,609,979</w:t>
            </w:r>
          </w:p>
        </w:tc>
      </w:tr>
      <w:tr>
        <w:trPr>
          <w:trHeight w:val="264"/>
        </w:trPr>
        <w:tc>
          <w:tcPr>
            <w:tcW w:w="36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June</w:t>
            </w: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380,397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101.37</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341,143</w:t>
            </w:r>
          </w:p>
        </w:tc>
        <w:tc>
          <w:tcPr>
            <w:tcW w:w="192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20,268,836</w:t>
            </w:r>
          </w:p>
        </w:tc>
      </w:tr>
      <w:tr>
        <w:trPr>
          <w:trHeight w:val="257"/>
        </w:trPr>
        <w:tc>
          <w:tcPr>
            <w:tcW w:w="3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1,704,889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102.47</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1,603,062</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2019, 101,442 were related to shares surrendered in connection with employee stock option exercises and 385 were related to shares withheld to cover tax withholdings associated with the vesting of restricted stock awards.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5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98"/>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5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4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18"/>
              <w:spacing w:after="0"/>
              <w:rPr>
                <w:sz w:val="20"/>
                <w:szCs w:val="20"/>
                <w:color w:val="auto"/>
              </w:rPr>
            </w:pPr>
            <w:r>
              <w:rPr>
                <w:rFonts w:ascii="Arial" w:cs="Arial" w:eastAsia="Arial" w:hAnsi="Arial"/>
                <w:sz w:val="14"/>
                <w:szCs w:val="14"/>
                <w:b w:val="1"/>
                <w:bCs w:val="1"/>
                <w:color w:val="auto"/>
              </w:rPr>
              <w:t>Shares that May Yet Be</w:t>
            </w:r>
          </w:p>
        </w:tc>
      </w:tr>
      <w:tr>
        <w:trPr>
          <w:trHeight w:val="196"/>
        </w:trPr>
        <w:tc>
          <w:tcPr>
            <w:tcW w:w="5400" w:type="dxa"/>
            <w:vAlign w:val="bottom"/>
            <w:tcBorders>
              <w:bottom w:val="single" w:sz="8" w:color="auto"/>
            </w:tcBorders>
            <w:shd w:val="clear" w:color="auto" w:fill="CCEEFF"/>
          </w:tcPr>
          <w:p>
            <w:pPr>
              <w:ind w:left="2020"/>
              <w:spacing w:after="0"/>
              <w:rPr>
                <w:sz w:val="20"/>
                <w:szCs w:val="20"/>
                <w:color w:val="auto"/>
              </w:rPr>
            </w:pPr>
            <w:r>
              <w:rPr>
                <w:rFonts w:ascii="Arial" w:cs="Arial" w:eastAsia="Arial" w:hAnsi="Arial"/>
                <w:sz w:val="14"/>
                <w:szCs w:val="14"/>
                <w:b w:val="1"/>
                <w:bCs w:val="1"/>
                <w:color w:val="auto"/>
              </w:rPr>
              <w:t>Authorization dates</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4/1/2019</w:t>
            </w:r>
          </w:p>
        </w:tc>
        <w:tc>
          <w:tcPr>
            <w:tcW w:w="120" w:type="dxa"/>
            <w:vAlign w:val="bottom"/>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4"/>
                <w:szCs w:val="14"/>
                <w:b w:val="1"/>
                <w:bCs w:val="1"/>
                <w:color w:val="auto"/>
              </w:rPr>
              <w:t>Purchased at 6/30/2019</w:t>
            </w:r>
          </w:p>
        </w:tc>
      </w:tr>
      <w:tr>
        <w:trPr>
          <w:trHeight w:val="249"/>
        </w:trPr>
        <w:tc>
          <w:tcPr>
            <w:tcW w:w="5400" w:type="dxa"/>
            <w:vAlign w:val="bottom"/>
          </w:tcPr>
          <w:p>
            <w:pPr>
              <w:ind w:left="20"/>
              <w:spacing w:after="0"/>
              <w:rPr>
                <w:sz w:val="20"/>
                <w:szCs w:val="20"/>
                <w:color w:val="auto"/>
              </w:rPr>
            </w:pPr>
            <w:r>
              <w:rPr>
                <w:rFonts w:ascii="Arial" w:cs="Arial" w:eastAsia="Arial" w:hAnsi="Arial"/>
                <w:sz w:val="18"/>
                <w:szCs w:val="18"/>
                <w:color w:val="auto"/>
              </w:rPr>
              <w:t>December 2016</w:t>
            </w:r>
          </w:p>
        </w:tc>
        <w:tc>
          <w:tcPr>
            <w:tcW w:w="1920" w:type="dxa"/>
            <w:vAlign w:val="bottom"/>
            <w:gridSpan w:val="2"/>
          </w:tcPr>
          <w:p>
            <w:pPr>
              <w:jc w:val="right"/>
              <w:ind w:right="48"/>
              <w:spacing w:after="0"/>
              <w:rPr>
                <w:sz w:val="20"/>
                <w:szCs w:val="20"/>
                <w:color w:val="auto"/>
              </w:rPr>
            </w:pPr>
            <w:r>
              <w:rPr>
                <w:rFonts w:ascii="Arial" w:cs="Arial" w:eastAsia="Arial" w:hAnsi="Arial"/>
                <w:sz w:val="18"/>
                <w:szCs w:val="18"/>
                <w:color w:val="auto"/>
              </w:rPr>
              <w:t>1,871,898</w:t>
            </w:r>
          </w:p>
        </w:tc>
        <w:tc>
          <w:tcPr>
            <w:tcW w:w="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(1,603,062)</w:t>
            </w:r>
          </w:p>
        </w:tc>
        <w:tc>
          <w:tcPr>
            <w:tcW w:w="100" w:type="dxa"/>
            <w:vAlign w:val="bottom"/>
          </w:tcPr>
          <w:p>
            <w:pPr>
              <w:spacing w:after="0"/>
              <w:rPr>
                <w:sz w:val="21"/>
                <w:szCs w:val="21"/>
                <w:color w:val="auto"/>
              </w:rPr>
            </w:pPr>
          </w:p>
        </w:tc>
        <w:tc>
          <w:tcPr>
            <w:tcW w:w="1780" w:type="dxa"/>
            <w:vAlign w:val="bottom"/>
          </w:tcPr>
          <w:p>
            <w:pPr>
              <w:jc w:val="right"/>
              <w:ind w:right="18"/>
              <w:spacing w:after="0"/>
              <w:rPr>
                <w:sz w:val="20"/>
                <w:szCs w:val="20"/>
                <w:color w:val="auto"/>
              </w:rPr>
            </w:pPr>
            <w:r>
              <w:rPr>
                <w:rFonts w:ascii="Arial" w:cs="Arial" w:eastAsia="Arial" w:hAnsi="Arial"/>
                <w:sz w:val="18"/>
                <w:szCs w:val="18"/>
                <w:color w:val="auto"/>
              </w:rPr>
              <w:t>268,836</w:t>
            </w:r>
          </w:p>
        </w:tc>
      </w:tr>
      <w:tr>
        <w:trPr>
          <w:trHeight w:val="27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2018</w:t>
            </w:r>
          </w:p>
        </w:tc>
        <w:tc>
          <w:tcPr>
            <w:tcW w:w="19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10,000,000</w:t>
            </w:r>
          </w:p>
        </w:tc>
      </w:tr>
      <w:tr>
        <w:trPr>
          <w:trHeight w:val="264"/>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February 2019</w:t>
            </w:r>
          </w:p>
        </w:tc>
        <w:tc>
          <w:tcPr>
            <w:tcW w:w="19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10,000,000</w:t>
            </w: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10,000,000</w:t>
            </w:r>
          </w:p>
        </w:tc>
      </w:tr>
      <w:tr>
        <w:trPr>
          <w:trHeight w:val="264"/>
        </w:trPr>
        <w:tc>
          <w:tcPr>
            <w:tcW w:w="54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21,871,898</w:t>
            </w:r>
          </w:p>
        </w:tc>
        <w:tc>
          <w:tcPr>
            <w:tcW w:w="12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(1,603,062)</w:t>
            </w:r>
          </w:p>
        </w:tc>
        <w:tc>
          <w:tcPr>
            <w:tcW w:w="1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20,268,836</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July 24, 2019, we issued an earnings release reporting our results of operations for the second quarter of 2019 and the first six months of 2019.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103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3(i)</w:t>
            </w:r>
          </w:p>
        </w:tc>
        <w:tc>
          <w:tcPr>
            <w:tcW w:w="10140" w:type="dxa"/>
            <w:vAlign w:val="bottom"/>
          </w:tcPr>
          <w:p>
            <w:pPr>
              <w:ind w:left="620"/>
              <w:spacing w:after="0"/>
              <w:rPr>
                <w:rFonts w:ascii="Arial" w:cs="Arial" w:eastAsia="Arial" w:hAnsi="Arial"/>
                <w:sz w:val="18"/>
                <w:szCs w:val="18"/>
                <w:color w:val="auto"/>
              </w:rPr>
            </w:pPr>
            <w:hyperlink r:id="rId24">
              <w:r>
                <w:rPr>
                  <w:rFonts w:ascii="Arial" w:cs="Arial" w:eastAsia="Arial" w:hAnsi="Arial"/>
                  <w:sz w:val="18"/>
                  <w:szCs w:val="18"/>
                  <w:color w:val="auto"/>
                </w:rPr>
                <w:t>Charter of T. Rowe Price Group, Inc., as reflected by Articles of Restatement dated June 20, 2018. (Incorporated by</w:t>
              </w:r>
            </w:hyperlink>
          </w:p>
        </w:tc>
      </w:tr>
      <w:tr>
        <w:trPr>
          <w:trHeight w:val="217"/>
        </w:trPr>
        <w:tc>
          <w:tcPr>
            <w:tcW w:w="1100" w:type="dxa"/>
            <w:vAlign w:val="bottom"/>
          </w:tcPr>
          <w:p>
            <w:pPr>
              <w:spacing w:after="0"/>
              <w:rPr>
                <w:sz w:val="18"/>
                <w:szCs w:val="18"/>
                <w:color w:val="auto"/>
              </w:rPr>
            </w:pPr>
          </w:p>
        </w:tc>
        <w:tc>
          <w:tcPr>
            <w:tcW w:w="10140" w:type="dxa"/>
            <w:vAlign w:val="bottom"/>
          </w:tcPr>
          <w:p>
            <w:pPr>
              <w:ind w:left="620"/>
              <w:spacing w:after="0"/>
              <w:rPr>
                <w:rFonts w:ascii="Arial" w:cs="Arial" w:eastAsia="Arial" w:hAnsi="Arial"/>
                <w:sz w:val="18"/>
                <w:szCs w:val="18"/>
                <w:color w:val="auto"/>
              </w:rPr>
            </w:pPr>
            <w:hyperlink r:id="rId24">
              <w:r>
                <w:rPr>
                  <w:rFonts w:ascii="Arial" w:cs="Arial" w:eastAsia="Arial" w:hAnsi="Arial"/>
                  <w:sz w:val="18"/>
                  <w:szCs w:val="18"/>
                  <w:color w:val="auto"/>
                </w:rPr>
                <w:t>reference from Form 10-Q Quarterly Report filed on July 25, 2018.)</w:t>
              </w:r>
            </w:hyperlink>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3(ii)</w:t>
            </w:r>
          </w:p>
        </w:tc>
        <w:tc>
          <w:tcPr>
            <w:tcW w:w="10140" w:type="dxa"/>
            <w:vAlign w:val="bottom"/>
          </w:tcPr>
          <w:p>
            <w:pPr>
              <w:ind w:left="620"/>
              <w:spacing w:after="0"/>
              <w:rPr>
                <w:rFonts w:ascii="Arial" w:cs="Arial" w:eastAsia="Arial" w:hAnsi="Arial"/>
                <w:sz w:val="18"/>
                <w:szCs w:val="18"/>
                <w:color w:val="auto"/>
                <w:w w:val="99"/>
              </w:rPr>
            </w:pPr>
            <w:hyperlink r:id="rId25">
              <w:r>
                <w:rPr>
                  <w:rFonts w:ascii="Arial" w:cs="Arial" w:eastAsia="Arial" w:hAnsi="Arial"/>
                  <w:sz w:val="18"/>
                  <w:szCs w:val="18"/>
                  <w:color w:val="auto"/>
                  <w:w w:val="99"/>
                </w:rPr>
                <w:t>Amended and Restated By-Laws of T. Rowe Price Group, Inc. as of February 12, 2019. (Incorporated by reference from</w:t>
              </w:r>
            </w:hyperlink>
          </w:p>
        </w:tc>
      </w:tr>
      <w:tr>
        <w:trPr>
          <w:trHeight w:val="217"/>
        </w:trPr>
        <w:tc>
          <w:tcPr>
            <w:tcW w:w="1100" w:type="dxa"/>
            <w:vAlign w:val="bottom"/>
          </w:tcPr>
          <w:p>
            <w:pPr>
              <w:spacing w:after="0"/>
              <w:rPr>
                <w:sz w:val="18"/>
                <w:szCs w:val="18"/>
                <w:color w:val="auto"/>
              </w:rPr>
            </w:pPr>
          </w:p>
        </w:tc>
        <w:tc>
          <w:tcPr>
            <w:tcW w:w="10140" w:type="dxa"/>
            <w:vAlign w:val="bottom"/>
          </w:tcPr>
          <w:p>
            <w:pPr>
              <w:ind w:left="620"/>
              <w:spacing w:after="0"/>
              <w:rPr>
                <w:rFonts w:ascii="Arial" w:cs="Arial" w:eastAsia="Arial" w:hAnsi="Arial"/>
                <w:sz w:val="18"/>
                <w:szCs w:val="18"/>
                <w:color w:val="auto"/>
              </w:rPr>
            </w:pPr>
            <w:hyperlink r:id="rId25">
              <w:r>
                <w:rPr>
                  <w:rFonts w:ascii="Arial" w:cs="Arial" w:eastAsia="Arial" w:hAnsi="Arial"/>
                  <w:sz w:val="18"/>
                  <w:szCs w:val="18"/>
                  <w:color w:val="auto"/>
                </w:rPr>
                <w:t>Form 8-K Current Report filed on February 13, 2019.)</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15</w:t>
            </w:r>
          </w:p>
        </w:tc>
        <w:tc>
          <w:tcPr>
            <w:tcW w:w="10140" w:type="dxa"/>
            <w:vAlign w:val="bottom"/>
          </w:tcPr>
          <w:p>
            <w:pPr>
              <w:ind w:left="620"/>
              <w:spacing w:after="0"/>
              <w:rPr>
                <w:rFonts w:ascii="Arial" w:cs="Arial" w:eastAsia="Arial" w:hAnsi="Arial"/>
                <w:sz w:val="18"/>
                <w:szCs w:val="18"/>
                <w:color w:val="auto"/>
              </w:rPr>
            </w:pPr>
            <w:hyperlink w:anchor="page42">
              <w:r>
                <w:rPr>
                  <w:rFonts w:ascii="Arial" w:cs="Arial" w:eastAsia="Arial" w:hAnsi="Arial"/>
                  <w:sz w:val="18"/>
                  <w:szCs w:val="18"/>
                  <w:color w:val="auto"/>
                </w:rPr>
                <w:t>Letter from KPMG LLP, independent registered public accounting firm, re unaudited interim financial information.</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31(i).1</w:t>
            </w:r>
          </w:p>
        </w:tc>
        <w:tc>
          <w:tcPr>
            <w:tcW w:w="10140" w:type="dxa"/>
            <w:vAlign w:val="bottom"/>
          </w:tcPr>
          <w:p>
            <w:pPr>
              <w:ind w:left="620"/>
              <w:spacing w:after="0"/>
              <w:rPr>
                <w:rFonts w:ascii="Arial" w:cs="Arial" w:eastAsia="Arial" w:hAnsi="Arial"/>
                <w:sz w:val="18"/>
                <w:szCs w:val="18"/>
                <w:color w:val="auto"/>
              </w:rPr>
            </w:pPr>
            <w:hyperlink w:anchor="page43">
              <w:r>
                <w:rPr>
                  <w:rFonts w:ascii="Arial" w:cs="Arial" w:eastAsia="Arial" w:hAnsi="Arial"/>
                  <w:sz w:val="18"/>
                  <w:szCs w:val="18"/>
                  <w:color w:val="auto"/>
                </w:rPr>
                <w:t>Rule 13a-14(a) Certification of Principal Executive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31(i).2</w:t>
            </w:r>
          </w:p>
        </w:tc>
        <w:tc>
          <w:tcPr>
            <w:tcW w:w="10140" w:type="dxa"/>
            <w:vAlign w:val="bottom"/>
          </w:tcPr>
          <w:p>
            <w:pPr>
              <w:ind w:left="620"/>
              <w:spacing w:after="0"/>
              <w:rPr>
                <w:rFonts w:ascii="Arial" w:cs="Arial" w:eastAsia="Arial" w:hAnsi="Arial"/>
                <w:sz w:val="18"/>
                <w:szCs w:val="18"/>
                <w:color w:val="auto"/>
              </w:rPr>
            </w:pPr>
            <w:hyperlink w:anchor="page44">
              <w:r>
                <w:rPr>
                  <w:rFonts w:ascii="Arial" w:cs="Arial" w:eastAsia="Arial" w:hAnsi="Arial"/>
                  <w:sz w:val="18"/>
                  <w:szCs w:val="18"/>
                  <w:color w:val="auto"/>
                </w:rPr>
                <w:t>Rule 13a-14(a) Certification of Principal Financial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10140" w:type="dxa"/>
            <w:vAlign w:val="bottom"/>
          </w:tcPr>
          <w:p>
            <w:pPr>
              <w:ind w:left="620"/>
              <w:spacing w:after="0"/>
              <w:rPr>
                <w:rFonts w:ascii="Arial" w:cs="Arial" w:eastAsia="Arial" w:hAnsi="Arial"/>
                <w:sz w:val="18"/>
                <w:szCs w:val="18"/>
                <w:color w:val="auto"/>
              </w:rPr>
            </w:pPr>
            <w:hyperlink w:anchor="page45">
              <w:r>
                <w:rPr>
                  <w:rFonts w:ascii="Arial" w:cs="Arial" w:eastAsia="Arial" w:hAnsi="Arial"/>
                  <w:sz w:val="18"/>
                  <w:szCs w:val="18"/>
                  <w:color w:val="auto"/>
                </w:rPr>
                <w:t>Section 1350 Certifications.</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10140" w:type="dxa"/>
            <w:vAlign w:val="bottom"/>
          </w:tcPr>
          <w:p>
            <w:pPr>
              <w:ind w:left="620"/>
              <w:spacing w:after="0"/>
              <w:rPr>
                <w:rFonts w:ascii="Arial" w:cs="Arial" w:eastAsia="Arial" w:hAnsi="Arial"/>
                <w:sz w:val="18"/>
                <w:szCs w:val="18"/>
                <w:color w:val="auto"/>
              </w:rPr>
            </w:pPr>
            <w:hyperlink w:anchor="page46">
              <w:r>
                <w:rPr>
                  <w:rFonts w:ascii="Arial" w:cs="Arial" w:eastAsia="Arial" w:hAnsi="Arial"/>
                  <w:sz w:val="18"/>
                  <w:szCs w:val="18"/>
                  <w:color w:val="auto"/>
                </w:rPr>
                <w:t>Earnings release issued July 24, 2019, reporting our results of operations for the second quarter of 2019.</w:t>
              </w:r>
            </w:hyperlink>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10140" w:type="dxa"/>
            <w:vAlign w:val="bottom"/>
          </w:tcPr>
          <w:p>
            <w:pPr>
              <w:ind w:left="620"/>
              <w:spacing w:after="0"/>
              <w:rPr>
                <w:sz w:val="20"/>
                <w:szCs w:val="20"/>
                <w:color w:val="auto"/>
              </w:rPr>
            </w:pPr>
            <w:r>
              <w:rPr>
                <w:rFonts w:ascii="Arial" w:cs="Arial" w:eastAsia="Arial" w:hAnsi="Arial"/>
                <w:sz w:val="18"/>
                <w:szCs w:val="18"/>
                <w:color w:val="auto"/>
              </w:rPr>
              <w:t>The following series of unaudited XBRL-formatted documents are collectively included herewith as Exhibit 101. The</w:t>
            </w:r>
          </w:p>
        </w:tc>
      </w:tr>
      <w:tr>
        <w:trPr>
          <w:trHeight w:val="203"/>
        </w:trPr>
        <w:tc>
          <w:tcPr>
            <w:tcW w:w="1100" w:type="dxa"/>
            <w:vAlign w:val="bottom"/>
          </w:tcPr>
          <w:p>
            <w:pPr>
              <w:spacing w:after="0"/>
              <w:rPr>
                <w:sz w:val="17"/>
                <w:szCs w:val="17"/>
                <w:color w:val="auto"/>
              </w:rPr>
            </w:pPr>
          </w:p>
        </w:tc>
        <w:tc>
          <w:tcPr>
            <w:tcW w:w="10140" w:type="dxa"/>
            <w:vAlign w:val="bottom"/>
          </w:tcPr>
          <w:p>
            <w:pPr>
              <w:ind w:left="620"/>
              <w:spacing w:after="0" w:line="202" w:lineRule="exact"/>
              <w:rPr>
                <w:sz w:val="20"/>
                <w:szCs w:val="20"/>
                <w:color w:val="auto"/>
              </w:rPr>
            </w:pPr>
            <w:r>
              <w:rPr>
                <w:rFonts w:ascii="Arial" w:cs="Arial" w:eastAsia="Arial" w:hAnsi="Arial"/>
                <w:sz w:val="18"/>
                <w:szCs w:val="18"/>
                <w:color w:val="auto"/>
              </w:rPr>
              <w:t>financial information is extracted from T. Rowe Price Group’s unaudited condensed consolidated interim financial</w:t>
            </w:r>
          </w:p>
        </w:tc>
      </w:tr>
      <w:tr>
        <w:trPr>
          <w:trHeight w:val="217"/>
        </w:trPr>
        <w:tc>
          <w:tcPr>
            <w:tcW w:w="1100" w:type="dxa"/>
            <w:vAlign w:val="bottom"/>
          </w:tcPr>
          <w:p>
            <w:pPr>
              <w:spacing w:after="0"/>
              <w:rPr>
                <w:sz w:val="18"/>
                <w:szCs w:val="18"/>
                <w:color w:val="auto"/>
              </w:rPr>
            </w:pPr>
          </w:p>
        </w:tc>
        <w:tc>
          <w:tcPr>
            <w:tcW w:w="10140" w:type="dxa"/>
            <w:vAlign w:val="bottom"/>
          </w:tcPr>
          <w:p>
            <w:pPr>
              <w:ind w:left="620"/>
              <w:spacing w:after="0"/>
              <w:rPr>
                <w:sz w:val="20"/>
                <w:szCs w:val="20"/>
                <w:color w:val="auto"/>
              </w:rPr>
            </w:pPr>
            <w:r>
              <w:rPr>
                <w:rFonts w:ascii="Arial" w:cs="Arial" w:eastAsia="Arial" w:hAnsi="Arial"/>
                <w:sz w:val="18"/>
                <w:szCs w:val="18"/>
                <w:color w:val="auto"/>
              </w:rPr>
              <w:t>statements and notes that are included in this Form 10-Q Report.</w:t>
            </w:r>
          </w:p>
        </w:tc>
      </w:tr>
    </w:tbl>
    <w:p>
      <w:pPr>
        <w:spacing w:after="0" w:line="175" w:lineRule="exact"/>
        <w:rPr>
          <w:sz w:val="20"/>
          <w:szCs w:val="20"/>
          <w:color w:val="auto"/>
        </w:rPr>
      </w:pPr>
    </w:p>
    <w:p>
      <w:pPr>
        <w:sectPr>
          <w:pgSz w:w="11900" w:h="16838" w:orient="portrait"/>
          <w:cols w:equalWidth="0" w:num="1">
            <w:col w:w="11280"/>
          </w:cols>
          <w:pgMar w:left="240" w:top="1035" w:right="379" w:bottom="1440" w:gutter="0" w:footer="0" w:header="0"/>
        </w:sectPr>
      </w:pPr>
    </w:p>
    <w:p>
      <w:pPr>
        <w:ind w:left="40"/>
        <w:spacing w:after="0"/>
        <w:rPr>
          <w:sz w:val="20"/>
          <w:szCs w:val="20"/>
          <w:color w:val="auto"/>
        </w:rPr>
      </w:pPr>
      <w:r>
        <w:rPr>
          <w:rFonts w:ascii="Arial" w:cs="Arial" w:eastAsia="Arial" w:hAnsi="Arial"/>
          <w:sz w:val="18"/>
          <w:szCs w:val="18"/>
          <w:color w:val="auto"/>
        </w:rPr>
        <w:t>101.INS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ind w:right="120"/>
        <w:spacing w:after="0" w:line="246"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1040" w:space="720"/>
            <w:col w:w="9520"/>
          </w:cols>
          <w:pgMar w:left="240" w:top="1035" w:right="37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Page 40</w:t>
      </w:r>
    </w:p>
    <w:p>
      <w:pPr>
        <w:sectPr>
          <w:pgSz w:w="11900" w:h="16838" w:orient="portrait"/>
          <w:cols w:equalWidth="0" w:num="1">
            <w:col w:w="11280"/>
          </w:cols>
          <w:pgMar w:left="240" w:top="1035" w:right="379" w:bottom="1440" w:gutter="0" w:footer="0" w:header="0"/>
          <w:type w:val="continuous"/>
        </w:sectPr>
      </w:pPr>
    </w:p>
    <w:bookmarkStart w:id="40" w:name="page41"/>
    <w:bookmarkEnd w:id="40"/>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24,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120"/>
          </w:cols>
          <w:pgMar w:left="240" w:top="1035" w:right="539" w:bottom="1440" w:gutter="0" w:footer="0" w:header="0"/>
        </w:sectPr>
      </w:pPr>
    </w:p>
    <w:bookmarkStart w:id="41" w:name="page42"/>
    <w:bookmarkEnd w:id="41"/>
    <w:p>
      <w:pPr>
        <w:ind w:left="404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2"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120" w:space="720"/>
            <w:col w:w="5580"/>
          </w:cols>
          <w:pgMar w:left="240" w:top="598"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1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xml:space="preserve">, No. </w:t>
      </w:r>
      <w:r>
        <w:rPr>
          <w:rFonts w:ascii="Arial" w:cs="Arial" w:eastAsia="Arial" w:hAnsi="Arial"/>
          <w:sz w:val="18"/>
          <w:szCs w:val="18"/>
          <w:b w:val="1"/>
          <w:bCs w:val="1"/>
          <w:color w:val="auto"/>
        </w:rPr>
        <w:t>333-180904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333-199560</w:t>
      </w:r>
      <w:r>
        <w:rPr>
          <w:rFonts w:ascii="Arial" w:cs="Arial" w:eastAsia="Arial" w:hAnsi="Arial"/>
          <w:sz w:val="18"/>
          <w:szCs w:val="18"/>
          <w:color w:val="auto"/>
        </w:rPr>
        <w:t xml:space="preserve">, No. </w:t>
      </w:r>
      <w:r>
        <w:rPr>
          <w:rFonts w:ascii="Arial" w:cs="Arial" w:eastAsia="Arial" w:hAnsi="Arial"/>
          <w:sz w:val="18"/>
          <w:szCs w:val="18"/>
          <w:b w:val="1"/>
          <w:bCs w:val="1"/>
          <w:color w:val="auto"/>
        </w:rPr>
        <w:t>333-212705</w:t>
      </w:r>
      <w:r>
        <w:rPr>
          <w:rFonts w:ascii="Arial" w:cs="Arial" w:eastAsia="Arial" w:hAnsi="Arial"/>
          <w:sz w:val="18"/>
          <w:szCs w:val="18"/>
          <w:color w:val="auto"/>
        </w:rPr>
        <w:t xml:space="preserve"> , and </w:t>
      </w:r>
      <w:r>
        <w:rPr>
          <w:rFonts w:ascii="Arial" w:cs="Arial" w:eastAsia="Arial" w:hAnsi="Arial"/>
          <w:sz w:val="18"/>
          <w:szCs w:val="18"/>
          <w:b w:val="1"/>
          <w:bCs w:val="1"/>
          <w:color w:val="auto"/>
        </w:rPr>
        <w:t>333-217483</w:t>
      </w:r>
      <w:r>
        <w:rPr>
          <w:rFonts w:ascii="Arial" w:cs="Arial" w:eastAsia="Arial" w:hAnsi="Arial"/>
          <w:sz w:val="18"/>
          <w:szCs w:val="18"/>
          <w:color w:val="auto"/>
        </w:rPr>
        <w:t>.</w:t>
      </w:r>
    </w:p>
    <w:p>
      <w:pPr>
        <w:spacing w:after="0" w:line="1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24, 2019 related to our review of interim financial information.</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24, 2019</w:t>
      </w:r>
    </w:p>
    <w:p>
      <w:pPr>
        <w:sectPr>
          <w:pgSz w:w="11900" w:h="16838" w:orient="portrait"/>
          <w:cols w:equalWidth="0" w:num="1">
            <w:col w:w="11420"/>
          </w:cols>
          <w:pgMar w:left="240" w:top="598" w:right="239" w:bottom="1440" w:gutter="0" w:footer="0" w:header="0"/>
          <w:type w:val="continuous"/>
        </w:sectPr>
      </w:pPr>
    </w:p>
    <w:bookmarkStart w:id="42" w:name="page43"/>
    <w:bookmarkEnd w:id="42"/>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2019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July 24,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79" w:right="279" w:bottom="1440" w:gutter="0" w:footer="0" w:header="0"/>
        </w:sectPr>
      </w:pPr>
    </w:p>
    <w:bookmarkStart w:id="43" w:name="page44"/>
    <w:bookmarkEnd w:id="43"/>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2019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July 24,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79" w:right="279" w:bottom="1440" w:gutter="0" w:footer="0" w:header="0"/>
        </w:sectPr>
      </w:pPr>
    </w:p>
    <w:bookmarkStart w:id="44" w:name="page45"/>
    <w:bookmarkEnd w:id="44"/>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2019, of T. Rowe Price Group, Inc., that:</w:t>
      </w:r>
    </w:p>
    <w:p>
      <w:pPr>
        <w:spacing w:after="0" w:line="142" w:lineRule="exact"/>
        <w:rPr>
          <w:sz w:val="20"/>
          <w:szCs w:val="20"/>
          <w:color w:val="auto"/>
        </w:rPr>
      </w:pPr>
    </w:p>
    <w:p>
      <w:pPr>
        <w:ind w:firstLine="8"/>
        <w:spacing w:after="0" w:line="262"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42" w:lineRule="exact"/>
        <w:rPr>
          <w:rFonts w:ascii="Arial" w:cs="Arial" w:eastAsia="Arial" w:hAnsi="Arial"/>
          <w:sz w:val="18"/>
          <w:szCs w:val="18"/>
          <w:color w:val="auto"/>
        </w:rPr>
      </w:pPr>
    </w:p>
    <w:p>
      <w:pPr>
        <w:ind w:right="220" w:firstLine="8"/>
        <w:spacing w:after="0" w:line="262"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July 24, 2019</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00"/>
          </w:cols>
          <w:pgMar w:left="240" w:top="679" w:right="2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586613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66130" cy="54864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SECOND QUARTER 2019 RESULTS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BALTIMORE (July 24, 2019) - T. Rowe Price Group, Inc. (NASDAQ-GS: TROW) today reported its results for the second quarter of 2019.</w:t>
      </w:r>
    </w:p>
    <w:p>
      <w:pPr>
        <w:spacing w:after="0" w:line="9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Assets under management end Q2 2019 at $1.125 trillion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$1.4 billion for Q2 2019</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$2.15 for Q2 2019</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$2.03 for Q2 2019</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Long-term investment performance remains strong</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8"/>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inflows of $2.5 billion for Q2 2019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4875" cy="385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54875" cy="385889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94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4"/>
                <w:szCs w:val="14"/>
                <w:color w:val="auto"/>
              </w:rPr>
              <w:t>Six Months ended</w:t>
            </w:r>
          </w:p>
        </w:tc>
        <w:tc>
          <w:tcPr>
            <w:tcW w:w="9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4400" w:type="dxa"/>
            <w:vAlign w:val="bottom"/>
            <w:gridSpan w:val="4"/>
          </w:tcPr>
          <w:p>
            <w:pPr>
              <w:spacing w:after="0"/>
              <w:rPr>
                <w:sz w:val="20"/>
                <w:szCs w:val="20"/>
                <w:color w:val="auto"/>
              </w:rPr>
            </w:pPr>
            <w:r>
              <w:rPr>
                <w:rFonts w:ascii="Arial" w:cs="Arial" w:eastAsia="Arial" w:hAnsi="Arial"/>
                <w:sz w:val="14"/>
                <w:szCs w:val="14"/>
                <w:color w:val="auto"/>
              </w:rPr>
              <w:t>(in millions, except per-share data)</w:t>
            </w:r>
          </w:p>
        </w:tc>
        <w:tc>
          <w:tcPr>
            <w:tcW w:w="160" w:type="dxa"/>
            <w:vAlign w:val="bottom"/>
          </w:tcPr>
          <w:p>
            <w:pPr>
              <w:spacing w:after="0"/>
              <w:rPr>
                <w:sz w:val="20"/>
                <w:szCs w:val="20"/>
                <w:color w:val="auto"/>
              </w:rPr>
            </w:pPr>
          </w:p>
        </w:tc>
        <w:tc>
          <w:tcPr>
            <w:tcW w:w="860" w:type="dxa"/>
            <w:vAlign w:val="bottom"/>
          </w:tcPr>
          <w:p>
            <w:pPr>
              <w:jc w:val="right"/>
              <w:ind w:right="104"/>
              <w:spacing w:after="0"/>
              <w:rPr>
                <w:sz w:val="20"/>
                <w:szCs w:val="20"/>
                <w:color w:val="auto"/>
              </w:rPr>
            </w:pPr>
            <w:r>
              <w:rPr>
                <w:rFonts w:ascii="Arial" w:cs="Arial" w:eastAsia="Arial" w:hAnsi="Arial"/>
                <w:sz w:val="14"/>
                <w:szCs w:val="14"/>
                <w:color w:val="auto"/>
              </w:rPr>
              <w:t>6/30/2019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4"/>
              <w:spacing w:after="0"/>
              <w:rPr>
                <w:sz w:val="20"/>
                <w:szCs w:val="20"/>
                <w:color w:val="auto"/>
              </w:rPr>
            </w:pPr>
            <w:r>
              <w:rPr>
                <w:rFonts w:ascii="Arial" w:cs="Arial" w:eastAsia="Arial" w:hAnsi="Arial"/>
                <w:sz w:val="14"/>
                <w:szCs w:val="14"/>
                <w:color w:val="auto"/>
              </w:rPr>
              <w:t>6/30/2018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 change</w:t>
            </w:r>
          </w:p>
        </w:tc>
        <w:tc>
          <w:tcPr>
            <w:tcW w:w="160" w:type="dxa"/>
            <w:vAlign w:val="bottom"/>
          </w:tcPr>
          <w:p>
            <w:pPr>
              <w:spacing w:after="0"/>
              <w:rPr>
                <w:sz w:val="20"/>
                <w:szCs w:val="20"/>
                <w:color w:val="auto"/>
              </w:rPr>
            </w:pPr>
          </w:p>
        </w:tc>
        <w:tc>
          <w:tcPr>
            <w:tcW w:w="860" w:type="dxa"/>
            <w:vAlign w:val="bottom"/>
          </w:tcPr>
          <w:p>
            <w:pPr>
              <w:jc w:val="right"/>
              <w:ind w:right="104"/>
              <w:spacing w:after="0"/>
              <w:rPr>
                <w:sz w:val="20"/>
                <w:szCs w:val="20"/>
                <w:color w:val="auto"/>
              </w:rPr>
            </w:pPr>
            <w:r>
              <w:rPr>
                <w:rFonts w:ascii="Arial" w:cs="Arial" w:eastAsia="Arial" w:hAnsi="Arial"/>
                <w:sz w:val="14"/>
                <w:szCs w:val="14"/>
                <w:color w:val="auto"/>
              </w:rPr>
              <w:t>6/30/2019</w:t>
            </w:r>
          </w:p>
        </w:tc>
        <w:tc>
          <w:tcPr>
            <w:tcW w:w="280" w:type="dxa"/>
            <w:vAlign w:val="bottom"/>
          </w:tcPr>
          <w:p>
            <w:pPr>
              <w:spacing w:after="0"/>
              <w:rPr>
                <w:sz w:val="20"/>
                <w:szCs w:val="20"/>
                <w:color w:val="auto"/>
              </w:rPr>
            </w:pPr>
          </w:p>
        </w:tc>
        <w:tc>
          <w:tcPr>
            <w:tcW w:w="860" w:type="dxa"/>
            <w:vAlign w:val="bottom"/>
          </w:tcPr>
          <w:p>
            <w:pPr>
              <w:jc w:val="right"/>
              <w:ind w:right="104"/>
              <w:spacing w:after="0"/>
              <w:rPr>
                <w:sz w:val="20"/>
                <w:szCs w:val="20"/>
                <w:color w:val="auto"/>
              </w:rPr>
            </w:pPr>
            <w:r>
              <w:rPr>
                <w:rFonts w:ascii="Arial" w:cs="Arial" w:eastAsia="Arial" w:hAnsi="Arial"/>
                <w:sz w:val="14"/>
                <w:szCs w:val="14"/>
                <w:color w:val="auto"/>
              </w:rPr>
              <w:t>6/30/2018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64"/>
              <w:spacing w:after="0"/>
              <w:rPr>
                <w:sz w:val="20"/>
                <w:szCs w:val="20"/>
                <w:color w:val="auto"/>
              </w:rPr>
            </w:pPr>
            <w:r>
              <w:rPr>
                <w:rFonts w:ascii="Arial" w:cs="Arial" w:eastAsia="Arial" w:hAnsi="Arial"/>
                <w:sz w:val="14"/>
                <w:szCs w:val="14"/>
                <w:color w:val="auto"/>
              </w:rPr>
              <w:t>% change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00" w:type="dxa"/>
            <w:vAlign w:val="bottom"/>
            <w:gridSpan w:val="4"/>
          </w:tcPr>
          <w:p>
            <w:pPr>
              <w:spacing w:after="0"/>
              <w:rPr>
                <w:sz w:val="20"/>
                <w:szCs w:val="20"/>
                <w:color w:val="auto"/>
              </w:rPr>
            </w:pPr>
            <w:r>
              <w:rPr>
                <w:rFonts w:ascii="Arial" w:cs="Arial" w:eastAsia="Arial" w:hAnsi="Arial"/>
                <w:sz w:val="15"/>
                <w:szCs w:val="15"/>
                <w:b w:val="1"/>
                <w:bCs w:val="1"/>
                <w:color w:val="auto"/>
              </w:rPr>
              <w:t>U.S. GAAP basis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1,270.2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1,214.4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2,464.4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2,403.6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revenues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1,395.2</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1,345.0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2,722.5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2,673.0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780.1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750.3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1,574.9</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1,494.5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operating income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615.1</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594.7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1,147.6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1,178.5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Non-operating income</w:t>
            </w:r>
            <w:r>
              <w:rPr>
                <w:rFonts w:ascii="Arial" w:cs="Arial" w:eastAsia="Arial" w:hAnsi="Arial"/>
                <w:sz w:val="12"/>
                <w:szCs w:val="12"/>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327.3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n/m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income attributable to T. Rowe Price Group</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tcPr>
          <w:p>
            <w:pPr>
              <w:jc w:val="right"/>
              <w:ind w:right="24"/>
              <w:spacing w:after="0"/>
              <w:rPr>
                <w:sz w:val="20"/>
                <w:szCs w:val="20"/>
                <w:color w:val="auto"/>
              </w:rPr>
            </w:pPr>
            <w:r>
              <w:rPr>
                <w:rFonts w:ascii="Arial" w:cs="Arial" w:eastAsia="Arial" w:hAnsi="Arial"/>
                <w:sz w:val="15"/>
                <w:szCs w:val="15"/>
                <w:color w:val="auto"/>
              </w:rPr>
              <w:t>527.5</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448.9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17.5 %</w:t>
            </w:r>
          </w:p>
        </w:tc>
        <w:tc>
          <w:tcPr>
            <w:tcW w:w="2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4"/>
              <w:spacing w:after="0"/>
              <w:rPr>
                <w:sz w:val="20"/>
                <w:szCs w:val="20"/>
                <w:color w:val="auto"/>
              </w:rPr>
            </w:pPr>
            <w:r>
              <w:rPr>
                <w:rFonts w:ascii="Arial" w:cs="Arial" w:eastAsia="Arial" w:hAnsi="Arial"/>
                <w:sz w:val="15"/>
                <w:szCs w:val="15"/>
                <w:color w:val="auto"/>
              </w:rPr>
              <w:t>1,040.1</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4"/>
              <w:spacing w:after="0"/>
              <w:rPr>
                <w:sz w:val="20"/>
                <w:szCs w:val="20"/>
                <w:color w:val="auto"/>
              </w:rPr>
            </w:pPr>
            <w:r>
              <w:rPr>
                <w:rFonts w:ascii="Arial" w:cs="Arial" w:eastAsia="Arial" w:hAnsi="Arial"/>
                <w:sz w:val="15"/>
                <w:szCs w:val="15"/>
                <w:color w:val="auto"/>
              </w:rPr>
              <w:t>902.6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15.2 %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1.77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4.23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Weighted average common shares outstanding assuming</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dilution</w:t>
            </w:r>
          </w:p>
        </w:tc>
        <w:tc>
          <w:tcPr>
            <w:tcW w:w="160" w:type="dxa"/>
            <w:vAlign w:val="bottom"/>
          </w:tcPr>
          <w:p>
            <w:pPr>
              <w:spacing w:after="0"/>
              <w:rPr>
                <w:sz w:val="16"/>
                <w:szCs w:val="16"/>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239.2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247.4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239.4</w:t>
            </w:r>
          </w:p>
        </w:tc>
        <w:tc>
          <w:tcPr>
            <w:tcW w:w="280" w:type="dxa"/>
            <w:vAlign w:val="bottom"/>
          </w:tcPr>
          <w:p>
            <w:pPr>
              <w:spacing w:after="0"/>
              <w:rPr>
                <w:sz w:val="16"/>
                <w:szCs w:val="16"/>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248.6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4400" w:type="dxa"/>
            <w:vAlign w:val="bottom"/>
            <w:gridSpan w:val="4"/>
          </w:tcPr>
          <w:p>
            <w:pPr>
              <w:spacing w:after="0" w:line="87" w:lineRule="exact"/>
              <w:rPr>
                <w:sz w:val="20"/>
                <w:szCs w:val="20"/>
                <w:color w:val="auto"/>
              </w:rPr>
            </w:pPr>
            <w:r>
              <w:rPr>
                <w:rFonts w:ascii="Arial" w:cs="Arial" w:eastAsia="Arial" w:hAnsi="Arial"/>
                <w:sz w:val="10"/>
                <w:szCs w:val="10"/>
                <w:b w:val="1"/>
                <w:bCs w:val="1"/>
                <w:color w:val="auto"/>
              </w:rPr>
              <w:t>Adjusted non-GAAP basis</w:t>
            </w: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440" w:type="dxa"/>
            <w:vAlign w:val="bottom"/>
            <w:gridSpan w:val="5"/>
          </w:tcPr>
          <w:p>
            <w:pPr>
              <w:jc w:val="right"/>
              <w:ind w:right="2340"/>
              <w:spacing w:after="0" w:line="143" w:lineRule="exact"/>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764.6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1,521.2</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1,486.3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operating income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632.8</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601.1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5.3 %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1,205.0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1,189.8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Non-operating income</w:t>
            </w:r>
            <w:r>
              <w:rPr>
                <w:rFonts w:ascii="Arial" w:cs="Arial" w:eastAsia="Arial" w:hAnsi="Arial"/>
                <w:sz w:val="12"/>
                <w:szCs w:val="12"/>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80.0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n/m</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400" w:type="dxa"/>
            <w:vAlign w:val="bottom"/>
            <w:gridSpan w:val="4"/>
          </w:tcPr>
          <w:p>
            <w:pPr>
              <w:spacing w:after="0"/>
              <w:rPr>
                <w:sz w:val="20"/>
                <w:szCs w:val="20"/>
                <w:color w:val="auto"/>
              </w:rPr>
            </w:pPr>
            <w:r>
              <w:rPr>
                <w:rFonts w:ascii="Arial" w:cs="Arial" w:eastAsia="Arial" w:hAnsi="Arial"/>
                <w:sz w:val="15"/>
                <w:szCs w:val="15"/>
                <w:color w:val="auto"/>
              </w:rPr>
              <w:t>Net income attributable to T. Rowe Price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498.1</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472.8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5.4 %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958.7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918.4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 xml:space="preserve">Assets under Management </w:t>
            </w:r>
            <w:r>
              <w:rPr>
                <w:rFonts w:ascii="Arial" w:cs="Arial" w:eastAsia="Arial" w:hAnsi="Arial"/>
                <w:sz w:val="12"/>
                <w:szCs w:val="12"/>
                <w:color w:val="auto"/>
              </w:rPr>
              <w:t>(in billions)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40" w:type="dxa"/>
            <w:vAlign w:val="bottom"/>
            <w:tcBorders>
              <w:top w:val="single" w:sz="8" w:color="CCEEFF"/>
            </w:tcBorders>
          </w:tcPr>
          <w:p>
            <w:pPr>
              <w:spacing w:after="0"/>
              <w:rPr>
                <w:sz w:val="23"/>
                <w:szCs w:val="23"/>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Average AUM</w:t>
            </w:r>
          </w:p>
        </w:tc>
        <w:tc>
          <w:tcPr>
            <w:tcW w:w="24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CCEEFF"/>
            </w:tcBorders>
          </w:tcPr>
          <w:p>
            <w:pPr>
              <w:jc w:val="right"/>
              <w:ind w:right="24"/>
              <w:spacing w:after="0"/>
              <w:rPr>
                <w:sz w:val="20"/>
                <w:szCs w:val="20"/>
                <w:color w:val="auto"/>
              </w:rPr>
            </w:pPr>
            <w:r>
              <w:rPr>
                <w:rFonts w:ascii="Arial" w:cs="Arial" w:eastAsia="Arial" w:hAnsi="Arial"/>
                <w:sz w:val="15"/>
                <w:szCs w:val="15"/>
                <w:color w:val="auto"/>
              </w:rPr>
              <w:t>1,099.8</w:t>
            </w:r>
          </w:p>
        </w:tc>
        <w:tc>
          <w:tcPr>
            <w:tcW w:w="2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CCEEFF"/>
            </w:tcBorders>
          </w:tcPr>
          <w:p>
            <w:pPr>
              <w:jc w:val="right"/>
              <w:ind w:right="24"/>
              <w:spacing w:after="0"/>
              <w:rPr>
                <w:sz w:val="20"/>
                <w:szCs w:val="20"/>
                <w:color w:val="auto"/>
              </w:rPr>
            </w:pPr>
            <w:r>
              <w:rPr>
                <w:rFonts w:ascii="Arial" w:cs="Arial" w:eastAsia="Arial" w:hAnsi="Arial"/>
                <w:sz w:val="15"/>
                <w:szCs w:val="15"/>
                <w:color w:val="auto"/>
              </w:rPr>
              <w:t>1,036.5</w:t>
            </w: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6.1 %</w:t>
            </w: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CCEEFF"/>
            </w:tcBorders>
          </w:tcPr>
          <w:p>
            <w:pPr>
              <w:jc w:val="right"/>
              <w:ind w:right="24"/>
              <w:spacing w:after="0"/>
              <w:rPr>
                <w:sz w:val="20"/>
                <w:szCs w:val="20"/>
                <w:color w:val="auto"/>
              </w:rPr>
            </w:pPr>
            <w:r>
              <w:rPr>
                <w:rFonts w:ascii="Arial" w:cs="Arial" w:eastAsia="Arial" w:hAnsi="Arial"/>
                <w:sz w:val="15"/>
                <w:szCs w:val="15"/>
                <w:color w:val="auto"/>
              </w:rPr>
              <w:t>1,071.8</w:t>
            </w:r>
          </w:p>
        </w:tc>
        <w:tc>
          <w:tcPr>
            <w:tcW w:w="2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CCEEFF"/>
            </w:tcBorders>
          </w:tcPr>
          <w:p>
            <w:pPr>
              <w:jc w:val="right"/>
              <w:ind w:right="24"/>
              <w:spacing w:after="0"/>
              <w:rPr>
                <w:sz w:val="20"/>
                <w:szCs w:val="20"/>
                <w:color w:val="auto"/>
              </w:rPr>
            </w:pPr>
            <w:r>
              <w:rPr>
                <w:rFonts w:ascii="Arial" w:cs="Arial" w:eastAsia="Arial" w:hAnsi="Arial"/>
                <w:sz w:val="15"/>
                <w:szCs w:val="15"/>
                <w:color w:val="auto"/>
              </w:rPr>
              <w:t>1,031.0</w:t>
            </w: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rPr>
              <w:t>4.0 %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40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Ending AUM</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1,125.0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1,044.1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1,125.0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1,044.1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19"/>
        </w:numPr>
        <w:rPr>
          <w:rFonts w:ascii="Arial" w:cs="Arial" w:eastAsia="Arial" w:hAnsi="Arial"/>
          <w:sz w:val="9"/>
          <w:szCs w:val="9"/>
          <w:i w:val="1"/>
          <w:iCs w:val="1"/>
          <w:color w:val="auto"/>
        </w:rPr>
      </w:pPr>
      <w:r>
        <w:rPr>
          <w:rFonts w:ascii="Arial" w:cs="Arial" w:eastAsia="Arial" w:hAnsi="Arial"/>
          <w:sz w:val="13"/>
          <w:szCs w:val="13"/>
          <w:i w:val="1"/>
          <w:iCs w:val="1"/>
          <w:color w:val="auto"/>
        </w:rPr>
        <w:t>The percentage change in non-operating income is not meaningful (n/m).</w:t>
      </w:r>
    </w:p>
    <w:p>
      <w:pPr>
        <w:spacing w:after="0" w:line="6" w:lineRule="exact"/>
        <w:rPr>
          <w:rFonts w:ascii="Arial" w:cs="Arial" w:eastAsia="Arial" w:hAnsi="Arial"/>
          <w:sz w:val="9"/>
          <w:szCs w:val="9"/>
          <w:i w:val="1"/>
          <w:iCs w:val="1"/>
          <w:color w:val="auto"/>
        </w:rPr>
      </w:pPr>
    </w:p>
    <w:p>
      <w:pPr>
        <w:ind w:left="180" w:right="120" w:hanging="172"/>
        <w:spacing w:after="0"/>
        <w:tabs>
          <w:tab w:leader="none" w:pos="163" w:val="left"/>
        </w:tabs>
        <w:numPr>
          <w:ilvl w:val="0"/>
          <w:numId w:val="19"/>
        </w:numPr>
        <w:rPr>
          <w:rFonts w:ascii="Arial" w:cs="Arial" w:eastAsia="Arial" w:hAnsi="Arial"/>
          <w:sz w:val="9"/>
          <w:szCs w:val="9"/>
          <w:i w:val="1"/>
          <w:iCs w:val="1"/>
          <w:color w:val="auto"/>
        </w:rPr>
      </w:pPr>
      <w:r>
        <w:rPr>
          <w:rFonts w:ascii="Arial" w:cs="Arial" w:eastAsia="Arial" w:hAnsi="Arial"/>
          <w:sz w:val="13"/>
          <w:szCs w:val="13"/>
          <w:i w:val="1"/>
          <w:iCs w:val="1"/>
          <w:color w:val="auto"/>
        </w:rPr>
        <w:t>Adjusts the GAAP basis for the impact of consolidated T. Rowe Price investment products, the impact of market movements on the supplemental savings plan liability and related economic hedges, investment income related to certain other investments, and certain nonrecurring charges and gains. The firm believes the non-GAAP financial measures provide relevant and meaningful information to investors about its core operating results. See the reconciliation to the comparable U.S. GAAP measures at the end of this earnings release.</w:t>
      </w:r>
    </w:p>
    <w:p>
      <w:pPr>
        <w:sectPr>
          <w:pgSz w:w="11900" w:h="16838" w:orient="portrait"/>
          <w:cols w:equalWidth="0" w:num="1">
            <w:col w:w="11440"/>
          </w:cols>
          <w:pgMar w:left="240" w:top="144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40"/>
          </w:cols>
          <w:pgMar w:left="240" w:top="1440" w:right="21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 Commentary</w:t>
      </w:r>
    </w:p>
    <w:p>
      <w:pPr>
        <w:spacing w:after="0" w:line="85" w:lineRule="exact"/>
        <w:rPr>
          <w:sz w:val="20"/>
          <w:szCs w:val="20"/>
          <w:color w:val="auto"/>
        </w:rPr>
      </w:pPr>
    </w:p>
    <w:p>
      <w:pPr>
        <w:ind w:right="140"/>
        <w:spacing w:after="0" w:line="360" w:lineRule="auto"/>
        <w:rPr>
          <w:sz w:val="20"/>
          <w:szCs w:val="20"/>
          <w:color w:val="auto"/>
        </w:rPr>
      </w:pPr>
      <w:r>
        <w:rPr>
          <w:rFonts w:ascii="Arial" w:cs="Arial" w:eastAsia="Arial" w:hAnsi="Arial"/>
          <w:sz w:val="18"/>
          <w:szCs w:val="18"/>
          <w:color w:val="auto"/>
        </w:rPr>
        <w:t>William J. Stromberg, president and chief executive officer, commented: "Our investment teams continued to deliver solid performance for our clients in Q2 2019. Healthy returns in global stock and bond markets combined with</w:t>
      </w:r>
    </w:p>
    <w:p>
      <w:pPr>
        <w:spacing w:after="0"/>
        <w:rPr>
          <w:sz w:val="20"/>
          <w:szCs w:val="20"/>
          <w:color w:val="auto"/>
        </w:rPr>
      </w:pPr>
      <w:r>
        <w:rPr>
          <w:rFonts w:ascii="Arial" w:cs="Arial" w:eastAsia="Arial" w:hAnsi="Arial"/>
          <w:sz w:val="18"/>
          <w:szCs w:val="18"/>
          <w:color w:val="auto"/>
        </w:rPr>
        <w:t>$2.5 billion of net client inflows drove total assets under management to $1.125 trillion.</w:t>
      </w:r>
    </w:p>
    <w:p>
      <w:pPr>
        <w:spacing w:after="0" w:line="200" w:lineRule="exact"/>
        <w:rPr>
          <w:sz w:val="20"/>
          <w:szCs w:val="20"/>
          <w:color w:val="auto"/>
        </w:rPr>
      </w:pPr>
    </w:p>
    <w:p>
      <w:pPr>
        <w:spacing w:after="0" w:line="214" w:lineRule="exact"/>
        <w:rPr>
          <w:sz w:val="20"/>
          <w:szCs w:val="20"/>
          <w:color w:val="auto"/>
        </w:rPr>
      </w:pPr>
    </w:p>
    <w:p>
      <w:pPr>
        <w:ind w:right="260"/>
        <w:spacing w:after="0" w:line="364" w:lineRule="auto"/>
        <w:rPr>
          <w:sz w:val="20"/>
          <w:szCs w:val="20"/>
          <w:color w:val="auto"/>
        </w:rPr>
      </w:pPr>
      <w:r>
        <w:rPr>
          <w:rFonts w:ascii="Arial" w:cs="Arial" w:eastAsia="Arial" w:hAnsi="Arial"/>
          <w:sz w:val="18"/>
          <w:szCs w:val="18"/>
          <w:color w:val="auto"/>
        </w:rPr>
        <w:t>“We were pleased that net flows were once again positive in all regions. Q2 was particularly strong for our multi-asset franchise and U.S. Intermediaries channel. We were also encouraged by strong receptions to our recently-launched Japanese Investment Trusts (ITM), and we continue to be pleased with overall client demand for our strategies. We remained opportunistic in our approach to share repurchases and bought back 1.6 million shares in Q2 2019.</w:t>
      </w:r>
    </w:p>
    <w:p>
      <w:pPr>
        <w:spacing w:after="0" w:line="297" w:lineRule="exact"/>
        <w:rPr>
          <w:sz w:val="20"/>
          <w:szCs w:val="20"/>
          <w:color w:val="auto"/>
        </w:rPr>
      </w:pPr>
    </w:p>
    <w:p>
      <w:pPr>
        <w:ind w:right="680"/>
        <w:spacing w:after="0" w:line="371" w:lineRule="auto"/>
        <w:rPr>
          <w:sz w:val="20"/>
          <w:szCs w:val="20"/>
          <w:color w:val="auto"/>
        </w:rPr>
      </w:pPr>
      <w:r>
        <w:rPr>
          <w:rFonts w:ascii="Arial" w:cs="Arial" w:eastAsia="Arial" w:hAnsi="Arial"/>
          <w:sz w:val="18"/>
          <w:szCs w:val="18"/>
          <w:color w:val="auto"/>
        </w:rPr>
        <w:t>“Our teams continued to diligently execute our strategic plan across investment capabilities, products, distribution, and technology, and delivered on planned operating efficiency goals. Recent highlights include:</w:t>
      </w:r>
    </w:p>
    <w:p>
      <w:pPr>
        <w:spacing w:after="0" w:line="292" w:lineRule="exact"/>
        <w:rPr>
          <w:sz w:val="20"/>
          <w:szCs w:val="20"/>
          <w:color w:val="auto"/>
        </w:rPr>
      </w:pPr>
    </w:p>
    <w:p>
      <w:pPr>
        <w:jc w:val="both"/>
        <w:ind w:left="660" w:hanging="328"/>
        <w:spacing w:after="0" w:line="365" w:lineRule="auto"/>
        <w:tabs>
          <w:tab w:leader="none" w:pos="660" w:val="left"/>
        </w:tabs>
        <w:numPr>
          <w:ilvl w:val="0"/>
          <w:numId w:val="20"/>
        </w:numPr>
        <w:rPr>
          <w:rFonts w:ascii="Arial" w:cs="Arial" w:eastAsia="Arial" w:hAnsi="Arial"/>
          <w:sz w:val="18"/>
          <w:szCs w:val="18"/>
          <w:color w:val="00FFFF"/>
        </w:rPr>
      </w:pPr>
      <w:r>
        <w:rPr>
          <w:rFonts w:ascii="Arial" w:cs="Arial" w:eastAsia="Arial" w:hAnsi="Arial"/>
          <w:sz w:val="18"/>
          <w:szCs w:val="18"/>
          <w:color w:val="auto"/>
        </w:rPr>
        <w:t>Investment Capabilities and Product - We further strengthened our investment teams globally. We continued to expand our SICAV and OEIC lineups and launched our Global Focused Growth ITM in Japan. In addition, we remain in active dialogue with the SEC regarding our application for semi-transparent active exchange-traded funds.</w:t>
      </w:r>
    </w:p>
    <w:p>
      <w:pPr>
        <w:spacing w:after="0" w:line="298" w:lineRule="exact"/>
        <w:rPr>
          <w:rFonts w:ascii="Arial" w:cs="Arial" w:eastAsia="Arial" w:hAnsi="Arial"/>
          <w:sz w:val="18"/>
          <w:szCs w:val="18"/>
          <w:color w:val="00FFFF"/>
        </w:rPr>
      </w:pPr>
    </w:p>
    <w:p>
      <w:pPr>
        <w:ind w:left="660" w:right="240" w:hanging="328"/>
        <w:spacing w:after="0" w:line="371" w:lineRule="auto"/>
        <w:tabs>
          <w:tab w:leader="none" w:pos="660" w:val="left"/>
        </w:tabs>
        <w:numPr>
          <w:ilvl w:val="0"/>
          <w:numId w:val="20"/>
        </w:numPr>
        <w:rPr>
          <w:rFonts w:ascii="Arial" w:cs="Arial" w:eastAsia="Arial" w:hAnsi="Arial"/>
          <w:sz w:val="18"/>
          <w:szCs w:val="18"/>
          <w:color w:val="00FFFF"/>
        </w:rPr>
      </w:pPr>
      <w:r>
        <w:rPr>
          <w:rFonts w:ascii="Arial" w:cs="Arial" w:eastAsia="Arial" w:hAnsi="Arial"/>
          <w:sz w:val="18"/>
          <w:szCs w:val="18"/>
          <w:color w:val="auto"/>
        </w:rPr>
        <w:t>Distribution Capabilities - We continue to invest in key regions and channels to help drive diversified growth for the firm. Examples in this quarter include:</w:t>
      </w:r>
    </w:p>
    <w:p>
      <w:pPr>
        <w:spacing w:after="0" w:line="291" w:lineRule="exact"/>
        <w:rPr>
          <w:rFonts w:ascii="Arial" w:cs="Arial" w:eastAsia="Arial" w:hAnsi="Arial"/>
          <w:sz w:val="18"/>
          <w:szCs w:val="18"/>
          <w:color w:val="00FFFF"/>
        </w:rPr>
      </w:pPr>
    </w:p>
    <w:p>
      <w:pPr>
        <w:ind w:left="1300" w:hanging="320"/>
        <w:spacing w:after="0"/>
        <w:tabs>
          <w:tab w:leader="none" w:pos="1300" w:val="left"/>
        </w:tabs>
        <w:numPr>
          <w:ilvl w:val="1"/>
          <w:numId w:val="20"/>
        </w:numPr>
        <w:rPr>
          <w:rFonts w:ascii="Arial" w:cs="Arial" w:eastAsia="Arial" w:hAnsi="Arial"/>
          <w:sz w:val="18"/>
          <w:szCs w:val="18"/>
          <w:color w:val="00FFFF"/>
        </w:rPr>
      </w:pPr>
      <w:r>
        <w:rPr>
          <w:rFonts w:ascii="Arial" w:cs="Arial" w:eastAsia="Arial" w:hAnsi="Arial"/>
          <w:sz w:val="18"/>
          <w:szCs w:val="18"/>
          <w:color w:val="auto"/>
        </w:rPr>
        <w:t>Continued build-out of our broker-dealer channel in the U.S., with additional hires planned in the balance of the year.</w:t>
      </w:r>
    </w:p>
    <w:p>
      <w:pPr>
        <w:spacing w:after="0" w:line="200" w:lineRule="exact"/>
        <w:rPr>
          <w:rFonts w:ascii="Arial" w:cs="Arial" w:eastAsia="Arial" w:hAnsi="Arial"/>
          <w:sz w:val="18"/>
          <w:szCs w:val="18"/>
          <w:color w:val="00FFFF"/>
        </w:rPr>
      </w:pPr>
    </w:p>
    <w:p>
      <w:pPr>
        <w:spacing w:after="0" w:line="214" w:lineRule="exact"/>
        <w:rPr>
          <w:rFonts w:ascii="Arial" w:cs="Arial" w:eastAsia="Arial" w:hAnsi="Arial"/>
          <w:sz w:val="18"/>
          <w:szCs w:val="18"/>
          <w:color w:val="00FFFF"/>
        </w:rPr>
      </w:pPr>
    </w:p>
    <w:p>
      <w:pPr>
        <w:ind w:left="1300" w:hanging="320"/>
        <w:spacing w:after="0"/>
        <w:tabs>
          <w:tab w:leader="none" w:pos="1300" w:val="left"/>
        </w:tabs>
        <w:numPr>
          <w:ilvl w:val="1"/>
          <w:numId w:val="20"/>
        </w:numPr>
        <w:rPr>
          <w:rFonts w:ascii="Arial" w:cs="Arial" w:eastAsia="Arial" w:hAnsi="Arial"/>
          <w:sz w:val="18"/>
          <w:szCs w:val="18"/>
          <w:color w:val="00FFFF"/>
        </w:rPr>
      </w:pPr>
      <w:r>
        <w:rPr>
          <w:rFonts w:ascii="Arial" w:cs="Arial" w:eastAsia="Arial" w:hAnsi="Arial"/>
          <w:sz w:val="18"/>
          <w:szCs w:val="18"/>
          <w:color w:val="auto"/>
        </w:rPr>
        <w:t>Continued investment in our global consultant relations team.</w:t>
      </w:r>
    </w:p>
    <w:p>
      <w:pPr>
        <w:spacing w:after="0" w:line="200" w:lineRule="exact"/>
        <w:rPr>
          <w:rFonts w:ascii="Arial" w:cs="Arial" w:eastAsia="Arial" w:hAnsi="Arial"/>
          <w:sz w:val="18"/>
          <w:szCs w:val="18"/>
          <w:color w:val="00FFFF"/>
        </w:rPr>
      </w:pPr>
    </w:p>
    <w:p>
      <w:pPr>
        <w:spacing w:after="0" w:line="214" w:lineRule="exact"/>
        <w:rPr>
          <w:rFonts w:ascii="Arial" w:cs="Arial" w:eastAsia="Arial" w:hAnsi="Arial"/>
          <w:sz w:val="18"/>
          <w:szCs w:val="18"/>
          <w:color w:val="00FFFF"/>
        </w:rPr>
      </w:pPr>
    </w:p>
    <w:p>
      <w:pPr>
        <w:ind w:left="1300" w:right="160" w:hanging="320"/>
        <w:spacing w:after="0" w:line="371" w:lineRule="auto"/>
        <w:tabs>
          <w:tab w:leader="none" w:pos="1300" w:val="left"/>
        </w:tabs>
        <w:numPr>
          <w:ilvl w:val="1"/>
          <w:numId w:val="20"/>
        </w:numPr>
        <w:rPr>
          <w:rFonts w:ascii="Arial" w:cs="Arial" w:eastAsia="Arial" w:hAnsi="Arial"/>
          <w:sz w:val="18"/>
          <w:szCs w:val="18"/>
          <w:color w:val="00FFFF"/>
        </w:rPr>
      </w:pPr>
      <w:r>
        <w:rPr>
          <w:rFonts w:ascii="Arial" w:cs="Arial" w:eastAsia="Arial" w:hAnsi="Arial"/>
          <w:sz w:val="18"/>
          <w:szCs w:val="18"/>
          <w:color w:val="auto"/>
        </w:rPr>
        <w:t>The hiring of a head of intermediary business for Greater China, a newly-created role which will serve the growing demand in the region for top-quality, long-term investment solutions.</w:t>
      </w:r>
    </w:p>
    <w:p>
      <w:pPr>
        <w:spacing w:after="0" w:line="291" w:lineRule="exact"/>
        <w:rPr>
          <w:rFonts w:ascii="Arial" w:cs="Arial" w:eastAsia="Arial" w:hAnsi="Arial"/>
          <w:sz w:val="18"/>
          <w:szCs w:val="18"/>
          <w:color w:val="00FFFF"/>
        </w:rPr>
      </w:pPr>
    </w:p>
    <w:p>
      <w:pPr>
        <w:ind w:left="1300" w:right="440" w:hanging="320"/>
        <w:spacing w:after="0" w:line="371" w:lineRule="auto"/>
        <w:tabs>
          <w:tab w:leader="none" w:pos="1300" w:val="left"/>
        </w:tabs>
        <w:numPr>
          <w:ilvl w:val="1"/>
          <w:numId w:val="20"/>
        </w:numPr>
        <w:rPr>
          <w:rFonts w:ascii="Arial" w:cs="Arial" w:eastAsia="Arial" w:hAnsi="Arial"/>
          <w:sz w:val="18"/>
          <w:szCs w:val="18"/>
          <w:color w:val="00FFFF"/>
        </w:rPr>
      </w:pPr>
      <w:r>
        <w:rPr>
          <w:rFonts w:ascii="Arial" w:cs="Arial" w:eastAsia="Arial" w:hAnsi="Arial"/>
          <w:sz w:val="18"/>
          <w:szCs w:val="18"/>
          <w:color w:val="auto"/>
        </w:rPr>
        <w:t>The hiring of a vice president of institutional sales in Canada, which will provide investment solutions and sales support to defined contribution consultants, brokers, and clients.</w:t>
      </w:r>
    </w:p>
    <w:p>
      <w:pPr>
        <w:spacing w:after="0" w:line="291" w:lineRule="exact"/>
        <w:rPr>
          <w:rFonts w:ascii="Arial" w:cs="Arial" w:eastAsia="Arial" w:hAnsi="Arial"/>
          <w:sz w:val="18"/>
          <w:szCs w:val="18"/>
          <w:color w:val="00FFFF"/>
        </w:rPr>
      </w:pPr>
    </w:p>
    <w:p>
      <w:pPr>
        <w:ind w:left="660" w:hanging="328"/>
        <w:spacing w:after="0" w:line="371" w:lineRule="auto"/>
        <w:tabs>
          <w:tab w:leader="none" w:pos="660" w:val="left"/>
        </w:tabs>
        <w:numPr>
          <w:ilvl w:val="0"/>
          <w:numId w:val="20"/>
        </w:numPr>
        <w:rPr>
          <w:rFonts w:ascii="Arial" w:cs="Arial" w:eastAsia="Arial" w:hAnsi="Arial"/>
          <w:sz w:val="18"/>
          <w:szCs w:val="18"/>
          <w:color w:val="00FFFF"/>
        </w:rPr>
      </w:pPr>
      <w:r>
        <w:rPr>
          <w:rFonts w:ascii="Arial" w:cs="Arial" w:eastAsia="Arial" w:hAnsi="Arial"/>
          <w:sz w:val="18"/>
          <w:szCs w:val="18"/>
          <w:color w:val="auto"/>
        </w:rPr>
        <w:t>Client Experience - Furthering our efforts to transform our clients' digital experiences, we recently launched a significant redesign of our mobile app for individual investors.</w:t>
      </w:r>
    </w:p>
    <w:p>
      <w:pPr>
        <w:spacing w:after="0" w:line="292" w:lineRule="exact"/>
        <w:rPr>
          <w:sz w:val="20"/>
          <w:szCs w:val="20"/>
          <w:color w:val="auto"/>
        </w:rPr>
      </w:pPr>
    </w:p>
    <w:p>
      <w:pPr>
        <w:ind w:right="40"/>
        <w:spacing w:after="0" w:line="365" w:lineRule="auto"/>
        <w:rPr>
          <w:sz w:val="20"/>
          <w:szCs w:val="20"/>
          <w:color w:val="auto"/>
        </w:rPr>
      </w:pPr>
      <w:r>
        <w:rPr>
          <w:rFonts w:ascii="Arial" w:cs="Arial" w:eastAsia="Arial" w:hAnsi="Arial"/>
          <w:sz w:val="18"/>
          <w:szCs w:val="18"/>
          <w:color w:val="auto"/>
        </w:rPr>
        <w:t>“I am proud of all that our associates have accomplished this year and thank them for the critical role that each of them plays within our organization. I especially salute the dedicated work of our associates who brilliantly served our clients as we transitioned away from our Tampa facility over the last year. We remain highly focused on delivering for our clients and stockholders over the long term."</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19"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Assets Under Management</w:t>
      </w:r>
    </w:p>
    <w:p>
      <w:pPr>
        <w:spacing w:after="0" w:line="126" w:lineRule="exact"/>
        <w:rPr>
          <w:sz w:val="20"/>
          <w:szCs w:val="20"/>
          <w:color w:val="auto"/>
        </w:rPr>
      </w:pPr>
    </w:p>
    <w:p>
      <w:pPr>
        <w:ind w:right="180"/>
        <w:spacing w:after="0" w:line="365" w:lineRule="auto"/>
        <w:rPr>
          <w:sz w:val="20"/>
          <w:szCs w:val="20"/>
          <w:color w:val="auto"/>
        </w:rPr>
      </w:pPr>
      <w:r>
        <w:rPr>
          <w:rFonts w:ascii="Arial" w:cs="Arial" w:eastAsia="Arial" w:hAnsi="Arial"/>
          <w:sz w:val="18"/>
          <w:szCs w:val="18"/>
          <w:color w:val="auto"/>
        </w:rPr>
        <w:t>Assets under management increased $43.3 billion in Q2 2019 to $1.125 trillion at June 30, 2019. Net cash inflows were $2.5 billion. Clients transferred $5.9 billion in net assets from the U.S. mutual funds to other investment products, primarily the target-date trusts, in Q2 2019. The components of the change in assets under management, by vehicle and asset class, are shown in the tables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color w:val="auto"/>
              </w:rPr>
              <w:t>Three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4"/>
                <w:szCs w:val="14"/>
                <w:color w:val="auto"/>
              </w:rPr>
              <w:t>Six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Subadvised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rPr>
              <w:t>Subadvised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rPr>
              <w:t>U.S. mutual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and separate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U.S. mutual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and separate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52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funds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accounts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5"/>
                <w:szCs w:val="15"/>
                <w:color w:val="auto"/>
              </w:rPr>
            </w:pPr>
          </w:p>
        </w:tc>
        <w:tc>
          <w:tcPr>
            <w:tcW w:w="86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funds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accounts</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products</w:t>
            </w:r>
          </w:p>
        </w:tc>
        <w:tc>
          <w:tcPr>
            <w:tcW w:w="180" w:type="dxa"/>
            <w:vAlign w:val="bottom"/>
          </w:tcPr>
          <w:p>
            <w:pPr>
              <w:spacing w:after="0"/>
              <w:rPr>
                <w:sz w:val="15"/>
                <w:szCs w:val="15"/>
                <w:color w:val="auto"/>
              </w:rPr>
            </w:pPr>
          </w:p>
        </w:tc>
        <w:tc>
          <w:tcPr>
            <w:tcW w:w="720" w:type="dxa"/>
            <w:vAlign w:val="bottom"/>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4"/>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630.7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170.4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1,081.7</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6"/>
                <w:szCs w:val="16"/>
                <w:color w:val="auto"/>
              </w:rPr>
              <w:t>Client transfers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after client</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6"/>
                <w:szCs w:val="16"/>
                <w:color w:val="auto"/>
              </w:rPr>
              <w:t>Net market appreciation and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520" w:type="dxa"/>
            <w:vAlign w:val="bottom"/>
          </w:tcPr>
          <w:p>
            <w:pPr>
              <w:ind w:left="4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41.0</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distributions reinvested</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 reinvested)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43.3</w:t>
            </w:r>
          </w:p>
        </w:tc>
        <w:tc>
          <w:tcPr>
            <w:tcW w:w="14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122"/>
        </w:trPr>
        <w:tc>
          <w:tcPr>
            <w:tcW w:w="2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648.3</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color w:val="auto"/>
              </w:rPr>
              <w:t>292.6</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1,125.0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648.3</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292.6</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1,125.0</w:t>
            </w:r>
          </w:p>
        </w:tc>
        <w:tc>
          <w:tcPr>
            <w:tcW w:w="0" w:type="dxa"/>
            <w:vAlign w:val="bottom"/>
          </w:tcPr>
          <w:p>
            <w:pPr>
              <w:spacing w:after="0"/>
              <w:rPr>
                <w:sz w:val="1"/>
                <w:szCs w:val="1"/>
                <w:color w:val="auto"/>
              </w:rPr>
            </w:pPr>
          </w:p>
        </w:tc>
      </w:tr>
      <w:tr>
        <w:trPr>
          <w:trHeight w:val="203"/>
        </w:trPr>
        <w:tc>
          <w:tcPr>
            <w:tcW w:w="2520" w:type="dxa"/>
            <w:vAlign w:val="bottom"/>
          </w:tcPr>
          <w:p>
            <w:pPr>
              <w:ind w:left="40"/>
              <w:spacing w:after="0"/>
              <w:rPr>
                <w:sz w:val="20"/>
                <w:szCs w:val="20"/>
                <w:color w:val="auto"/>
              </w:rPr>
            </w:pPr>
            <w:r>
              <w:rPr>
                <w:rFonts w:ascii="Arial" w:cs="Arial" w:eastAsia="Arial" w:hAnsi="Arial"/>
                <w:sz w:val="16"/>
                <w:szCs w:val="16"/>
                <w:color w:val="auto"/>
              </w:rPr>
              <w:t>June 30, 2019</w:t>
            </w:r>
          </w:p>
        </w:tc>
        <w:tc>
          <w:tcPr>
            <w:tcW w:w="1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color w:val="auto"/>
              </w:rPr>
              <w:t>Three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4"/>
                <w:szCs w:val="14"/>
                <w:color w:val="auto"/>
              </w:rPr>
              <w:t>Six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Fixed income,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Fixed income,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including</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8"/>
              </w:rPr>
              <w:t>Multi-asset</w:t>
            </w:r>
            <w:r>
              <w:rPr>
                <w:rFonts w:ascii="Arial" w:cs="Arial" w:eastAsia="Arial" w:hAnsi="Arial"/>
                <w:sz w:val="17"/>
                <w:szCs w:val="17"/>
                <w:color w:val="auto"/>
                <w:w w:val="98"/>
                <w:vertAlign w:val="superscript"/>
              </w:rPr>
              <w:t>(1)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rPr>
              <w:t>including</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8"/>
              </w:rPr>
              <w:t>Multi-asset</w:t>
            </w:r>
            <w:r>
              <w:rPr>
                <w:rFonts w:ascii="Arial" w:cs="Arial" w:eastAsia="Arial" w:hAnsi="Arial"/>
                <w:sz w:val="17"/>
                <w:szCs w:val="17"/>
                <w:color w:val="auto"/>
                <w:w w:val="98"/>
                <w:vertAlign w:val="superscript"/>
              </w:rPr>
              <w:t>(1)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52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rPr>
              <w:t>Equity</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money market</w:t>
            </w:r>
          </w:p>
        </w:tc>
        <w:tc>
          <w:tcPr>
            <w:tcW w:w="11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Equity</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rPr>
              <w:t>money market</w:t>
            </w:r>
          </w:p>
        </w:tc>
        <w:tc>
          <w:tcPr>
            <w:tcW w:w="11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8"/>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621.6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319.2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1,081.7</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286.3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962.3</w:t>
            </w: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2520" w:type="dxa"/>
            <w:vAlign w:val="bottom"/>
          </w:tcPr>
          <w:p>
            <w:pPr>
              <w:ind w:left="40"/>
              <w:spacing w:after="0"/>
              <w:rPr>
                <w:sz w:val="20"/>
                <w:szCs w:val="20"/>
                <w:color w:val="auto"/>
              </w:rPr>
            </w:pPr>
            <w:r>
              <w:rPr>
                <w:rFonts w:ascii="Arial" w:cs="Arial" w:eastAsia="Arial" w:hAnsi="Arial"/>
                <w:sz w:val="16"/>
                <w:szCs w:val="16"/>
                <w:color w:val="auto"/>
              </w:rPr>
              <w:t>Net market appreciation and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tcPr>
          <w:p>
            <w:pPr>
              <w:ind w:left="40"/>
              <w:spacing w:after="0" w:line="219" w:lineRule="exact"/>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40.8</w:t>
            </w:r>
          </w:p>
        </w:tc>
        <w:tc>
          <w:tcPr>
            <w:tcW w:w="14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198"/>
        </w:trPr>
        <w:tc>
          <w:tcPr>
            <w:tcW w:w="252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648.4</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41"/>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332.5</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1,125.0</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648.4</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rPr>
              <w:t>332.5</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1,125.0</w:t>
            </w:r>
          </w:p>
        </w:tc>
        <w:tc>
          <w:tcPr>
            <w:tcW w:w="0" w:type="dxa"/>
            <w:vAlign w:val="bottom"/>
          </w:tcPr>
          <w:p>
            <w:pPr>
              <w:spacing w:after="0"/>
              <w:rPr>
                <w:sz w:val="1"/>
                <w:szCs w:val="1"/>
                <w:color w:val="auto"/>
              </w:rPr>
            </w:pPr>
          </w:p>
        </w:tc>
      </w:tr>
      <w:tr>
        <w:trPr>
          <w:trHeight w:val="203"/>
        </w:trPr>
        <w:tc>
          <w:tcPr>
            <w:tcW w:w="2520" w:type="dxa"/>
            <w:vAlign w:val="bottom"/>
          </w:tcPr>
          <w:p>
            <w:pPr>
              <w:ind w:left="40"/>
              <w:spacing w:after="0"/>
              <w:rPr>
                <w:sz w:val="20"/>
                <w:szCs w:val="20"/>
                <w:color w:val="auto"/>
              </w:rPr>
            </w:pPr>
            <w:r>
              <w:rPr>
                <w:rFonts w:ascii="Arial" w:cs="Arial" w:eastAsia="Arial" w:hAnsi="Arial"/>
                <w:sz w:val="16"/>
                <w:szCs w:val="16"/>
                <w:color w:val="auto"/>
              </w:rPr>
              <w:t>June 30, 2019</w:t>
            </w:r>
          </w:p>
        </w:tc>
        <w:tc>
          <w:tcPr>
            <w:tcW w:w="1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i w:val="1"/>
          <w:iCs w:val="1"/>
          <w:color w:val="auto"/>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11" w:lineRule="exact"/>
        <w:rPr>
          <w:rFonts w:ascii="Arial" w:cs="Arial" w:eastAsia="Arial" w:hAnsi="Arial"/>
          <w:sz w:val="9"/>
          <w:szCs w:val="9"/>
          <w:i w:val="1"/>
          <w:iCs w:val="1"/>
          <w:color w:val="auto"/>
        </w:rPr>
      </w:pPr>
    </w:p>
    <w:p>
      <w:pPr>
        <w:ind w:left="160" w:hanging="152"/>
        <w:spacing w:after="0"/>
        <w:tabs>
          <w:tab w:leader="none" w:pos="160" w:val="left"/>
        </w:tabs>
        <w:numPr>
          <w:ilvl w:val="0"/>
          <w:numId w:val="21"/>
        </w:numPr>
        <w:rPr>
          <w:rFonts w:ascii="Arial" w:cs="Arial" w:eastAsia="Arial" w:hAnsi="Arial"/>
          <w:sz w:val="9"/>
          <w:szCs w:val="9"/>
          <w:i w:val="1"/>
          <w:iCs w:val="1"/>
          <w:color w:val="auto"/>
        </w:rPr>
      </w:pPr>
      <w:r>
        <w:rPr>
          <w:rFonts w:ascii="Arial" w:cs="Arial" w:eastAsia="Arial" w:hAnsi="Arial"/>
          <w:sz w:val="13"/>
          <w:szCs w:val="13"/>
          <w:i w:val="1"/>
          <w:iCs w:val="1"/>
          <w:color w:val="auto"/>
        </w:rPr>
        <w:t>Includes distributions reinvested and not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-193675</wp:posOffset>
            </wp:positionV>
            <wp:extent cx="5651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254" w:lineRule="exact"/>
        <w:rPr>
          <w:sz w:val="20"/>
          <w:szCs w:val="20"/>
          <w:color w:val="auto"/>
        </w:rPr>
      </w:pPr>
    </w:p>
    <w:p>
      <w:pPr>
        <w:ind w:right="20"/>
        <w:spacing w:after="0" w:line="365" w:lineRule="auto"/>
        <w:rPr>
          <w:sz w:val="20"/>
          <w:szCs w:val="20"/>
          <w:color w:val="auto"/>
        </w:rPr>
      </w:pPr>
      <w:r>
        <w:rPr>
          <w:rFonts w:ascii="Arial" w:cs="Arial" w:eastAsia="Arial" w:hAnsi="Arial"/>
          <w:sz w:val="18"/>
          <w:szCs w:val="18"/>
          <w:color w:val="auto"/>
        </w:rPr>
        <w:t>Assets under management in the firm's target date retirement products, which are reported as part of the multi-asset column in the table above, were $268.7 billion at June 30, 2019, compared with $257.8 billion at March 31, 2019 and $230.4 billion at December 31, 2018. Net cash inflows into these portfolios were $1.6 billion in the second quarter of 2019 and $4.6 billion for the first half of 2019.</w:t>
      </w:r>
    </w:p>
    <w:p>
      <w:pPr>
        <w:spacing w:after="0" w:line="298" w:lineRule="exact"/>
        <w:rPr>
          <w:sz w:val="20"/>
          <w:szCs w:val="20"/>
          <w:color w:val="auto"/>
        </w:rPr>
      </w:pPr>
    </w:p>
    <w:p>
      <w:pPr>
        <w:ind w:right="660"/>
        <w:spacing w:after="0" w:line="371" w:lineRule="auto"/>
        <w:rPr>
          <w:sz w:val="20"/>
          <w:szCs w:val="20"/>
          <w:color w:val="auto"/>
        </w:rPr>
      </w:pPr>
      <w:r>
        <w:rPr>
          <w:rFonts w:ascii="Arial" w:cs="Arial" w:eastAsia="Arial" w:hAnsi="Arial"/>
          <w:sz w:val="18"/>
          <w:szCs w:val="18"/>
          <w:color w:val="auto"/>
        </w:rPr>
        <w:t>Investors domiciled outside the United States accounted for 6.4% of the firm's assets under management at June 30, 2019 and 6.2% at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7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Q2 2019 were $1.4 billion, up 3.7% from Q2 2018.</w:t>
      </w:r>
    </w:p>
    <w:p>
      <w:pPr>
        <w:spacing w:after="0" w:line="153" w:lineRule="exact"/>
        <w:rPr>
          <w:sz w:val="20"/>
          <w:szCs w:val="20"/>
          <w:color w:val="auto"/>
        </w:rPr>
      </w:pPr>
    </w:p>
    <w:p>
      <w:pPr>
        <w:ind w:left="660" w:right="180" w:hanging="328"/>
        <w:spacing w:after="0" w:line="381"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Investment advisory revenues earned in Q2 2019 from the firm's U.S. mutual funds were $860.7 million, an increase of 1.6% from Q2 2018. Average assets under management in these funds increased 2.2% to $638.5 billion in Q2 2019.</w:t>
      </w:r>
    </w:p>
    <w:p>
      <w:pPr>
        <w:spacing w:after="0" w:line="309" w:lineRule="exact"/>
        <w:rPr>
          <w:rFonts w:ascii="Arial" w:cs="Arial" w:eastAsia="Arial" w:hAnsi="Arial"/>
          <w:sz w:val="22"/>
          <w:szCs w:val="22"/>
          <w:color w:val="40AEFF"/>
        </w:rPr>
      </w:pPr>
    </w:p>
    <w:p>
      <w:pPr>
        <w:ind w:left="660" w:right="80" w:hanging="328"/>
        <w:spacing w:after="0" w:line="385"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Investment advisory revenues earned in Q2 2019 from subadvised and separate accounts as well as other investment products were $409.5 million, an increase of 11.4% from Q2 2018. Average assets under management for these products increased 12.0% to $461.3 billion in Q2 2019.</w:t>
      </w:r>
    </w:p>
    <w:p>
      <w:pPr>
        <w:spacing w:after="0" w:line="334" w:lineRule="exact"/>
        <w:rPr>
          <w:rFonts w:ascii="Arial" w:cs="Arial" w:eastAsia="Arial" w:hAnsi="Arial"/>
          <w:sz w:val="22"/>
          <w:szCs w:val="22"/>
          <w:color w:val="40AEFF"/>
        </w:rPr>
      </w:pPr>
    </w:p>
    <w:p>
      <w:pPr>
        <w:ind w:left="660" w:hanging="328"/>
        <w:spacing w:after="0" w:line="397" w:lineRule="auto"/>
        <w:tabs>
          <w:tab w:leader="none" w:pos="660" w:val="left"/>
        </w:tabs>
        <w:numPr>
          <w:ilvl w:val="0"/>
          <w:numId w:val="22"/>
        </w:numPr>
        <w:rPr>
          <w:rFonts w:ascii="Arial" w:cs="Arial" w:eastAsia="Arial" w:hAnsi="Arial"/>
          <w:sz w:val="22"/>
          <w:szCs w:val="22"/>
          <w:color w:val="40AEFF"/>
        </w:rPr>
      </w:pPr>
      <w:r>
        <w:rPr>
          <w:rFonts w:ascii="Arial" w:cs="Arial" w:eastAsia="Arial" w:hAnsi="Arial"/>
          <w:sz w:val="18"/>
          <w:szCs w:val="18"/>
          <w:color w:val="auto"/>
        </w:rPr>
        <w:t>The effective fee rate of 46.3 basis points in Q2 2019 decreased slightly from Q1 2019 and was lower than the 47.0 basis points in Q2 2018. The decline in the effective fee rate from Q2 2018 was primarily due to client transfers to lower fee vehicles or share classes over the last twelve months. Over time, the firm's effective fee rate can be impacted by market or cash flow related shifts among asset and share classes, price changes in existing products, and asset level changes in products with tiered-fee structures.</w:t>
      </w:r>
    </w:p>
    <w:p>
      <w:pPr>
        <w:spacing w:after="0" w:line="323" w:lineRule="exact"/>
        <w:rPr>
          <w:rFonts w:ascii="Arial" w:cs="Arial" w:eastAsia="Arial" w:hAnsi="Arial"/>
          <w:sz w:val="22"/>
          <w:szCs w:val="22"/>
          <w:color w:val="40AEFF"/>
        </w:rPr>
      </w:pPr>
    </w:p>
    <w:p>
      <w:pPr>
        <w:ind w:left="660" w:right="80" w:hanging="328"/>
        <w:spacing w:after="0" w:line="423" w:lineRule="auto"/>
        <w:tabs>
          <w:tab w:leader="none" w:pos="660" w:val="left"/>
        </w:tabs>
        <w:numPr>
          <w:ilvl w:val="0"/>
          <w:numId w:val="22"/>
        </w:numPr>
        <w:rPr>
          <w:rFonts w:ascii="Arial" w:cs="Arial" w:eastAsia="Arial" w:hAnsi="Arial"/>
          <w:sz w:val="21"/>
          <w:szCs w:val="21"/>
          <w:color w:val="40AEFF"/>
        </w:rPr>
      </w:pPr>
      <w:r>
        <w:rPr>
          <w:rFonts w:ascii="Arial" w:cs="Arial" w:eastAsia="Arial" w:hAnsi="Arial"/>
          <w:sz w:val="17"/>
          <w:szCs w:val="17"/>
          <w:color w:val="auto"/>
        </w:rPr>
        <w:t>Administrative, distribution, and servicing fees in Q2 2019 were $125.0 million, a decrease of $5.6 million from Q2 2018. The decrease was primarily attributable to lower 12b-1 revenue earned on certain share classes of the U.S. mutual funds as client transfers to lower fee vehicles and share classes has reduced assets under management in these share classes. This decline is offset entirely by a reduction in the costs paid to third-party intermediaries that source these assets and reported in distribution and servicing expense.</w:t>
      </w:r>
    </w:p>
    <w:p>
      <w:pPr>
        <w:spacing w:after="0" w:line="261" w:lineRule="exact"/>
        <w:rPr>
          <w:sz w:val="20"/>
          <w:szCs w:val="20"/>
          <w:color w:val="auto"/>
        </w:rPr>
      </w:pPr>
    </w:p>
    <w:p>
      <w:pPr>
        <w:ind w:right="300"/>
        <w:spacing w:after="0" w:line="367"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$780.1 million in Q2 2019 compared with $750.3 million in Q2 2018. The increase in operating expenses for this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was primarily due to higher salary, annual bonus accrual, and benefits expense; higher compensation expense related to the supplemental savings plan as markets continued to see appreciation in the second quarter of 2019; and the firm's continued strategic investments. The higher expense related to the supplemental savings plan is partially offset by the non-operating gains earned on the investments used to hedge the related liability.</w:t>
      </w:r>
    </w:p>
    <w:p>
      <w:pPr>
        <w:spacing w:after="0" w:line="20" w:lineRule="exact"/>
        <w:rPr>
          <w:sz w:val="20"/>
          <w:szCs w:val="20"/>
          <w:color w:val="auto"/>
        </w:rPr>
      </w:pPr>
    </w:p>
    <w:p>
      <w:pPr>
        <w:ind w:left="660" w:right="60" w:hanging="328"/>
        <w:spacing w:after="0" w:line="407" w:lineRule="auto"/>
        <w:tabs>
          <w:tab w:leader="none" w:pos="660" w:val="left"/>
        </w:tabs>
        <w:numPr>
          <w:ilvl w:val="0"/>
          <w:numId w:val="23"/>
        </w:numPr>
        <w:rPr>
          <w:rFonts w:ascii="Arial" w:cs="Arial" w:eastAsia="Arial" w:hAnsi="Arial"/>
          <w:sz w:val="22"/>
          <w:szCs w:val="22"/>
          <w:color w:val="40AEFF"/>
        </w:rPr>
      </w:pPr>
      <w:r>
        <w:rPr>
          <w:rFonts w:ascii="Arial" w:cs="Arial" w:eastAsia="Arial" w:hAnsi="Arial"/>
          <w:sz w:val="18"/>
          <w:szCs w:val="18"/>
          <w:color w:val="auto"/>
        </w:rPr>
        <w:t>On a non-GAAP basis, the firm's operating expenses in Q2 2019 increased 2.6% to $764.6 million compared with Q2 2018. Though first half 2019 non-GAAP operating expense growth was 2.3%, the firm continues to expect its full-year 2019 non-GAAP operating expense growth to be in the range of 4% to 7%. This range includes continued investments in the business, the firm's cost optimization efforts, and the phased implementation of paying for all third-party investment research. The firm currently expects that its 2020 operating expenses will reflect a full year of all third-party investment research costs. The firm could elect to adjust its expense growth should unforeseen circumstances arise, including significant market movements.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73" w:right="239" w:bottom="1440" w:gutter="0" w:footer="0" w:header="0"/>
        </w:sectPr>
      </w:pPr>
    </w:p>
    <w:bookmarkStart w:id="49" w:name="page50"/>
    <w:bookmarkEnd w:id="49"/>
    <w:p>
      <w:pPr>
        <w:ind w:left="660" w:right="20" w:hanging="328"/>
        <w:spacing w:after="0" w:line="411"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were $483.2 million in Q2 2019, an increase of 6.0% over Q2 2018. The increase in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relative to the second quarter of 2018 was primarily related to increases in average headcount, the annual bonus accrual, and the expense related to the supplemental savings plan. Partially offsetting the increase in these costs is the absence in Q2 2019 of the $9.0 million one-time bonus funded by U.S. tax reform benefits that was paid to certain associates in Q2 2018. The firm's average staff size increased 3.5% from Q2 2018, and it employed 7,225 associates at June 30, 2019. The firm's staff size decreased by approximately 170 on July 1, 2019, following the Tampa office closure on June 30.</w:t>
      </w:r>
    </w:p>
    <w:p>
      <w:pPr>
        <w:spacing w:after="0" w:line="292" w:lineRule="exact"/>
        <w:rPr>
          <w:rFonts w:ascii="Arial" w:cs="Arial" w:eastAsia="Arial" w:hAnsi="Arial"/>
          <w:sz w:val="22"/>
          <w:szCs w:val="22"/>
          <w:color w:val="40AEFF"/>
        </w:rPr>
      </w:pPr>
    </w:p>
    <w:p>
      <w:pPr>
        <w:ind w:left="660" w:hanging="328"/>
        <w:spacing w:after="0" w:line="405"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w:t>
      </w:r>
      <w:r>
        <w:rPr>
          <w:rFonts w:ascii="Arial" w:cs="Arial" w:eastAsia="Arial" w:hAnsi="Arial"/>
          <w:sz w:val="18"/>
          <w:szCs w:val="18"/>
          <w:color w:val="auto"/>
        </w:rPr>
        <w:t>includes those costs incurred to distribute T. Rowe Price products and to provide client or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recordkeeping, and administrative services. These costs were $64.4 million in Q2 2019, a decrease of 10.1% from the $71.6 million recognized in Q2 2018. The decrease was primarily driven by client transfers to lower fee vehicles or share classes over the last twelve months.</w:t>
      </w:r>
    </w:p>
    <w:p>
      <w:pPr>
        <w:spacing w:after="0" w:line="199" w:lineRule="exact"/>
        <w:rPr>
          <w:rFonts w:ascii="Arial" w:cs="Arial" w:eastAsia="Arial" w:hAnsi="Arial"/>
          <w:sz w:val="22"/>
          <w:szCs w:val="22"/>
          <w:color w:val="40AEFF"/>
        </w:rPr>
      </w:pPr>
    </w:p>
    <w:p>
      <w:pPr>
        <w:ind w:left="660" w:hanging="328"/>
        <w:spacing w:after="0" w:line="397"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$104.9 million in Q2 2019, an increase of 12.6% compared with the $93.2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Q2 2018. The increase was due primarily to incremental investment in the firm's technology capabilities, including related depreciation, hosted solution licenses, and maintenance programs.</w:t>
      </w:r>
    </w:p>
    <w:p>
      <w:pPr>
        <w:spacing w:after="0" w:line="206" w:lineRule="exact"/>
        <w:rPr>
          <w:rFonts w:ascii="Arial" w:cs="Arial" w:eastAsia="Arial" w:hAnsi="Arial"/>
          <w:sz w:val="22"/>
          <w:szCs w:val="22"/>
          <w:color w:val="40AEFF"/>
        </w:rPr>
      </w:pPr>
    </w:p>
    <w:p>
      <w:pPr>
        <w:ind w:left="660" w:right="120" w:hanging="328"/>
        <w:spacing w:after="0" w:line="397" w:lineRule="auto"/>
        <w:tabs>
          <w:tab w:leader="none" w:pos="660" w:val="left"/>
        </w:tabs>
        <w:numPr>
          <w:ilvl w:val="0"/>
          <w:numId w:val="24"/>
        </w:numPr>
        <w:rPr>
          <w:rFonts w:ascii="Arial" w:cs="Arial" w:eastAsia="Arial" w:hAnsi="Arial"/>
          <w:sz w:val="22"/>
          <w:szCs w:val="22"/>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$74.4 million in Q2 2019, an increase of 1.4% compared with the $73.4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Q2 2018. The increase was primarily a result of higher third-party investment research costs that were partially offset by lower professional fees.</w:t>
      </w:r>
    </w:p>
    <w:p>
      <w:pPr>
        <w:spacing w:after="0" w:line="274" w:lineRule="exact"/>
        <w:rPr>
          <w:sz w:val="20"/>
          <w:szCs w:val="20"/>
          <w:color w:val="auto"/>
        </w:rPr>
      </w:pPr>
    </w:p>
    <w:p>
      <w:pPr>
        <w:spacing w:after="0" w:line="367" w:lineRule="auto"/>
        <w:rPr>
          <w:sz w:val="20"/>
          <w:szCs w:val="20"/>
          <w:color w:val="auto"/>
        </w:rPr>
      </w:pPr>
      <w:r>
        <w:rPr>
          <w:rFonts w:ascii="Arial" w:cs="Arial" w:eastAsia="Arial" w:hAnsi="Arial"/>
          <w:sz w:val="18"/>
          <w:szCs w:val="18"/>
          <w:b w:val="1"/>
          <w:bCs w:val="1"/>
          <w:color w:val="auto"/>
        </w:rPr>
        <w:t xml:space="preserve">Non-operating income </w:t>
      </w:r>
      <w:r>
        <w:rPr>
          <w:rFonts w:ascii="Arial" w:cs="Arial" w:eastAsia="Arial" w:hAnsi="Arial"/>
          <w:sz w:val="18"/>
          <w:szCs w:val="18"/>
          <w:color w:val="auto"/>
        </w:rPr>
        <w:t>was $124.5 million in Q2 2019, compared to $34.1 million in Q2 2018, as strong equity markets led to significant net</w:t>
      </w:r>
      <w:r>
        <w:rPr>
          <w:rFonts w:ascii="Arial" w:cs="Arial" w:eastAsia="Arial" w:hAnsi="Arial"/>
          <w:sz w:val="18"/>
          <w:szCs w:val="18"/>
          <w:b w:val="1"/>
          <w:bCs w:val="1"/>
          <w:color w:val="auto"/>
        </w:rPr>
        <w:t xml:space="preserve"> </w:t>
      </w:r>
      <w:r>
        <w:rPr>
          <w:rFonts w:ascii="Arial" w:cs="Arial" w:eastAsia="Arial" w:hAnsi="Arial"/>
          <w:sz w:val="18"/>
          <w:szCs w:val="18"/>
          <w:color w:val="auto"/>
        </w:rPr>
        <w:t>gains in our investment portfolio. The firm's consolidated investment products comprised a little more than half of the net gains recognized during Q2 2019, while the firm's non-consolidated investments, including its cash and discretionary investments and those used to hedge the supplemental savings plan liability, comprised the remaining net gains. The firm recognized $35.8 million in net gains during Q2 2019 related to its non-consolidated cash and discretionary investments portfolio. The components of non-operating income for the second quarter and the first half of 2019 and 2018 are included in the tables at the end of this release.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900" w:right="259" w:bottom="1440" w:gutter="0" w:footer="0" w:header="0"/>
        </w:sectPr>
      </w:pPr>
    </w:p>
    <w:bookmarkStart w:id="50" w:name="page51"/>
    <w:bookmarkEnd w:id="50"/>
    <w:p>
      <w:pPr>
        <w:ind w:right="60"/>
        <w:spacing w:after="0" w:line="37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firm's effective tax rate for Q2 2019 was 24.8% compared with 26.9% for Q2 2018. These rates contribute to effective tax</w:t>
      </w:r>
      <w:r>
        <w:rPr>
          <w:rFonts w:ascii="Arial" w:cs="Arial" w:eastAsia="Arial" w:hAnsi="Arial"/>
          <w:sz w:val="18"/>
          <w:szCs w:val="18"/>
          <w:b w:val="1"/>
          <w:bCs w:val="1"/>
          <w:color w:val="auto"/>
        </w:rPr>
        <w:t xml:space="preserve"> </w:t>
      </w:r>
      <w:r>
        <w:rPr>
          <w:rFonts w:ascii="Arial" w:cs="Arial" w:eastAsia="Arial" w:hAnsi="Arial"/>
          <w:sz w:val="18"/>
          <w:szCs w:val="18"/>
          <w:color w:val="auto"/>
        </w:rPr>
        <w:t>rates for the first half of 2019 and 2018 of 24.7% and 25.5%, respectively. The income tax provision for Q2 2018 includes nonrecurring charges totaling $28.7 million related to the enactment of U.S. tax reform and Maryland state tax legislation. The following reconciles the statutory federal income tax rate to the firm's effective tax rate for the second quarter and the first half of 2019 and 2018:</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40" w:type="dxa"/>
            <w:vAlign w:val="bottom"/>
            <w:shd w:val="clear" w:color="auto" w:fill="CCEEFF"/>
          </w:tcPr>
          <w:p>
            <w:pPr>
              <w:spacing w:after="0"/>
              <w:rPr>
                <w:sz w:val="22"/>
                <w:szCs w:val="22"/>
                <w:color w:val="auto"/>
              </w:rPr>
            </w:pPr>
          </w:p>
        </w:tc>
        <w:tc>
          <w:tcPr>
            <w:tcW w:w="2580" w:type="dxa"/>
            <w:vAlign w:val="bottom"/>
            <w:tcBorders>
              <w:right w:val="single" w:sz="8" w:color="auto"/>
            </w:tcBorders>
            <w:gridSpan w:val="4"/>
            <w:shd w:val="clear" w:color="auto" w:fill="CCEEFF"/>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22"/>
                <w:szCs w:val="22"/>
                <w:color w:val="auto"/>
              </w:rPr>
            </w:pPr>
          </w:p>
        </w:tc>
        <w:tc>
          <w:tcPr>
            <w:tcW w:w="2600" w:type="dxa"/>
            <w:vAlign w:val="bottom"/>
            <w:gridSpan w:val="3"/>
            <w:shd w:val="clear" w:color="auto" w:fill="CCEEFF"/>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1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6/30/2018</w:t>
            </w:r>
          </w:p>
        </w:tc>
      </w:tr>
      <w:tr>
        <w:trPr>
          <w:trHeight w:val="256"/>
        </w:trPr>
        <w:tc>
          <w:tcPr>
            <w:tcW w:w="6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Statutory U.S. federal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60"/>
        </w:trPr>
        <w:tc>
          <w:tcPr>
            <w:tcW w:w="6140" w:type="dxa"/>
            <w:vAlign w:val="bottom"/>
          </w:tcPr>
          <w:p>
            <w:pPr>
              <w:ind w:left="40"/>
              <w:spacing w:after="0"/>
              <w:rPr>
                <w:sz w:val="20"/>
                <w:szCs w:val="20"/>
                <w:color w:val="auto"/>
              </w:rPr>
            </w:pPr>
            <w:r>
              <w:rPr>
                <w:rFonts w:ascii="Arial" w:cs="Arial" w:eastAsia="Arial" w:hAnsi="Arial"/>
                <w:sz w:val="16"/>
                <w:szCs w:val="16"/>
                <w:color w:val="auto"/>
              </w:rPr>
              <w:t>Impact of nonrecurring charge related to U.S. tax reform</w:t>
            </w:r>
          </w:p>
        </w:tc>
        <w:tc>
          <w:tcPr>
            <w:tcW w:w="13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3.3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1.7</w:t>
            </w:r>
          </w:p>
        </w:tc>
      </w:tr>
      <w:tr>
        <w:trPr>
          <w:trHeight w:val="280"/>
        </w:trPr>
        <w:tc>
          <w:tcPr>
            <w:tcW w:w="6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nonrecurring charge related to new Maryland state tax legislation</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r>
      <w:tr>
        <w:trPr>
          <w:trHeight w:val="270"/>
        </w:trPr>
        <w:tc>
          <w:tcPr>
            <w:tcW w:w="6140" w:type="dxa"/>
            <w:vAlign w:val="bottom"/>
          </w:tcPr>
          <w:p>
            <w:pPr>
              <w:ind w:left="40"/>
              <w:spacing w:after="0"/>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220" w:type="dxa"/>
            <w:vAlign w:val="bottom"/>
          </w:tcPr>
          <w:p>
            <w:pPr>
              <w:jc w:val="right"/>
              <w:ind w:right="1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3.9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4.4</w:t>
            </w:r>
          </w:p>
        </w:tc>
      </w:tr>
      <w:tr>
        <w:trPr>
          <w:trHeight w:val="270"/>
        </w:trPr>
        <w:tc>
          <w:tcPr>
            <w:tcW w:w="6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redeemable non-controlling interests</w:t>
            </w:r>
          </w:p>
        </w:tc>
        <w:tc>
          <w:tcPr>
            <w:tcW w:w="1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r>
      <w:tr>
        <w:trPr>
          <w:trHeight w:val="260"/>
        </w:trPr>
        <w:tc>
          <w:tcPr>
            <w:tcW w:w="6140" w:type="dxa"/>
            <w:vAlign w:val="bottom"/>
          </w:tcPr>
          <w:p>
            <w:pPr>
              <w:ind w:left="4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(2.4)</w:t>
            </w:r>
          </w:p>
        </w:tc>
      </w:tr>
      <w:tr>
        <w:trPr>
          <w:trHeight w:val="273"/>
        </w:trPr>
        <w:tc>
          <w:tcPr>
            <w:tcW w:w="6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items</w:t>
            </w:r>
          </w:p>
        </w:tc>
        <w:tc>
          <w:tcPr>
            <w:tcW w:w="12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r>
      <w:tr>
        <w:trPr>
          <w:trHeight w:val="240"/>
        </w:trPr>
        <w:tc>
          <w:tcPr>
            <w:tcW w:w="614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24.8 %</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8890</wp:posOffset>
            </wp:positionV>
            <wp:extent cx="3353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ind w:left="140" w:hanging="132"/>
        <w:spacing w:after="0"/>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firm estimates its effective tax rate for the full year 2019 will be in the range of 23.5% to 25.5%.</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 Rowe Price remains debt-free with ample liquidity, including cash and investments in T. Rowe Price products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6/30/2019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12/31/2018</w:t>
            </w:r>
          </w:p>
        </w:tc>
      </w:tr>
      <w:tr>
        <w:trPr>
          <w:trHeight w:val="249"/>
        </w:trPr>
        <w:tc>
          <w:tcPr>
            <w:tcW w:w="85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1,802.4</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1,425.2</w:t>
            </w:r>
          </w:p>
        </w:tc>
      </w:tr>
      <w:tr>
        <w:trPr>
          <w:trHeight w:val="270"/>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1,692.5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1,597.1</w:t>
            </w:r>
          </w:p>
        </w:tc>
      </w:tr>
      <w:tr>
        <w:trPr>
          <w:trHeight w:val="250"/>
        </w:trPr>
        <w:tc>
          <w:tcPr>
            <w:tcW w:w="852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3,022.3</w:t>
            </w:r>
          </w:p>
        </w:tc>
      </w:tr>
      <w:tr>
        <w:trPr>
          <w:trHeight w:val="277"/>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1,118.9</w:t>
            </w:r>
          </w:p>
        </w:tc>
      </w:tr>
      <w:tr>
        <w:trPr>
          <w:trHeight w:val="264"/>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381.3</w:t>
            </w:r>
          </w:p>
        </w:tc>
      </w:tr>
      <w:tr>
        <w:trPr>
          <w:trHeight w:val="25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5,195.8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4,522.5</w:t>
            </w: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The firm's common shares outstanding were 235.5 million at June 30, 2019, compared with 238.1 million at the end of 2018.</w:t>
      </w:r>
    </w:p>
    <w:p>
      <w:pPr>
        <w:spacing w:after="0" w:line="200" w:lineRule="exact"/>
        <w:rPr>
          <w:rFonts w:ascii="Arial" w:cs="Arial" w:eastAsia="Arial" w:hAnsi="Arial"/>
          <w:sz w:val="22"/>
          <w:szCs w:val="22"/>
          <w:color w:val="40AEFF"/>
        </w:rPr>
      </w:pPr>
    </w:p>
    <w:p>
      <w:pPr>
        <w:spacing w:after="0" w:line="258" w:lineRule="exact"/>
        <w:rPr>
          <w:rFonts w:ascii="Arial" w:cs="Arial" w:eastAsia="Arial" w:hAnsi="Arial"/>
          <w:sz w:val="22"/>
          <w:szCs w:val="22"/>
          <w:color w:val="40AEFF"/>
        </w:rPr>
      </w:pPr>
    </w:p>
    <w:p>
      <w:pPr>
        <w:ind w:left="340" w:right="40" w:hanging="332"/>
        <w:spacing w:after="0" w:line="381" w:lineRule="auto"/>
        <w:tabs>
          <w:tab w:leader="none" w:pos="340"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In the first half of 2019, the firm expended $393.6 million to repurchase 4.1 million shares, or 1.7%, of its outstanding common shares at an average price of $96.50, including $163.8 million to repurchase 1.6 million shares during Q2 2019.</w:t>
      </w:r>
    </w:p>
    <w:p>
      <w:pPr>
        <w:spacing w:after="0" w:line="309" w:lineRule="exact"/>
        <w:rPr>
          <w:rFonts w:ascii="Arial" w:cs="Arial" w:eastAsia="Arial" w:hAnsi="Arial"/>
          <w:sz w:val="22"/>
          <w:szCs w:val="22"/>
          <w:color w:val="40AEFF"/>
        </w:rPr>
      </w:pPr>
    </w:p>
    <w:p>
      <w:pPr>
        <w:ind w:left="340" w:right="40" w:hanging="332"/>
        <w:spacing w:after="0" w:line="385" w:lineRule="auto"/>
        <w:tabs>
          <w:tab w:leader="none" w:pos="340" w:val="left"/>
        </w:tabs>
        <w:numPr>
          <w:ilvl w:val="0"/>
          <w:numId w:val="26"/>
        </w:numPr>
        <w:rPr>
          <w:rFonts w:ascii="Arial" w:cs="Arial" w:eastAsia="Arial" w:hAnsi="Arial"/>
          <w:sz w:val="22"/>
          <w:szCs w:val="22"/>
          <w:color w:val="40AEFF"/>
        </w:rPr>
      </w:pPr>
      <w:r>
        <w:rPr>
          <w:rFonts w:ascii="Arial" w:cs="Arial" w:eastAsia="Arial" w:hAnsi="Arial"/>
          <w:sz w:val="18"/>
          <w:szCs w:val="18"/>
          <w:color w:val="auto"/>
        </w:rPr>
        <w:t>The firm invested $94.5 million during the first half of 2019 in capitalized facilities and technology and expects capital expenditures for 2019 to be up to $200 million, of which about two-thirds is planned for technology initiatives. These expenditures are expected to continue to be funded from operating resources.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7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Investment Performance</w:t>
      </w:r>
      <w:r>
        <w:rPr>
          <w:rFonts w:ascii="Arial" w:cs="Arial" w:eastAsia="Arial" w:hAnsi="Arial"/>
          <w:sz w:val="21"/>
          <w:szCs w:val="21"/>
          <w:b w:val="1"/>
          <w:bCs w:val="1"/>
          <w:color w:val="auto"/>
          <w:vertAlign w:val="superscript"/>
        </w:rPr>
        <w:t>(1)</w:t>
      </w:r>
    </w:p>
    <w:p>
      <w:pPr>
        <w:spacing w:after="0" w:line="81" w:lineRule="exact"/>
        <w:rPr>
          <w:sz w:val="20"/>
          <w:szCs w:val="20"/>
          <w:color w:val="auto"/>
        </w:rPr>
      </w:pPr>
    </w:p>
    <w:p>
      <w:pPr>
        <w:ind w:right="160"/>
        <w:spacing w:after="0" w:line="397" w:lineRule="auto"/>
        <w:rPr>
          <w:sz w:val="20"/>
          <w:szCs w:val="20"/>
          <w:color w:val="auto"/>
        </w:rPr>
      </w:pPr>
      <w:r>
        <w:rPr>
          <w:rFonts w:ascii="Arial" w:cs="Arial" w:eastAsia="Arial" w:hAnsi="Arial"/>
          <w:sz w:val="18"/>
          <w:szCs w:val="18"/>
          <w:color w:val="auto"/>
        </w:rPr>
        <w:t>The percentage of the firm's U.S. mutual funds</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June 30, 2019, were: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1 year</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54"/>
        </w:trPr>
        <w:tc>
          <w:tcPr>
            <w:tcW w:w="3780" w:type="dxa"/>
            <w:vAlign w:val="bottom"/>
          </w:tcPr>
          <w:p>
            <w:pPr>
              <w:ind w:left="40"/>
              <w:spacing w:after="0"/>
              <w:rPr>
                <w:sz w:val="20"/>
                <w:szCs w:val="20"/>
                <w:color w:val="auto"/>
              </w:rPr>
            </w:pPr>
            <w:r>
              <w:rPr>
                <w:rFonts w:ascii="Arial" w:cs="Arial" w:eastAsia="Arial" w:hAnsi="Arial"/>
                <w:sz w:val="16"/>
                <w:szCs w:val="16"/>
                <w:color w:val="auto"/>
              </w:rPr>
              <w:t>Outperformed Morningstar median</w:t>
            </w: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r>
      <w:tr>
        <w:trPr>
          <w:trHeight w:val="28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78%</w:t>
            </w:r>
          </w:p>
        </w:tc>
      </w:tr>
      <w:tr>
        <w:trPr>
          <w:trHeight w:val="260"/>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89%</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82%</w:t>
            </w:r>
          </w:p>
        </w:tc>
        <w:tc>
          <w:tcPr>
            <w:tcW w:w="10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84%</w:t>
            </w:r>
          </w:p>
        </w:tc>
      </w:tr>
      <w:tr>
        <w:trPr>
          <w:trHeight w:val="172"/>
        </w:trPr>
        <w:tc>
          <w:tcPr>
            <w:tcW w:w="3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Top Morningstar quartile</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80"/>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29%</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51%</w:t>
            </w:r>
          </w:p>
        </w:tc>
      </w:tr>
      <w:tr>
        <w:trPr>
          <w:trHeight w:val="251"/>
        </w:trPr>
        <w:tc>
          <w:tcPr>
            <w:tcW w:w="378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28%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79%</w:t>
            </w:r>
          </w:p>
        </w:tc>
      </w:tr>
    </w:tbl>
    <w:p>
      <w:pPr>
        <w:spacing w:after="0" w:line="2" w:lineRule="exact"/>
        <w:rPr>
          <w:sz w:val="20"/>
          <w:szCs w:val="20"/>
          <w:color w:val="auto"/>
        </w:rPr>
      </w:pPr>
    </w:p>
    <w:p>
      <w:pPr>
        <w:jc w:val="both"/>
        <w:ind w:left="180" w:right="200" w:hanging="172"/>
        <w:spacing w:after="0" w:line="244" w:lineRule="auto"/>
        <w:tabs>
          <w:tab w:leader="none" w:pos="153" w:val="left"/>
        </w:tabs>
        <w:numPr>
          <w:ilvl w:val="0"/>
          <w:numId w:val="27"/>
        </w:numPr>
        <w:rPr>
          <w:rFonts w:ascii="Arial" w:cs="Arial" w:eastAsia="Arial" w:hAnsi="Arial"/>
          <w:sz w:val="9"/>
          <w:szCs w:val="9"/>
          <w:i w:val="1"/>
          <w:iCs w:val="1"/>
          <w:color w:val="auto"/>
        </w:rPr>
      </w:pPr>
      <w:r>
        <w:rPr>
          <w:rFonts w:ascii="Arial" w:cs="Arial" w:eastAsia="Arial" w:hAnsi="Arial"/>
          <w:sz w:val="13"/>
          <w:szCs w:val="13"/>
          <w:i w:val="1"/>
          <w:iCs w:val="1"/>
          <w:color w:val="auto"/>
        </w:rPr>
        <w:t>Source: © 2019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1" w:lineRule="exact"/>
        <w:rPr>
          <w:rFonts w:ascii="Arial" w:cs="Arial" w:eastAsia="Arial" w:hAnsi="Arial"/>
          <w:sz w:val="9"/>
          <w:szCs w:val="9"/>
          <w:i w:val="1"/>
          <w:iCs w:val="1"/>
          <w:color w:val="auto"/>
        </w:rPr>
      </w:pPr>
    </w:p>
    <w:p>
      <w:pPr>
        <w:ind w:left="160" w:hanging="152"/>
        <w:spacing w:after="0"/>
        <w:tabs>
          <w:tab w:leader="none" w:pos="160" w:val="left"/>
        </w:tabs>
        <w:numPr>
          <w:ilvl w:val="0"/>
          <w:numId w:val="27"/>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369" w:lineRule="exact"/>
        <w:rPr>
          <w:sz w:val="20"/>
          <w:szCs w:val="20"/>
          <w:color w:val="auto"/>
        </w:rPr>
      </w:pPr>
    </w:p>
    <w:p>
      <w:pPr>
        <w:ind w:right="120"/>
        <w:spacing w:after="0" w:line="365" w:lineRule="auto"/>
        <w:rPr>
          <w:sz w:val="20"/>
          <w:szCs w:val="20"/>
          <w:color w:val="auto"/>
        </w:rPr>
      </w:pPr>
      <w:r>
        <w:rPr>
          <w:rFonts w:ascii="Arial" w:cs="Arial" w:eastAsia="Arial" w:hAnsi="Arial"/>
          <w:sz w:val="18"/>
          <w:szCs w:val="18"/>
          <w:color w:val="auto"/>
        </w:rPr>
        <w:t>In addition, 86.2% of the firm's rated U.S. mutual funds' assets under management ended the quarter with an overall rating of four or five stars from Morningstar. The performance of the firm's institutional strategies against their benchmarks remains competitive, especially over longer time periods.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5" w:lineRule="exact"/>
        <w:rPr>
          <w:sz w:val="20"/>
          <w:szCs w:val="20"/>
          <w:color w:val="auto"/>
        </w:rPr>
      </w:pPr>
    </w:p>
    <w:p>
      <w:pPr>
        <w:ind w:right="420"/>
        <w:spacing w:after="0" w:line="365"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second quarter of 2019 with the U.S. Securities and Exchange Commission later today. The Form 10-Q will include additional information on the firm's unaudited consolidated financial results at June 30, 2019.</w:t>
      </w:r>
    </w:p>
    <w:p>
      <w:pPr>
        <w:spacing w:after="0" w:line="204" w:lineRule="exact"/>
        <w:rPr>
          <w:sz w:val="20"/>
          <w:szCs w:val="20"/>
          <w:color w:val="auto"/>
        </w:rPr>
      </w:pPr>
    </w:p>
    <w:p>
      <w:pPr>
        <w:ind w:right="20"/>
        <w:spacing w:after="0" w:line="362"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tax rates, and expectations regarding financial results, future transactions, new products and services, investments, capital expenditures, dividends, stock repurchases, the timing of the assumption of all third party research payments, changes in our effective fee rate, and other market conditions. For a discussion concerning risks and other factors that could affect future results, see the firm's 2018 Form 10-K.</w:t>
      </w:r>
    </w:p>
    <w:p>
      <w:pPr>
        <w:spacing w:after="0" w:line="185" w:lineRule="exact"/>
        <w:rPr>
          <w:sz w:val="20"/>
          <w:szCs w:val="20"/>
          <w:color w:val="auto"/>
        </w:rPr>
      </w:pPr>
    </w:p>
    <w:p>
      <w:pPr>
        <w:ind w:right="100"/>
        <w:spacing w:after="0" w:line="372"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8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054C70"/>
                <w:w w:val="98"/>
              </w:rPr>
              <w:t>Public Relations</w:t>
            </w:r>
          </w:p>
        </w:tc>
        <w:tc>
          <w:tcPr>
            <w:tcW w:w="2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054C70"/>
              </w:rPr>
              <w:t>Investor Relations</w:t>
            </w:r>
          </w:p>
        </w:tc>
      </w:tr>
      <w:tr>
        <w:trPr>
          <w:trHeight w:val="291"/>
        </w:trPr>
        <w:tc>
          <w:tcPr>
            <w:tcW w:w="40" w:type="dxa"/>
            <w:vAlign w:val="bottom"/>
          </w:tcPr>
          <w:p>
            <w:pPr>
              <w:spacing w:after="0"/>
              <w:rPr>
                <w:sz w:val="24"/>
                <w:szCs w:val="24"/>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Meghan Azevedo</w:t>
            </w:r>
          </w:p>
        </w:tc>
        <w:tc>
          <w:tcPr>
            <w:tcW w:w="1460" w:type="dxa"/>
            <w:vAlign w:val="bottom"/>
          </w:tcPr>
          <w:p>
            <w:pPr>
              <w:spacing w:after="0"/>
              <w:rPr>
                <w:sz w:val="24"/>
                <w:szCs w:val="24"/>
                <w:color w:val="auto"/>
              </w:rPr>
            </w:pP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3B3B3B"/>
              </w:rPr>
              <w:t>410-345-2242</w:t>
            </w:r>
          </w:p>
        </w:tc>
        <w:tc>
          <w:tcPr>
            <w:tcW w:w="2740" w:type="dxa"/>
            <w:vAlign w:val="bottom"/>
          </w:tcPr>
          <w:p>
            <w:pPr>
              <w:spacing w:after="0"/>
              <w:rPr>
                <w:sz w:val="23"/>
                <w:szCs w:val="23"/>
                <w:color w:val="auto"/>
              </w:rPr>
            </w:pPr>
          </w:p>
        </w:tc>
        <w:tc>
          <w:tcPr>
            <w:tcW w:w="3920" w:type="dxa"/>
            <w:vAlign w:val="bottom"/>
            <w:gridSpan w:val="2"/>
          </w:tcPr>
          <w:p>
            <w:pPr>
              <w:ind w:left="2360"/>
              <w:spacing w:after="0"/>
              <w:rPr>
                <w:sz w:val="20"/>
                <w:szCs w:val="20"/>
                <w:color w:val="auto"/>
              </w:rPr>
            </w:pPr>
            <w:r>
              <w:rPr>
                <w:rFonts w:ascii="Arial" w:cs="Arial" w:eastAsia="Arial" w:hAnsi="Arial"/>
                <w:sz w:val="18"/>
                <w:szCs w:val="18"/>
                <w:color w:val="3B3B3B"/>
              </w:rPr>
              <w:t>410-345-2756</w:t>
            </w:r>
          </w:p>
        </w:tc>
        <w:tc>
          <w:tcPr>
            <w:tcW w:w="14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054C70"/>
              </w:rPr>
              <w:t>brian_lewbart@troweprice.com</w:t>
            </w:r>
          </w:p>
        </w:tc>
        <w:tc>
          <w:tcPr>
            <w:tcW w:w="2360" w:type="dxa"/>
            <w:vAlign w:val="bottom"/>
          </w:tcPr>
          <w:p>
            <w:pPr>
              <w:spacing w:after="0"/>
              <w:rPr>
                <w:sz w:val="23"/>
                <w:szCs w:val="23"/>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054C70"/>
                <w:w w:val="99"/>
              </w:rPr>
              <w:t>meghan_azevedo@troweprice.com</w:t>
            </w:r>
          </w:p>
        </w:tc>
      </w:tr>
      <w:tr>
        <w:trPr>
          <w:trHeight w:val="689"/>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827" w:right="239" w:bottom="1440" w:gutter="0" w:footer="0" w:header="0"/>
        </w:sectPr>
      </w:pPr>
    </w:p>
    <w:bookmarkStart w:id="52" w:name="page53"/>
    <w:bookmarkEnd w:id="52"/>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166370</wp:posOffset>
            </wp:positionH>
            <wp:positionV relativeFrom="page">
              <wp:posOffset>620395</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t>Unaudited Consolidated Statements of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160" w:type="dxa"/>
            <w:vAlign w:val="bottom"/>
            <w:tcBorders>
              <w:right w:val="single" w:sz="8" w:color="auto"/>
            </w:tcBorders>
            <w:gridSpan w:val="5"/>
            <w:shd w:val="clear" w:color="auto" w:fill="CCEEFF"/>
          </w:tcPr>
          <w:p>
            <w:pPr>
              <w:ind w:left="280"/>
              <w:spacing w:after="0"/>
              <w:rPr>
                <w:sz w:val="20"/>
                <w:szCs w:val="20"/>
                <w:color w:val="auto"/>
              </w:rPr>
            </w:pPr>
            <w:r>
              <w:rPr>
                <w:rFonts w:ascii="Arial" w:cs="Arial" w:eastAsia="Arial" w:hAnsi="Arial"/>
                <w:sz w:val="14"/>
                <w:szCs w:val="14"/>
                <w:color w:val="auto"/>
              </w:rPr>
              <w:t>Three months ended</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0" w:type="dxa"/>
            <w:vAlign w:val="bottom"/>
            <w:gridSpan w:val="4"/>
            <w:shd w:val="clear" w:color="auto" w:fill="CCEEFF"/>
          </w:tcPr>
          <w:p>
            <w:pPr>
              <w:jc w:val="right"/>
              <w:ind w:right="408"/>
              <w:spacing w:after="0"/>
              <w:rPr>
                <w:sz w:val="20"/>
                <w:szCs w:val="20"/>
                <w:color w:val="auto"/>
              </w:rPr>
            </w:pPr>
            <w:r>
              <w:rPr>
                <w:rFonts w:ascii="Arial" w:cs="Arial" w:eastAsia="Arial" w:hAnsi="Arial"/>
                <w:sz w:val="14"/>
                <w:szCs w:val="14"/>
                <w:color w:val="auto"/>
              </w:rPr>
              <w:t>Six months ended</w:t>
            </w:r>
          </w:p>
        </w:tc>
      </w:tr>
      <w:tr>
        <w:trPr>
          <w:trHeight w:val="258"/>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6/30/2018</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6/30/2019</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6/30/2018</w:t>
            </w:r>
          </w:p>
        </w:tc>
      </w:tr>
      <w:tr>
        <w:trPr>
          <w:trHeight w:val="256"/>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1,214.4</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2,403.6</w:t>
            </w:r>
          </w:p>
        </w:tc>
      </w:tr>
      <w:tr>
        <w:trPr>
          <w:trHeight w:val="264"/>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Administrative, distribution, and servicing fees</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130.6</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269.4</w:t>
            </w:r>
          </w:p>
        </w:tc>
      </w:tr>
      <w:tr>
        <w:trPr>
          <w:trHeight w:val="250"/>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Net revenues</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1,395.2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1,345.0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2,722.5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2,673.0</w:t>
            </w:r>
          </w:p>
        </w:tc>
      </w:tr>
      <w:tr>
        <w:trPr>
          <w:trHeight w:val="121"/>
        </w:trPr>
        <w:tc>
          <w:tcPr>
            <w:tcW w:w="6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840" w:type="dxa"/>
            <w:vAlign w:val="bottom"/>
          </w:tcPr>
          <w:p>
            <w:pPr>
              <w:ind w:left="140"/>
              <w:spacing w:after="0"/>
              <w:rPr>
                <w:sz w:val="20"/>
                <w:szCs w:val="20"/>
                <w:color w:val="auto"/>
              </w:rPr>
            </w:pPr>
            <w:r>
              <w:rPr>
                <w:rFonts w:ascii="Arial" w:cs="Arial" w:eastAsia="Arial" w:hAnsi="Arial"/>
                <w:sz w:val="14"/>
                <w:szCs w:val="14"/>
                <w:color w:val="auto"/>
              </w:rPr>
              <w:t>Compensation and related costs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456.0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897.4</w:t>
            </w:r>
          </w:p>
        </w:tc>
      </w:tr>
      <w:tr>
        <w:trPr>
          <w:trHeight w:val="276"/>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 and servicing</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141.9</w:t>
            </w:r>
          </w:p>
        </w:tc>
      </w:tr>
      <w:tr>
        <w:trPr>
          <w:trHeight w:val="264"/>
        </w:trPr>
        <w:tc>
          <w:tcPr>
            <w:tcW w:w="6840" w:type="dxa"/>
            <w:vAlign w:val="bottom"/>
          </w:tcPr>
          <w:p>
            <w:pPr>
              <w:ind w:left="140"/>
              <w:spacing w:after="0"/>
              <w:rPr>
                <w:sz w:val="20"/>
                <w:szCs w:val="20"/>
                <w:color w:val="auto"/>
              </w:rPr>
            </w:pPr>
            <w:r>
              <w:rPr>
                <w:rFonts w:ascii="Arial" w:cs="Arial" w:eastAsia="Arial" w:hAnsi="Arial"/>
                <w:sz w:val="14"/>
                <w:szCs w:val="14"/>
                <w:color w:val="auto"/>
              </w:rPr>
              <w:t>Advertising and promotion</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43.6</w:t>
            </w:r>
          </w:p>
        </w:tc>
      </w:tr>
      <w:tr>
        <w:trPr>
          <w:trHeight w:val="276"/>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Product-related costs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w:t>
            </w:r>
          </w:p>
        </w:tc>
      </w:tr>
      <w:tr>
        <w:trPr>
          <w:trHeight w:val="264"/>
        </w:trPr>
        <w:tc>
          <w:tcPr>
            <w:tcW w:w="6840" w:type="dxa"/>
            <w:vAlign w:val="bottom"/>
          </w:tcPr>
          <w:p>
            <w:pPr>
              <w:ind w:left="140"/>
              <w:spacing w:after="0"/>
              <w:rPr>
                <w:sz w:val="20"/>
                <w:szCs w:val="20"/>
                <w:color w:val="auto"/>
              </w:rPr>
            </w:pPr>
            <w:r>
              <w:rPr>
                <w:rFonts w:ascii="Arial" w:cs="Arial" w:eastAsia="Arial" w:hAnsi="Arial"/>
                <w:sz w:val="14"/>
                <w:szCs w:val="14"/>
                <w:color w:val="auto"/>
              </w:rPr>
              <w:t>Technology, occupancy, and facility costs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93.2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187.3</w:t>
            </w:r>
          </w:p>
        </w:tc>
      </w:tr>
      <w:tr>
        <w:trPr>
          <w:trHeight w:val="270"/>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administrative, and other</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73.4</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145.1</w:t>
            </w:r>
          </w:p>
        </w:tc>
      </w:tr>
      <w:tr>
        <w:trPr>
          <w:trHeight w:val="25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780.1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750.3</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1,574.9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1,494.5</w:t>
            </w:r>
          </w:p>
        </w:tc>
      </w:tr>
      <w:tr>
        <w:trPr>
          <w:trHeight w:val="175"/>
        </w:trPr>
        <w:tc>
          <w:tcPr>
            <w:tcW w:w="6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615.1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594.7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1,147.6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1,178.5</w:t>
            </w:r>
          </w:p>
        </w:tc>
      </w:tr>
      <w:tr>
        <w:trPr>
          <w:trHeight w:val="182"/>
        </w:trPr>
        <w:tc>
          <w:tcPr>
            <w:tcW w:w="6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Non-operating income</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gains on investments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w:t>
            </w:r>
          </w:p>
        </w:tc>
      </w:tr>
      <w:tr>
        <w:trPr>
          <w:trHeight w:val="264"/>
        </w:trPr>
        <w:tc>
          <w:tcPr>
            <w:tcW w:w="6840" w:type="dxa"/>
            <w:vAlign w:val="bottom"/>
          </w:tcPr>
          <w:p>
            <w:pPr>
              <w:ind w:left="160"/>
              <w:spacing w:after="0"/>
              <w:rPr>
                <w:sz w:val="20"/>
                <w:szCs w:val="20"/>
                <w:color w:val="auto"/>
              </w:rPr>
            </w:pPr>
            <w:r>
              <w:rPr>
                <w:rFonts w:ascii="Arial" w:cs="Arial" w:eastAsia="Arial" w:hAnsi="Arial"/>
                <w:sz w:val="14"/>
                <w:szCs w:val="14"/>
                <w:color w:val="auto"/>
              </w:rPr>
              <w:t>Net gains on consolidated investment products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19.9</w:t>
            </w:r>
          </w:p>
        </w:tc>
      </w:tr>
      <w:tr>
        <w:trPr>
          <w:trHeight w:val="270"/>
        </w:trPr>
        <w:tc>
          <w:tcPr>
            <w:tcW w:w="6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 (loss)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5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non-operating income</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124.5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34.1</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327.3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50.2</w:t>
            </w:r>
          </w:p>
        </w:tc>
      </w:tr>
      <w:tr>
        <w:trPr>
          <w:trHeight w:val="162"/>
        </w:trPr>
        <w:tc>
          <w:tcPr>
            <w:tcW w:w="6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628.8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1,474.9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1,228.7</w:t>
            </w:r>
          </w:p>
        </w:tc>
      </w:tr>
      <w:tr>
        <w:trPr>
          <w:trHeight w:val="270"/>
        </w:trPr>
        <w:tc>
          <w:tcPr>
            <w:tcW w:w="6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169.2</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313.6</w:t>
            </w:r>
          </w:p>
        </w:tc>
      </w:tr>
      <w:tr>
        <w:trPr>
          <w:trHeight w:val="250"/>
        </w:trPr>
        <w:tc>
          <w:tcPr>
            <w:tcW w:w="6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459.6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915.1</w:t>
            </w:r>
          </w:p>
        </w:tc>
      </w:tr>
      <w:tr>
        <w:trPr>
          <w:trHeight w:val="270"/>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attributable to redeemable non-controlling interests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r>
      <w:tr>
        <w:trPr>
          <w:trHeight w:val="250"/>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 Rowe Price Group</w:t>
            </w: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527.5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448.9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1,040.1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902.6</w:t>
            </w:r>
          </w:p>
        </w:tc>
      </w:tr>
      <w:tr>
        <w:trPr>
          <w:trHeight w:val="270"/>
        </w:trPr>
        <w:tc>
          <w:tcPr>
            <w:tcW w:w="6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r>
      <w:tr>
        <w:trPr>
          <w:trHeight w:val="28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allocated to T. Rowe Price Group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513.7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438.4</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1,013.3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881.5</w:t>
            </w:r>
          </w:p>
        </w:tc>
      </w:tr>
      <w:tr>
        <w:trPr>
          <w:trHeight w:val="210"/>
        </w:trPr>
        <w:tc>
          <w:tcPr>
            <w:tcW w:w="6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3"/>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3.62</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1.77</w:t>
            </w:r>
          </w:p>
        </w:tc>
        <w:tc>
          <w:tcPr>
            <w:tcW w:w="120" w:type="dxa"/>
            <w:vAlign w:val="bottom"/>
            <w:tcBorders>
              <w:bottom w:val="single" w:sz="8" w:color="CCEEFF"/>
              <w:right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3.55</w:t>
            </w:r>
          </w:p>
        </w:tc>
      </w:tr>
      <w:tr>
        <w:trPr>
          <w:trHeight w:val="170"/>
        </w:trPr>
        <w:tc>
          <w:tcPr>
            <w:tcW w:w="6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64"/>
        </w:trPr>
        <w:tc>
          <w:tcPr>
            <w:tcW w:w="684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3"/>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243.2</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6840" w:type="dxa"/>
            <w:vAlign w:val="bottom"/>
          </w:tcPr>
          <w:p>
            <w:pPr>
              <w:ind w:left="140"/>
              <w:spacing w:after="0"/>
              <w:rPr>
                <w:sz w:val="20"/>
                <w:szCs w:val="20"/>
                <w:color w:val="auto"/>
              </w:rPr>
            </w:pPr>
            <w:r>
              <w:rPr>
                <w:rFonts w:ascii="Arial" w:cs="Arial" w:eastAsia="Arial" w:hAnsi="Arial"/>
                <w:sz w:val="14"/>
                <w:szCs w:val="14"/>
                <w:color w:val="auto"/>
              </w:rPr>
              <w:t>Outstanding assuming dilution</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248.6</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1045"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Investment Advisory Revenues (in millions)</w:t>
            </w:r>
          </w:p>
        </w:tc>
        <w:tc>
          <w:tcPr>
            <w:tcW w:w="5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220" w:type="dxa"/>
            <w:vAlign w:val="bottom"/>
            <w:tcBorders>
              <w:bottom w:val="single" w:sz="8" w:color="auto"/>
            </w:tcBorders>
            <w:gridSpan w:val="6"/>
            <w:shd w:val="clear" w:color="auto" w:fill="CCEEFF"/>
          </w:tcPr>
          <w:p>
            <w:pPr>
              <w:jc w:val="right"/>
              <w:ind w:right="468"/>
              <w:spacing w:after="0"/>
              <w:rPr>
                <w:sz w:val="20"/>
                <w:szCs w:val="20"/>
                <w:color w:val="auto"/>
              </w:rPr>
            </w:pPr>
            <w:r>
              <w:rPr>
                <w:rFonts w:ascii="Arial" w:cs="Arial" w:eastAsia="Arial" w:hAnsi="Arial"/>
                <w:sz w:val="14"/>
                <w:szCs w:val="14"/>
                <w:color w:val="auto"/>
              </w:rPr>
              <w:t>Three months ended</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gridSpan w:val="4"/>
            <w:shd w:val="clear" w:color="auto" w:fill="CCEEFF"/>
          </w:tcPr>
          <w:p>
            <w:pPr>
              <w:jc w:val="right"/>
              <w:ind w:right="508"/>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6/30/2019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6/30/2018</w:t>
            </w: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6/30/2019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6/30/2018</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736.8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718.0</w:t>
            </w:r>
          </w:p>
        </w:tc>
        <w:tc>
          <w:tcPr>
            <w:tcW w:w="120" w:type="dxa"/>
            <w:vAlign w:val="bottom"/>
            <w:tcBorders>
              <w:right w:val="single" w:sz="8" w:color="auto"/>
            </w:tcBorders>
          </w:tcPr>
          <w:p>
            <w:pPr>
              <w:spacing w:after="0"/>
              <w:rPr>
                <w:sz w:val="22"/>
                <w:szCs w:val="22"/>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1,431.3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1,423.5</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128.9</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860.7</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846.9</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1,679.8</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346.1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308.0</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664.9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605.0</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59.5</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409.5</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367.5</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787.8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723.8</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1,214.4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2,403.6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1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 Under Management (in billions)</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60" w:type="dxa"/>
            <w:vAlign w:val="bottom"/>
            <w:gridSpan w:val="8"/>
            <w:shd w:val="clear" w:color="auto" w:fill="CCEEFF"/>
          </w:tcPr>
          <w:p>
            <w:pPr>
              <w:ind w:left="600"/>
              <w:spacing w:after="0"/>
              <w:rPr>
                <w:sz w:val="20"/>
                <w:szCs w:val="20"/>
                <w:color w:val="auto"/>
              </w:rPr>
            </w:pPr>
            <w:r>
              <w:rPr>
                <w:rFonts w:ascii="Arial" w:cs="Arial" w:eastAsia="Arial" w:hAnsi="Arial"/>
                <w:sz w:val="14"/>
                <w:szCs w:val="14"/>
                <w:color w:val="auto"/>
              </w:rPr>
              <w:t>Average during</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60" w:type="dxa"/>
            <w:vAlign w:val="bottom"/>
            <w:tcBorders>
              <w:right w:val="single" w:sz="8" w:color="auto"/>
            </w:tcBorders>
            <w:gridSpan w:val="5"/>
          </w:tcPr>
          <w:p>
            <w:pPr>
              <w:ind w:left="40"/>
              <w:spacing w:after="0"/>
              <w:rPr>
                <w:sz w:val="20"/>
                <w:szCs w:val="20"/>
                <w:color w:val="auto"/>
              </w:rPr>
            </w:pPr>
            <w:r>
              <w:rPr>
                <w:rFonts w:ascii="Arial" w:cs="Arial" w:eastAsia="Arial" w:hAnsi="Arial"/>
                <w:sz w:val="14"/>
                <w:szCs w:val="14"/>
                <w:color w:val="auto"/>
              </w:rPr>
              <w:t>Three months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20" w:type="dxa"/>
            <w:vAlign w:val="bottom"/>
            <w:gridSpan w:val="6"/>
          </w:tcPr>
          <w:p>
            <w:pPr>
              <w:jc w:val="right"/>
              <w:ind w:right="528"/>
              <w:spacing w:after="0"/>
              <w:rPr>
                <w:sz w:val="20"/>
                <w:szCs w:val="20"/>
                <w:color w:val="auto"/>
              </w:rPr>
            </w:pPr>
            <w:r>
              <w:rPr>
                <w:rFonts w:ascii="Arial" w:cs="Arial" w:eastAsia="Arial" w:hAnsi="Arial"/>
                <w:sz w:val="14"/>
                <w:szCs w:val="14"/>
                <w:color w:val="auto"/>
              </w:rPr>
              <w:t>Six months ended</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As of</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8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6/30/2019</w:t>
            </w:r>
          </w:p>
        </w:tc>
        <w:tc>
          <w:tcPr>
            <w:tcW w:w="1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6/30/2018</w:t>
            </w:r>
          </w:p>
        </w:tc>
        <w:tc>
          <w:tcPr>
            <w:tcW w:w="140" w:type="dxa"/>
            <w:vAlign w:val="bottom"/>
            <w:tcBorders>
              <w:top w:val="single" w:sz="8" w:color="CCEEFF"/>
              <w:right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6/30/2019</w:t>
            </w:r>
          </w:p>
        </w:tc>
        <w:tc>
          <w:tcPr>
            <w:tcW w:w="40" w:type="dxa"/>
            <w:vAlign w:val="bottom"/>
            <w:tcBorders>
              <w:top w:val="single" w:sz="8" w:color="auto"/>
              <w:bottom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6/30/2018</w:t>
            </w: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6/30/2019</w:t>
            </w:r>
          </w:p>
        </w:tc>
        <w:tc>
          <w:tcPr>
            <w:tcW w:w="1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Arial" w:cs="Arial" w:eastAsia="Arial" w:hAnsi="Arial"/>
                <w:sz w:val="14"/>
                <w:szCs w:val="14"/>
                <w:color w:val="auto"/>
              </w:rPr>
              <w:t>12/31/2018</w:t>
            </w:r>
          </w:p>
        </w:tc>
        <w:tc>
          <w:tcPr>
            <w:tcW w:w="0" w:type="dxa"/>
            <w:vAlign w:val="bottom"/>
          </w:tcPr>
          <w:p>
            <w:pPr>
              <w:spacing w:after="0"/>
              <w:rPr>
                <w:sz w:val="1"/>
                <w:szCs w:val="1"/>
                <w:color w:val="auto"/>
              </w:rPr>
            </w:pPr>
          </w:p>
        </w:tc>
      </w:tr>
      <w:tr>
        <w:trPr>
          <w:trHeight w:val="258"/>
        </w:trPr>
        <w:tc>
          <w:tcPr>
            <w:tcW w:w="3780" w:type="dxa"/>
            <w:vAlign w:val="bottom"/>
          </w:tcPr>
          <w:p>
            <w:pPr>
              <w:ind w:left="40"/>
              <w:spacing w:after="0"/>
              <w:rPr>
                <w:sz w:val="20"/>
                <w:szCs w:val="20"/>
                <w:color w:val="auto"/>
              </w:rPr>
            </w:pPr>
            <w:r>
              <w:rPr>
                <w:rFonts w:ascii="Arial" w:cs="Arial" w:eastAsia="Arial" w:hAnsi="Arial"/>
                <w:sz w:val="14"/>
                <w:szCs w:val="14"/>
                <w:color w:val="auto"/>
              </w:rPr>
              <w:t>U.S. mutual funds</w:t>
            </w: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496.1</w:t>
            </w:r>
          </w:p>
        </w:tc>
        <w:tc>
          <w:tcPr>
            <w:tcW w:w="140" w:type="dxa"/>
            <w:vAlign w:val="bottom"/>
            <w:tcBorders>
              <w:right w:val="single" w:sz="8" w:color="auto"/>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495.4</w:t>
            </w:r>
          </w:p>
        </w:tc>
        <w:tc>
          <w:tcPr>
            <w:tcW w:w="120" w:type="dxa"/>
            <w:vAlign w:val="bottom"/>
            <w:tcBorders>
              <w:right w:val="single" w:sz="8" w:color="auto"/>
            </w:tcBorders>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128.5</w:t>
            </w:r>
          </w:p>
        </w:tc>
        <w:tc>
          <w:tcPr>
            <w:tcW w:w="140" w:type="dxa"/>
            <w:vAlign w:val="bottom"/>
            <w:tcBorders>
              <w:bottom w:val="single" w:sz="8" w:color="CCEEFF"/>
              <w:right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127.9</w:t>
            </w: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638.5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624.6</w:t>
            </w:r>
          </w:p>
        </w:tc>
        <w:tc>
          <w:tcPr>
            <w:tcW w:w="140" w:type="dxa"/>
            <w:vAlign w:val="bottom"/>
            <w:tcBorders>
              <w:right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624.4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623.3</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564.5</w:t>
            </w: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w:t>
            </w: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products</w:t>
            </w: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356.3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314.9</w:t>
            </w:r>
          </w:p>
        </w:tc>
        <w:tc>
          <w:tcPr>
            <w:tcW w:w="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344.6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311.6</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368.8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299.2</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97.0</w:t>
            </w:r>
          </w:p>
        </w:tc>
        <w:tc>
          <w:tcPr>
            <w:tcW w:w="14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96.1</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411.9</w:t>
            </w:r>
          </w:p>
        </w:tc>
        <w:tc>
          <w:tcPr>
            <w:tcW w:w="140" w:type="dxa"/>
            <w:vAlign w:val="bottom"/>
            <w:tcBorders>
              <w:bottom w:val="single" w:sz="8" w:color="CCEEFF"/>
              <w:right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447.4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407.7</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1,036.5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1,071.8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1,031.0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400" w:type="dxa"/>
            <w:vAlign w:val="bottom"/>
            <w:gridSpan w:val="8"/>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r>
              <w:rPr>
                <w:rFonts w:ascii="Arial" w:cs="Arial" w:eastAsia="Arial" w:hAnsi="Arial"/>
                <w:sz w:val="17"/>
                <w:szCs w:val="17"/>
                <w:b w:val="1"/>
                <w:bCs w:val="1"/>
                <w:color w:val="auto"/>
                <w:vertAlign w:val="superscript"/>
              </w:rPr>
              <w:t>(1)(2)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rPr>
              <w:t>Three months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84"/>
        </w:trPr>
        <w:tc>
          <w:tcPr>
            <w:tcW w:w="6400" w:type="dxa"/>
            <w:vAlign w:val="bottom"/>
            <w:gridSpan w:val="8"/>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rPr>
              <w:t>ended</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billions)</w:t>
            </w: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ind w:right="128"/>
              <w:spacing w:after="0"/>
              <w:rPr>
                <w:sz w:val="20"/>
                <w:szCs w:val="20"/>
                <w:color w:val="auto"/>
              </w:rPr>
            </w:pPr>
            <w:r>
              <w:rPr>
                <w:rFonts w:ascii="Arial" w:cs="Arial" w:eastAsia="Arial" w:hAnsi="Arial"/>
                <w:sz w:val="14"/>
                <w:szCs w:val="14"/>
                <w:color w:val="auto"/>
              </w:rPr>
              <w:t>6/30/2019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color w:val="auto"/>
              </w:rPr>
              <w:t>6/30/2019</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net cash flows after client transfers</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8890</wp:posOffset>
            </wp:positionV>
            <wp:extent cx="15093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140" w:hanging="132"/>
        <w:spacing w:after="0"/>
        <w:tabs>
          <w:tab w:leader="none" w:pos="140" w:val="left"/>
        </w:tabs>
        <w:numPr>
          <w:ilvl w:val="0"/>
          <w:numId w:val="28"/>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The asset class net cash flows above include, in addition to net client flows, rebalancing within the target date portfolios in order to maintain their targeted asset allocations.</w:t>
      </w:r>
    </w:p>
    <w:p>
      <w:pPr>
        <w:ind w:left="160" w:hanging="152"/>
        <w:spacing w:after="0"/>
        <w:tabs>
          <w:tab w:leader="none" w:pos="160" w:val="left"/>
        </w:tabs>
        <w:numPr>
          <w:ilvl w:val="0"/>
          <w:numId w:val="28"/>
        </w:numPr>
        <w:rPr>
          <w:rFonts w:ascii="Arial" w:cs="Arial" w:eastAsia="Arial" w:hAnsi="Arial"/>
          <w:sz w:val="9"/>
          <w:szCs w:val="9"/>
          <w:i w:val="1"/>
          <w:iCs w:val="1"/>
          <w:color w:val="auto"/>
        </w:rPr>
      </w:pPr>
      <w:r>
        <w:rPr>
          <w:rFonts w:ascii="Arial" w:cs="Arial" w:eastAsia="Arial" w:hAnsi="Arial"/>
          <w:sz w:val="13"/>
          <w:szCs w:val="13"/>
          <w:i w:val="1"/>
          <w:iCs w:val="1"/>
          <w:color w:val="auto"/>
        </w:rPr>
        <w:t>The underlying assets of the multi-asset portfolios that invest in T. Rowe Price products have been broken out and included in their respective vehicle and asset class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77"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Non-Operating Income (in millions)</w:t>
            </w:r>
          </w:p>
        </w:tc>
        <w:tc>
          <w:tcPr>
            <w:tcW w:w="260" w:type="dxa"/>
            <w:vAlign w:val="bottom"/>
            <w:shd w:val="clear" w:color="auto" w:fill="CCEEFF"/>
          </w:tcPr>
          <w:p>
            <w:pPr>
              <w:spacing w:after="0"/>
              <w:rPr>
                <w:sz w:val="22"/>
                <w:szCs w:val="22"/>
                <w:color w:val="auto"/>
              </w:rPr>
            </w:pPr>
          </w:p>
        </w:tc>
        <w:tc>
          <w:tcPr>
            <w:tcW w:w="2300" w:type="dxa"/>
            <w:vAlign w:val="bottom"/>
            <w:tcBorders>
              <w:right w:val="single" w:sz="8" w:color="auto"/>
            </w:tcBorders>
            <w:gridSpan w:val="5"/>
            <w:shd w:val="clear" w:color="auto" w:fill="CCEEFF"/>
          </w:tcPr>
          <w:p>
            <w:pPr>
              <w:ind w:left="320"/>
              <w:spacing w:after="0"/>
              <w:rPr>
                <w:sz w:val="20"/>
                <w:szCs w:val="20"/>
                <w:color w:val="auto"/>
              </w:rPr>
            </w:pPr>
            <w:r>
              <w:rPr>
                <w:rFonts w:ascii="Arial" w:cs="Arial" w:eastAsia="Arial" w:hAnsi="Arial"/>
                <w:sz w:val="14"/>
                <w:szCs w:val="14"/>
                <w:color w:val="auto"/>
              </w:rPr>
              <w:t>Three months ended</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100" w:type="dxa"/>
            <w:vAlign w:val="bottom"/>
            <w:gridSpan w:val="4"/>
            <w:shd w:val="clear" w:color="auto" w:fill="CCEEFF"/>
          </w:tcPr>
          <w:p>
            <w:pPr>
              <w:jc w:val="right"/>
              <w:ind w:right="508"/>
              <w:spacing w:after="0"/>
              <w:rPr>
                <w:sz w:val="20"/>
                <w:szCs w:val="20"/>
                <w:color w:val="auto"/>
              </w:rPr>
            </w:pPr>
            <w:r>
              <w:rPr>
                <w:rFonts w:ascii="Arial" w:cs="Arial" w:eastAsia="Arial" w:hAnsi="Arial"/>
                <w:sz w:val="14"/>
                <w:szCs w:val="14"/>
                <w:color w:val="auto"/>
              </w:rPr>
              <w:t>Six months ended</w:t>
            </w:r>
          </w:p>
        </w:tc>
      </w:tr>
      <w:tr>
        <w:trPr>
          <w:trHeight w:val="264"/>
        </w:trPr>
        <w:tc>
          <w:tcPr>
            <w:tcW w:w="64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6/30/2019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6/30/2018</w:t>
            </w:r>
          </w:p>
        </w:tc>
        <w:tc>
          <w:tcPr>
            <w:tcW w:w="12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6/30/2019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6/30/2018</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Cash and discretionary investments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Market related gains (losses) and equity in earnings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76"/>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Seed capital investments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6400" w:type="dxa"/>
            <w:vAlign w:val="bottom"/>
          </w:tcPr>
          <w:p>
            <w:pPr>
              <w:ind w:left="280"/>
              <w:spacing w:after="0"/>
              <w:rPr>
                <w:sz w:val="20"/>
                <w:szCs w:val="20"/>
                <w:color w:val="auto"/>
              </w:rPr>
            </w:pPr>
            <w:r>
              <w:rPr>
                <w:rFonts w:ascii="Arial" w:cs="Arial" w:eastAsia="Arial" w:hAnsi="Arial"/>
                <w:sz w:val="14"/>
                <w:szCs w:val="14"/>
                <w:color w:val="auto"/>
              </w:rPr>
              <w:t>Dividend income</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6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Market related gains (losses) and equity in earnings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64"/>
        </w:trPr>
        <w:tc>
          <w:tcPr>
            <w:tcW w:w="6400" w:type="dxa"/>
            <w:vAlign w:val="bottom"/>
          </w:tcPr>
          <w:p>
            <w:pPr>
              <w:ind w:left="180"/>
              <w:spacing w:after="0"/>
              <w:rPr>
                <w:sz w:val="20"/>
                <w:szCs w:val="20"/>
                <w:color w:val="auto"/>
              </w:rPr>
            </w:pPr>
            <w:r>
              <w:rPr>
                <w:rFonts w:ascii="Arial" w:cs="Arial" w:eastAsia="Arial" w:hAnsi="Arial"/>
                <w:sz w:val="14"/>
                <w:szCs w:val="14"/>
                <w:color w:val="auto"/>
              </w:rPr>
              <w:t>Net gain recognized upon deconsolidation</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Total net gains from non-consolidated T. Rowe Price investment products</w:t>
            </w:r>
          </w:p>
        </w:tc>
        <w:tc>
          <w:tcPr>
            <w:tcW w:w="2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57.0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6.2</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17.2</w:t>
            </w:r>
          </w:p>
        </w:tc>
      </w:tr>
      <w:tr>
        <w:trPr>
          <w:trHeight w:val="27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investment income</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Borders>
              <w:right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Net gains on investments</w:t>
            </w:r>
          </w:p>
        </w:tc>
        <w:tc>
          <w:tcPr>
            <w:tcW w:w="260" w:type="dxa"/>
            <w:vAlign w:val="bottom"/>
          </w:tcPr>
          <w:p>
            <w:pPr>
              <w:spacing w:after="0"/>
              <w:rPr>
                <w:sz w:val="21"/>
                <w:szCs w:val="21"/>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61.8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17.4</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31.8</w:t>
            </w: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gains on consolidated sponsored investment portfolios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(loss), including foreign currency gains and losses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right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Non-operating income</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50.2</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127"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752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2752725"/>
                    </a:xfrm>
                    <a:prstGeom prst="rect">
                      <a:avLst/>
                    </a:prstGeom>
                    <a:noFill/>
                  </pic:spPr>
                </pic:pic>
              </a:graphicData>
            </a:graphic>
          </wp:anchor>
        </w:drawing>
      </w:r>
    </w:p>
    <w:p>
      <w:pPr>
        <w:sectPr>
          <w:pgSz w:w="11900" w:h="16838" w:orient="portrait"/>
          <w:cols w:equalWidth="0" w:num="1">
            <w:col w:w="11420"/>
          </w:cols>
          <w:pgMar w:left="240" w:top="9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40"/>
        <w:spacing w:after="0" w:line="247" w:lineRule="auto"/>
        <w:rPr>
          <w:sz w:val="20"/>
          <w:szCs w:val="20"/>
          <w:color w:val="auto"/>
        </w:rPr>
      </w:pPr>
      <w:r>
        <w:rPr>
          <w:rFonts w:ascii="Arial" w:cs="Arial" w:eastAsia="Arial" w:hAnsi="Arial"/>
          <w:sz w:val="14"/>
          <w:szCs w:val="14"/>
          <w:color w:val="auto"/>
        </w:rPr>
        <w:t>Cash provided by (used in) operating activities, including $90.7 of stock-based compensation expense and $86.0 of depreciation expense in 2019</w:t>
      </w:r>
    </w:p>
    <w:p>
      <w:pPr>
        <w:spacing w:after="0" w:line="40" w:lineRule="exact"/>
        <w:rPr>
          <w:sz w:val="20"/>
          <w:szCs w:val="20"/>
          <w:color w:val="auto"/>
        </w:rPr>
      </w:pPr>
    </w:p>
    <w:p>
      <w:pPr>
        <w:ind w:left="40" w:right="40"/>
        <w:spacing w:after="0" w:line="244" w:lineRule="auto"/>
        <w:rPr>
          <w:sz w:val="20"/>
          <w:szCs w:val="20"/>
          <w:color w:val="auto"/>
        </w:rPr>
      </w:pPr>
      <w:r>
        <w:rPr>
          <w:rFonts w:ascii="Arial" w:cs="Arial" w:eastAsia="Arial" w:hAnsi="Arial"/>
          <w:sz w:val="14"/>
          <w:szCs w:val="14"/>
          <w:color w:val="auto"/>
        </w:rPr>
        <w:t>Cash provided by (used in) investing activities attributable to T. Rowe Price Group in 2019, including ($94.5) for additions to property and equipment and ($34.9) of additions to T. Rowe Price investment products</w:t>
      </w:r>
    </w:p>
    <w:p>
      <w:pPr>
        <w:spacing w:after="0" w:line="44" w:lineRule="exact"/>
        <w:rPr>
          <w:sz w:val="20"/>
          <w:szCs w:val="20"/>
          <w:color w:val="auto"/>
        </w:rPr>
      </w:pPr>
    </w:p>
    <w:p>
      <w:pPr>
        <w:ind w:left="40" w:right="60"/>
        <w:spacing w:after="0" w:line="247" w:lineRule="auto"/>
        <w:rPr>
          <w:sz w:val="20"/>
          <w:szCs w:val="20"/>
          <w:color w:val="auto"/>
        </w:rPr>
      </w:pPr>
      <w:r>
        <w:rPr>
          <w:rFonts w:ascii="Arial" w:cs="Arial" w:eastAsia="Arial" w:hAnsi="Arial"/>
          <w:sz w:val="14"/>
          <w:szCs w:val="14"/>
          <w:color w:val="auto"/>
        </w:rPr>
        <w:t>Cash provided by (used in) financing activities, including T. Rowe Price Group common stock repurchases of ($402.8)* and dividends paid of ($367.8) in 2019</w:t>
      </w:r>
    </w:p>
    <w:p>
      <w:pPr>
        <w:spacing w:after="0" w:line="40" w:lineRule="exact"/>
        <w:rPr>
          <w:sz w:val="20"/>
          <w:szCs w:val="20"/>
          <w:color w:val="auto"/>
        </w:rPr>
      </w:pPr>
    </w:p>
    <w:p>
      <w:pPr>
        <w:ind w:left="40" w:right="20"/>
        <w:spacing w:after="0" w:line="258"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32"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6/30/2019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6/30/2018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Cash flow</w:t>
            </w:r>
          </w:p>
        </w:tc>
        <w:tc>
          <w:tcPr>
            <w:tcW w:w="1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240"/>
              <w:spacing w:after="0" w:line="144" w:lineRule="exact"/>
              <w:rPr>
                <w:sz w:val="20"/>
                <w:szCs w:val="20"/>
                <w:color w:val="auto"/>
              </w:rPr>
            </w:pPr>
            <w:r>
              <w:rPr>
                <w:rFonts w:ascii="Arial" w:cs="Arial" w:eastAsia="Arial" w:hAnsi="Arial"/>
                <w:sz w:val="14"/>
                <w:szCs w:val="14"/>
                <w:color w:val="auto"/>
              </w:rPr>
              <w:t>Cash flow attributable to</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200"/>
              <w:spacing w:after="0" w:line="144" w:lineRule="exact"/>
              <w:rPr>
                <w:sz w:val="20"/>
                <w:szCs w:val="20"/>
                <w:color w:val="auto"/>
              </w:rPr>
            </w:pPr>
            <w:r>
              <w:rPr>
                <w:rFonts w:ascii="Arial" w:cs="Arial" w:eastAsia="Arial" w:hAnsi="Arial"/>
                <w:sz w:val="14"/>
                <w:szCs w:val="14"/>
                <w:color w:val="auto"/>
              </w:rPr>
              <w:t>consolidated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color w:val="auto"/>
              </w:rPr>
              <w:t>consolidated</w:t>
            </w: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color w:val="auto"/>
              </w:rPr>
              <w:t>As reported on</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color w:val="auto"/>
              </w:rPr>
              <w:t>T. Rowe Price investment</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color w:val="auto"/>
              </w:rPr>
              <w:t>T. Rowe Price investment</w:t>
            </w: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statement of</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4"/>
                <w:szCs w:val="14"/>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Group</w:t>
            </w: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color w:val="auto"/>
              </w:rPr>
              <w:t>products, net of eliminations</w:t>
            </w: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rPr>
              <w:t>cash flows</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w:t>
            </w:r>
          </w:p>
        </w:tc>
        <w:tc>
          <w:tcPr>
            <w:tcW w:w="120" w:type="dxa"/>
            <w:vAlign w:val="bottom"/>
          </w:tcPr>
          <w:p>
            <w:pPr>
              <w:spacing w:after="0"/>
              <w:rPr>
                <w:sz w:val="17"/>
                <w:szCs w:val="17"/>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7"/>
                <w:szCs w:val="17"/>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676"/>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1,243.0</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(294.2)</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948.8</w:t>
            </w:r>
          </w:p>
        </w:tc>
        <w:tc>
          <w:tcPr>
            <w:tcW w:w="2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1,328.6</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(399.3)</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(174.0)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(1,040.7)</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(944.0)</w:t>
            </w:r>
          </w:p>
        </w:tc>
      </w:tr>
      <w:tr>
        <w:trPr>
          <w:trHeight w:val="702"/>
        </w:trPr>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(691.8)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190.3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(706.2)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318.0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(388.2)</w:t>
            </w:r>
          </w:p>
        </w:tc>
      </w:tr>
      <w:tr>
        <w:trPr>
          <w:trHeight w:val="384"/>
        </w:trPr>
        <w:tc>
          <w:tcPr>
            <w:tcW w:w="3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345"/>
        </w:trPr>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377.2</w:t>
            </w: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417.8</w:t>
            </w:r>
          </w:p>
        </w:tc>
        <w:tc>
          <w:tcPr>
            <w:tcW w:w="2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(418.3)</w:t>
            </w: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(409.5)</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2">
            <w:col w:w="2660" w:space="80"/>
            <w:col w:w="8680"/>
          </w:cols>
          <w:pgMar w:left="240" w:top="977" w:right="2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77"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64"/>
        </w:trPr>
        <w:tc>
          <w:tcPr>
            <w:tcW w:w="20" w:type="dxa"/>
            <w:vAlign w:val="bottom"/>
            <w:shd w:val="clear" w:color="auto" w:fill="CCEEFF"/>
          </w:tcPr>
          <w:p>
            <w:pPr>
              <w:spacing w:after="0"/>
              <w:rPr>
                <w:sz w:val="22"/>
                <w:szCs w:val="22"/>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Condensed Consolidated Balance Sheet Information (in millions)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3"/>
              </w:rPr>
              <w:t>As of</w:t>
            </w:r>
          </w:p>
        </w:tc>
        <w:tc>
          <w:tcPr>
            <w:tcW w:w="11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54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6/30/2019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12/31/2018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1,802.4</w:t>
            </w: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1,425.2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Accounts receivable and accrued revenue</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619.8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549.6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2,575.2</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2,453.4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Assets of consolidated T. Rowe Price investment products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2,203.4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1,680.4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661.3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665.7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665.7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 including operating lease assets in 2019</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373.8</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253.7</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8,912.3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7,689.3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56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Total liabilities, includes $102.5 at June 30, 2019, and $38.7 at December 31, 2018, from consolidated T. Rowe Price investment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824.7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1,012.3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740.3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CCEEFF"/>
            </w:tcBorders>
          </w:tcPr>
          <w:p>
            <w:pPr>
              <w:spacing w:after="0"/>
              <w:rPr>
                <w:sz w:val="5"/>
                <w:szCs w:val="5"/>
                <w:color w:val="auto"/>
              </w:rPr>
            </w:pPr>
          </w:p>
        </w:tc>
        <w:tc>
          <w:tcPr>
            <w:tcW w:w="548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 235.5 common shares outstanding at June 30, 2019</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6,579.1</w:t>
            </w:r>
          </w:p>
        </w:tc>
        <w:tc>
          <w:tcPr>
            <w:tcW w:w="4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6,124.3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Net assets of</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consolidated 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color w:val="auto"/>
              </w:rPr>
              <w:t>Cash and cash</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Rowe Price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equivalents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Investments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investment products</w:t>
            </w:r>
          </w:p>
        </w:tc>
        <w:tc>
          <w:tcPr>
            <w:tcW w:w="120" w:type="dxa"/>
            <w:vAlign w:val="bottom"/>
            <w:tcBorders>
              <w:bottom w:val="single" w:sz="8" w:color="CCEEFF"/>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6/30/2019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discretionary investments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1,627.3</w:t>
            </w:r>
          </w:p>
        </w:tc>
        <w:tc>
          <w:tcPr>
            <w:tcW w:w="100" w:type="dxa"/>
            <w:vAlign w:val="bottom"/>
            <w:shd w:val="clear" w:color="auto" w:fill="CCEEFF"/>
          </w:tcPr>
          <w:p>
            <w:pPr>
              <w:spacing w:after="0"/>
              <w:rPr>
                <w:sz w:val="23"/>
                <w:szCs w:val="23"/>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42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8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236.2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1,023.4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Total cash and investments in T. Rowe Price products attributable to T. Rowe</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Price Group</w:t>
            </w:r>
          </w:p>
        </w:tc>
        <w:tc>
          <w:tcPr>
            <w:tcW w:w="28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1,802.4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2,304.8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1,088.6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5,195.8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Investment in UTI and other investments</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Total cash and investments attributable to T. Rowe Price Group</w:t>
            </w: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1,802.4</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2,575.2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1,088.6</w:t>
            </w:r>
          </w:p>
        </w:tc>
        <w:tc>
          <w:tcPr>
            <w:tcW w:w="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5,466.2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1,012.3</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As reported on unaudited condensed consolidated balance sheet at June 30,</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1,802.4</w:t>
            </w:r>
          </w:p>
        </w:tc>
        <w:tc>
          <w:tcPr>
            <w:tcW w:w="120" w:type="dxa"/>
            <w:vAlign w:val="bottom"/>
          </w:tcPr>
          <w:p>
            <w:pPr>
              <w:spacing w:after="0"/>
              <w:rPr>
                <w:sz w:val="13"/>
                <w:szCs w:val="13"/>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2,575.2</w:t>
            </w:r>
          </w:p>
        </w:tc>
        <w:tc>
          <w:tcPr>
            <w:tcW w:w="100" w:type="dxa"/>
            <w:vAlign w:val="bottom"/>
          </w:tcPr>
          <w:p>
            <w:pPr>
              <w:spacing w:after="0"/>
              <w:rPr>
                <w:sz w:val="13"/>
                <w:szCs w:val="13"/>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2,100.9</w:t>
            </w:r>
          </w:p>
        </w:tc>
        <w:tc>
          <w:tcPr>
            <w:tcW w:w="4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6,478.5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2019</w:t>
            </w:r>
          </w:p>
        </w:tc>
        <w:tc>
          <w:tcPr>
            <w:tcW w:w="2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420" w:type="dxa"/>
            <w:vAlign w:val="bottom"/>
            <w:gridSpan w:val="4"/>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7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228" w:lineRule="exact"/>
        <w:rPr>
          <w:sz w:val="20"/>
          <w:szCs w:val="20"/>
          <w:color w:val="auto"/>
        </w:rPr>
      </w:pPr>
    </w:p>
    <w:p>
      <w:pPr>
        <w:ind w:right="240"/>
        <w:spacing w:after="0" w:line="413" w:lineRule="auto"/>
        <w:rPr>
          <w:sz w:val="20"/>
          <w:szCs w:val="20"/>
          <w:color w:val="auto"/>
        </w:rPr>
      </w:pPr>
      <w:r>
        <w:rPr>
          <w:rFonts w:ascii="Arial" w:cs="Arial" w:eastAsia="Arial" w:hAnsi="Arial"/>
          <w:sz w:val="16"/>
          <w:szCs w:val="16"/>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 The following schedules reconcile U.S. GAAP financial measures to non-GAAP financial measures for the three months ended June 30, 2019 and 2018.</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6"/>
                <w:szCs w:val="16"/>
                <w:b w:val="1"/>
                <w:bCs w:val="1"/>
                <w:color w:val="auto"/>
              </w:rPr>
              <w:t>Three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198"/>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Provision</w:t>
            </w: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attributable to T.</w:t>
            </w:r>
          </w:p>
        </w:tc>
        <w:tc>
          <w:tcPr>
            <w:tcW w:w="10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Diluted</w:t>
            </w: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operating</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(benefit) for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Rowe Price</w:t>
            </w:r>
          </w:p>
        </w:tc>
        <w:tc>
          <w:tcPr>
            <w:tcW w:w="10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rPr>
              <w:t>earnings per</w:t>
            </w:r>
          </w:p>
        </w:tc>
      </w:tr>
      <w:tr>
        <w:trPr>
          <w:trHeight w:val="234"/>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w:t>
            </w:r>
          </w:p>
        </w:tc>
        <w:tc>
          <w:tcPr>
            <w:tcW w:w="1360" w:type="dxa"/>
            <w:vAlign w:val="bottom"/>
            <w:gridSpan w:val="3"/>
          </w:tcPr>
          <w:p>
            <w:pPr>
              <w:ind w:left="40"/>
              <w:spacing w:after="0" w:line="234" w:lineRule="exact"/>
              <w:rPr>
                <w:sz w:val="20"/>
                <w:szCs w:val="20"/>
                <w:color w:val="auto"/>
              </w:rPr>
            </w:pPr>
            <w:r>
              <w:rPr>
                <w:rFonts w:ascii="Arial" w:cs="Arial" w:eastAsia="Arial" w:hAnsi="Arial"/>
                <w:sz w:val="16"/>
                <w:szCs w:val="16"/>
                <w:b w:val="1"/>
                <w:bCs w:val="1"/>
                <w:color w:val="auto"/>
              </w:rPr>
              <w:t>income taxes</w:t>
            </w:r>
            <w:r>
              <w:rPr>
                <w:rFonts w:ascii="Arial" w:cs="Arial" w:eastAsia="Arial" w:hAnsi="Arial"/>
                <w:sz w:val="21"/>
                <w:szCs w:val="21"/>
                <w:b w:val="1"/>
                <w:bCs w:val="1"/>
                <w:color w:val="auto"/>
                <w:vertAlign w:val="superscript"/>
              </w:rPr>
              <w:t>(6)</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Group</w:t>
            </w:r>
          </w:p>
        </w:tc>
        <w:tc>
          <w:tcPr>
            <w:tcW w:w="100" w:type="dxa"/>
            <w:vAlign w:val="bottom"/>
          </w:tcPr>
          <w:p>
            <w:pPr>
              <w:spacing w:after="0"/>
              <w:rPr>
                <w:sz w:val="20"/>
                <w:szCs w:val="20"/>
                <w:color w:val="auto"/>
              </w:rPr>
            </w:pPr>
          </w:p>
        </w:tc>
        <w:tc>
          <w:tcPr>
            <w:tcW w:w="1140" w:type="dxa"/>
            <w:vAlign w:val="bottom"/>
          </w:tcPr>
          <w:p>
            <w:pPr>
              <w:jc w:val="center"/>
              <w:ind w:right="59"/>
              <w:spacing w:after="0" w:line="234" w:lineRule="exact"/>
              <w:rPr>
                <w:sz w:val="20"/>
                <w:szCs w:val="20"/>
                <w:color w:val="auto"/>
              </w:rPr>
            </w:pPr>
            <w:r>
              <w:rPr>
                <w:rFonts w:ascii="Arial" w:cs="Arial" w:eastAsia="Arial" w:hAnsi="Arial"/>
                <w:sz w:val="16"/>
                <w:szCs w:val="16"/>
                <w:b w:val="1"/>
                <w:bCs w:val="1"/>
                <w:color w:val="auto"/>
                <w:w w:val="93"/>
              </w:rPr>
              <w:t>share</w:t>
            </w:r>
            <w:r>
              <w:rPr>
                <w:rFonts w:ascii="Arial" w:cs="Arial" w:eastAsia="Arial" w:hAnsi="Arial"/>
                <w:sz w:val="21"/>
                <w:szCs w:val="21"/>
                <w:b w:val="1"/>
                <w:bCs w:val="1"/>
                <w:color w:val="auto"/>
                <w:w w:val="93"/>
                <w:vertAlign w:val="superscript"/>
              </w:rPr>
              <w:t>(7)</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780.1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615.1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527.5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r>
      <w:tr>
        <w:trPr>
          <w:trHeight w:val="260"/>
        </w:trPr>
        <w:tc>
          <w:tcPr>
            <w:tcW w:w="354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3"/>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3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70"/>
        </w:trPr>
        <w:tc>
          <w:tcPr>
            <w:tcW w:w="354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.01</w:t>
            </w:r>
          </w:p>
        </w:tc>
      </w:tr>
      <w:tr>
        <w:trPr>
          <w:trHeight w:val="270"/>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4"/>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764.6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632.8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498.1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35"/>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35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6"/>
                <w:szCs w:val="16"/>
                <w:b w:val="1"/>
                <w:bCs w:val="1"/>
                <w:color w:val="auto"/>
              </w:rPr>
              <w:t>Three months ended 6/30/2018</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198"/>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Provision</w:t>
            </w: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attributable to T.</w:t>
            </w:r>
          </w:p>
        </w:tc>
        <w:tc>
          <w:tcPr>
            <w:tcW w:w="10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Diluted</w:t>
            </w: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operating</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(benefit) for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Rowe Price</w:t>
            </w:r>
          </w:p>
        </w:tc>
        <w:tc>
          <w:tcPr>
            <w:tcW w:w="10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rPr>
              <w:t>earnings per</w:t>
            </w:r>
          </w:p>
        </w:tc>
      </w:tr>
      <w:tr>
        <w:trPr>
          <w:trHeight w:val="234"/>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w:t>
            </w:r>
          </w:p>
        </w:tc>
        <w:tc>
          <w:tcPr>
            <w:tcW w:w="1360" w:type="dxa"/>
            <w:vAlign w:val="bottom"/>
            <w:gridSpan w:val="3"/>
          </w:tcPr>
          <w:p>
            <w:pPr>
              <w:ind w:left="40"/>
              <w:spacing w:after="0" w:line="234" w:lineRule="exact"/>
              <w:rPr>
                <w:sz w:val="20"/>
                <w:szCs w:val="20"/>
                <w:color w:val="auto"/>
              </w:rPr>
            </w:pPr>
            <w:r>
              <w:rPr>
                <w:rFonts w:ascii="Arial" w:cs="Arial" w:eastAsia="Arial" w:hAnsi="Arial"/>
                <w:sz w:val="16"/>
                <w:szCs w:val="16"/>
                <w:b w:val="1"/>
                <w:bCs w:val="1"/>
                <w:color w:val="auto"/>
              </w:rPr>
              <w:t>income taxes</w:t>
            </w:r>
            <w:r>
              <w:rPr>
                <w:rFonts w:ascii="Arial" w:cs="Arial" w:eastAsia="Arial" w:hAnsi="Arial"/>
                <w:sz w:val="21"/>
                <w:szCs w:val="21"/>
                <w:b w:val="1"/>
                <w:bCs w:val="1"/>
                <w:color w:val="auto"/>
                <w:vertAlign w:val="superscript"/>
              </w:rPr>
              <w:t>(6)</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Group</w:t>
            </w:r>
          </w:p>
        </w:tc>
        <w:tc>
          <w:tcPr>
            <w:tcW w:w="100" w:type="dxa"/>
            <w:vAlign w:val="bottom"/>
          </w:tcPr>
          <w:p>
            <w:pPr>
              <w:spacing w:after="0"/>
              <w:rPr>
                <w:sz w:val="20"/>
                <w:szCs w:val="20"/>
                <w:color w:val="auto"/>
              </w:rPr>
            </w:pPr>
          </w:p>
        </w:tc>
        <w:tc>
          <w:tcPr>
            <w:tcW w:w="1140" w:type="dxa"/>
            <w:vAlign w:val="bottom"/>
          </w:tcPr>
          <w:p>
            <w:pPr>
              <w:jc w:val="center"/>
              <w:ind w:right="59"/>
              <w:spacing w:after="0" w:line="234" w:lineRule="exact"/>
              <w:rPr>
                <w:sz w:val="20"/>
                <w:szCs w:val="20"/>
                <w:color w:val="auto"/>
              </w:rPr>
            </w:pPr>
            <w:r>
              <w:rPr>
                <w:rFonts w:ascii="Arial" w:cs="Arial" w:eastAsia="Arial" w:hAnsi="Arial"/>
                <w:sz w:val="16"/>
                <w:szCs w:val="16"/>
                <w:b w:val="1"/>
                <w:bCs w:val="1"/>
                <w:color w:val="auto"/>
                <w:w w:val="93"/>
              </w:rPr>
              <w:t>share</w:t>
            </w:r>
            <w:r>
              <w:rPr>
                <w:rFonts w:ascii="Arial" w:cs="Arial" w:eastAsia="Arial" w:hAnsi="Arial"/>
                <w:sz w:val="21"/>
                <w:szCs w:val="21"/>
                <w:b w:val="1"/>
                <w:bCs w:val="1"/>
                <w:color w:val="auto"/>
                <w:w w:val="93"/>
                <w:vertAlign w:val="superscript"/>
              </w:rPr>
              <w:t>(7)</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750.3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594.7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448.9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r>
      <w:tr>
        <w:trPr>
          <w:trHeight w:val="260"/>
        </w:trPr>
        <w:tc>
          <w:tcPr>
            <w:tcW w:w="354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3"/>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3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70"/>
        </w:trPr>
        <w:tc>
          <w:tcPr>
            <w:tcW w:w="354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Pr>
          <w:p>
            <w:pPr>
              <w:ind w:left="160"/>
              <w:spacing w:after="0"/>
              <w:rPr>
                <w:sz w:val="20"/>
                <w:szCs w:val="20"/>
                <w:color w:val="auto"/>
              </w:rPr>
            </w:pPr>
            <w:r>
              <w:rPr>
                <w:rFonts w:ascii="Arial" w:cs="Arial" w:eastAsia="Arial" w:hAnsi="Arial"/>
                <w:sz w:val="16"/>
                <w:szCs w:val="16"/>
                <w:color w:val="auto"/>
              </w:rPr>
              <w:t>Nonrecurring charge related to</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40" w:type="dxa"/>
            <w:vAlign w:val="bottom"/>
          </w:tcPr>
          <w:p>
            <w:pPr>
              <w:ind w:left="20"/>
              <w:spacing w:after="0" w:line="219" w:lineRule="exact"/>
              <w:rPr>
                <w:sz w:val="20"/>
                <w:szCs w:val="20"/>
                <w:color w:val="auto"/>
              </w:rPr>
            </w:pPr>
            <w:r>
              <w:rPr>
                <w:rFonts w:ascii="Arial" w:cs="Arial" w:eastAsia="Arial" w:hAnsi="Arial"/>
                <w:sz w:val="16"/>
                <w:szCs w:val="16"/>
                <w:color w:val="auto"/>
              </w:rPr>
              <w:t>enactment of U.S. tax reform</w:t>
            </w:r>
            <w:r>
              <w:rPr>
                <w:rFonts w:ascii="Arial" w:cs="Arial" w:eastAsia="Arial" w:hAnsi="Arial"/>
                <w:sz w:val="21"/>
                <w:szCs w:val="21"/>
                <w:color w:val="auto"/>
                <w:vertAlign w:val="superscript"/>
              </w:rPr>
              <w:t>(4)</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.08</w:t>
            </w:r>
          </w:p>
        </w:tc>
      </w:tr>
      <w:tr>
        <w:trPr>
          <w:trHeight w:val="218"/>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Nonrecurring charge related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enactment of Maryland state tax</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9"/>
        </w:trPr>
        <w:tc>
          <w:tcPr>
            <w:tcW w:w="3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legislation</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r>
      <w:tr>
        <w:trPr>
          <w:trHeight w:val="234"/>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745.3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601.1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472.8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95" w:right="2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The following schedules reconcile certain U.S. GAAP financial measures for the six months ended June 30, 2019 and 2018.</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6"/>
                <w:szCs w:val="16"/>
                <w:b w:val="1"/>
                <w:bCs w:val="1"/>
                <w:color w:val="auto"/>
              </w:rPr>
              <w:t>Six months ended 6/30/2019</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198"/>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Provision</w:t>
            </w: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attributable to T.</w:t>
            </w:r>
          </w:p>
        </w:tc>
        <w:tc>
          <w:tcPr>
            <w:tcW w:w="10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Diluted</w:t>
            </w: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operating</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(benefit) for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Rowe Price</w:t>
            </w:r>
          </w:p>
        </w:tc>
        <w:tc>
          <w:tcPr>
            <w:tcW w:w="10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rPr>
              <w:t>earnings per</w:t>
            </w:r>
          </w:p>
        </w:tc>
      </w:tr>
      <w:tr>
        <w:trPr>
          <w:trHeight w:val="234"/>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w:t>
            </w:r>
          </w:p>
        </w:tc>
        <w:tc>
          <w:tcPr>
            <w:tcW w:w="1360" w:type="dxa"/>
            <w:vAlign w:val="bottom"/>
            <w:gridSpan w:val="3"/>
          </w:tcPr>
          <w:p>
            <w:pPr>
              <w:ind w:left="40"/>
              <w:spacing w:after="0" w:line="234" w:lineRule="exact"/>
              <w:rPr>
                <w:sz w:val="20"/>
                <w:szCs w:val="20"/>
                <w:color w:val="auto"/>
              </w:rPr>
            </w:pPr>
            <w:r>
              <w:rPr>
                <w:rFonts w:ascii="Arial" w:cs="Arial" w:eastAsia="Arial" w:hAnsi="Arial"/>
                <w:sz w:val="16"/>
                <w:szCs w:val="16"/>
                <w:b w:val="1"/>
                <w:bCs w:val="1"/>
                <w:color w:val="auto"/>
              </w:rPr>
              <w:t>income taxes</w:t>
            </w:r>
            <w:r>
              <w:rPr>
                <w:rFonts w:ascii="Arial" w:cs="Arial" w:eastAsia="Arial" w:hAnsi="Arial"/>
                <w:sz w:val="21"/>
                <w:szCs w:val="21"/>
                <w:b w:val="1"/>
                <w:bCs w:val="1"/>
                <w:color w:val="auto"/>
                <w:vertAlign w:val="superscript"/>
              </w:rPr>
              <w:t>(6)</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Group</w:t>
            </w:r>
          </w:p>
        </w:tc>
        <w:tc>
          <w:tcPr>
            <w:tcW w:w="100" w:type="dxa"/>
            <w:vAlign w:val="bottom"/>
          </w:tcPr>
          <w:p>
            <w:pPr>
              <w:spacing w:after="0"/>
              <w:rPr>
                <w:sz w:val="20"/>
                <w:szCs w:val="20"/>
                <w:color w:val="auto"/>
              </w:rPr>
            </w:pPr>
          </w:p>
        </w:tc>
        <w:tc>
          <w:tcPr>
            <w:tcW w:w="1140" w:type="dxa"/>
            <w:vAlign w:val="bottom"/>
          </w:tcPr>
          <w:p>
            <w:pPr>
              <w:jc w:val="center"/>
              <w:ind w:right="59"/>
              <w:spacing w:after="0" w:line="234" w:lineRule="exact"/>
              <w:rPr>
                <w:sz w:val="20"/>
                <w:szCs w:val="20"/>
                <w:color w:val="auto"/>
              </w:rPr>
            </w:pPr>
            <w:r>
              <w:rPr>
                <w:rFonts w:ascii="Arial" w:cs="Arial" w:eastAsia="Arial" w:hAnsi="Arial"/>
                <w:sz w:val="16"/>
                <w:szCs w:val="16"/>
                <w:b w:val="1"/>
                <w:bCs w:val="1"/>
                <w:color w:val="auto"/>
                <w:w w:val="93"/>
              </w:rPr>
              <w:t>share</w:t>
            </w:r>
            <w:r>
              <w:rPr>
                <w:rFonts w:ascii="Arial" w:cs="Arial" w:eastAsia="Arial" w:hAnsi="Arial"/>
                <w:sz w:val="21"/>
                <w:szCs w:val="21"/>
                <w:b w:val="1"/>
                <w:bCs w:val="1"/>
                <w:color w:val="auto"/>
                <w:w w:val="93"/>
                <w:vertAlign w:val="superscript"/>
              </w:rPr>
              <w:t>(7)</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1,574.9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1,147.6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327.3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365.0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1,040.1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4.23</w:t>
            </w:r>
          </w:p>
        </w:tc>
      </w:tr>
      <w:tr>
        <w:trPr>
          <w:trHeight w:val="260"/>
        </w:trPr>
        <w:tc>
          <w:tcPr>
            <w:tcW w:w="354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3"/>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3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354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w:t>
            </w:r>
          </w:p>
        </w:tc>
      </w:tr>
      <w:tr>
        <w:trPr>
          <w:trHeight w:val="270"/>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4"/>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1,521.2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1,205.0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326.3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958.7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3.90</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35"/>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35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6"/>
                <w:szCs w:val="16"/>
                <w:b w:val="1"/>
                <w:bCs w:val="1"/>
                <w:color w:val="auto"/>
              </w:rPr>
              <w:t>Six months ended 6/30/2018</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198"/>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Provision</w:t>
            </w: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attributable to T.</w:t>
            </w:r>
          </w:p>
        </w:tc>
        <w:tc>
          <w:tcPr>
            <w:tcW w:w="10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Diluted</w:t>
            </w:r>
          </w:p>
        </w:tc>
      </w:tr>
      <w:tr>
        <w:trPr>
          <w:trHeight w:val="189"/>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operating</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(benefit) for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Rowe Price</w:t>
            </w:r>
          </w:p>
        </w:tc>
        <w:tc>
          <w:tcPr>
            <w:tcW w:w="100" w:type="dxa"/>
            <w:vAlign w:val="bottom"/>
          </w:tcPr>
          <w:p>
            <w:pPr>
              <w:spacing w:after="0"/>
              <w:rPr>
                <w:sz w:val="16"/>
                <w:szCs w:val="16"/>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rPr>
              <w:t>earnings per</w:t>
            </w:r>
          </w:p>
        </w:tc>
      </w:tr>
      <w:tr>
        <w:trPr>
          <w:trHeight w:val="234"/>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expenses</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income</w:t>
            </w:r>
          </w:p>
        </w:tc>
        <w:tc>
          <w:tcPr>
            <w:tcW w:w="1360" w:type="dxa"/>
            <w:vAlign w:val="bottom"/>
            <w:gridSpan w:val="3"/>
          </w:tcPr>
          <w:p>
            <w:pPr>
              <w:ind w:left="40"/>
              <w:spacing w:after="0" w:line="234" w:lineRule="exact"/>
              <w:rPr>
                <w:sz w:val="20"/>
                <w:szCs w:val="20"/>
                <w:color w:val="auto"/>
              </w:rPr>
            </w:pPr>
            <w:r>
              <w:rPr>
                <w:rFonts w:ascii="Arial" w:cs="Arial" w:eastAsia="Arial" w:hAnsi="Arial"/>
                <w:sz w:val="16"/>
                <w:szCs w:val="16"/>
                <w:b w:val="1"/>
                <w:bCs w:val="1"/>
                <w:color w:val="auto"/>
              </w:rPr>
              <w:t>income taxes</w:t>
            </w:r>
            <w:r>
              <w:rPr>
                <w:rFonts w:ascii="Arial" w:cs="Arial" w:eastAsia="Arial" w:hAnsi="Arial"/>
                <w:sz w:val="21"/>
                <w:szCs w:val="21"/>
                <w:b w:val="1"/>
                <w:bCs w:val="1"/>
                <w:color w:val="auto"/>
                <w:vertAlign w:val="superscript"/>
              </w:rPr>
              <w:t>(6)</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Group</w:t>
            </w:r>
          </w:p>
        </w:tc>
        <w:tc>
          <w:tcPr>
            <w:tcW w:w="100" w:type="dxa"/>
            <w:vAlign w:val="bottom"/>
          </w:tcPr>
          <w:p>
            <w:pPr>
              <w:spacing w:after="0"/>
              <w:rPr>
                <w:sz w:val="20"/>
                <w:szCs w:val="20"/>
                <w:color w:val="auto"/>
              </w:rPr>
            </w:pPr>
          </w:p>
        </w:tc>
        <w:tc>
          <w:tcPr>
            <w:tcW w:w="1140" w:type="dxa"/>
            <w:vAlign w:val="bottom"/>
          </w:tcPr>
          <w:p>
            <w:pPr>
              <w:jc w:val="center"/>
              <w:ind w:right="59"/>
              <w:spacing w:after="0" w:line="234" w:lineRule="exact"/>
              <w:rPr>
                <w:sz w:val="20"/>
                <w:szCs w:val="20"/>
                <w:color w:val="auto"/>
              </w:rPr>
            </w:pPr>
            <w:r>
              <w:rPr>
                <w:rFonts w:ascii="Arial" w:cs="Arial" w:eastAsia="Arial" w:hAnsi="Arial"/>
                <w:sz w:val="16"/>
                <w:szCs w:val="16"/>
                <w:b w:val="1"/>
                <w:bCs w:val="1"/>
                <w:color w:val="auto"/>
                <w:w w:val="93"/>
              </w:rPr>
              <w:t>share</w:t>
            </w:r>
            <w:r>
              <w:rPr>
                <w:rFonts w:ascii="Arial" w:cs="Arial" w:eastAsia="Arial" w:hAnsi="Arial"/>
                <w:sz w:val="21"/>
                <w:szCs w:val="21"/>
                <w:b w:val="1"/>
                <w:bCs w:val="1"/>
                <w:color w:val="auto"/>
                <w:w w:val="93"/>
                <w:vertAlign w:val="superscript"/>
              </w:rPr>
              <w:t>(7)</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1,494.5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1,178.5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313.6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r>
      <w:tr>
        <w:trPr>
          <w:trHeight w:val="260"/>
        </w:trPr>
        <w:tc>
          <w:tcPr>
            <w:tcW w:w="354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3"/>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3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354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70"/>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3540" w:type="dxa"/>
            <w:vAlign w:val="bottom"/>
          </w:tcPr>
          <w:p>
            <w:pPr>
              <w:ind w:left="160"/>
              <w:spacing w:after="0"/>
              <w:rPr>
                <w:sz w:val="20"/>
                <w:szCs w:val="20"/>
                <w:color w:val="auto"/>
              </w:rPr>
            </w:pPr>
            <w:r>
              <w:rPr>
                <w:rFonts w:ascii="Arial" w:cs="Arial" w:eastAsia="Arial" w:hAnsi="Arial"/>
                <w:sz w:val="16"/>
                <w:szCs w:val="16"/>
                <w:color w:val="auto"/>
              </w:rPr>
              <w:t>Nonrecurring charge related to</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40" w:type="dxa"/>
            <w:vAlign w:val="bottom"/>
          </w:tcPr>
          <w:p>
            <w:pPr>
              <w:ind w:left="20"/>
              <w:spacing w:after="0" w:line="219" w:lineRule="exact"/>
              <w:rPr>
                <w:sz w:val="20"/>
                <w:szCs w:val="20"/>
                <w:color w:val="auto"/>
              </w:rPr>
            </w:pPr>
            <w:r>
              <w:rPr>
                <w:rFonts w:ascii="Arial" w:cs="Arial" w:eastAsia="Arial" w:hAnsi="Arial"/>
                <w:sz w:val="16"/>
                <w:szCs w:val="16"/>
                <w:color w:val="auto"/>
              </w:rPr>
              <w:t>enactment of U.S. tax reform</w:t>
            </w:r>
            <w:r>
              <w:rPr>
                <w:rFonts w:ascii="Arial" w:cs="Arial" w:eastAsia="Arial" w:hAnsi="Arial"/>
                <w:sz w:val="21"/>
                <w:szCs w:val="21"/>
                <w:color w:val="auto"/>
                <w:vertAlign w:val="superscript"/>
              </w:rPr>
              <w:t>(4)</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.08</w:t>
            </w:r>
          </w:p>
        </w:tc>
      </w:tr>
      <w:tr>
        <w:trPr>
          <w:trHeight w:val="218"/>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Nonrecurring charge related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4"/>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enactment of Maryland state tax</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9"/>
        </w:trPr>
        <w:tc>
          <w:tcPr>
            <w:tcW w:w="3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legislation</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r>
      <w:tr>
        <w:trPr>
          <w:trHeight w:val="234"/>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1,486.3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1,189.8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279.4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918.4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3.61</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40" w:right="100" w:hanging="332"/>
        <w:spacing w:after="0" w:line="267"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6"/>
          <w:szCs w:val="16"/>
          <w:color w:val="auto"/>
        </w:rPr>
        <w:t>These non-GAAP adjustments remove the impact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Management believes the consolidated T. Rowe Price investment products may impact the reader’s ability to understand the firm's core operating results.</w:t>
      </w:r>
    </w:p>
    <w:p>
      <w:pPr>
        <w:spacing w:after="0" w:line="189" w:lineRule="exact"/>
        <w:rPr>
          <w:rFonts w:ascii="Arial" w:cs="Arial" w:eastAsia="Arial" w:hAnsi="Arial"/>
          <w:sz w:val="14"/>
          <w:szCs w:val="14"/>
          <w:color w:val="auto"/>
        </w:rPr>
      </w:pPr>
    </w:p>
    <w:p>
      <w:pPr>
        <w:ind w:left="340" w:right="180" w:hanging="332"/>
        <w:spacing w:after="0" w:line="267"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6"/>
          <w:szCs w:val="16"/>
          <w:color w:val="auto"/>
        </w:rPr>
        <w:t>This non-GAAP adjustment removes the compensation expense from market valuation changes in the supplemental savings plan and the related net gains (losses) on investments designated as an economic hedge against the related liability. Amounts deferred under the supplemental savings plan are adjusted for appreciation (depreciation) of hypothetical investments chosen by employees. The firm uses T. Rowe Price investment products to economically hedge the exposure to these market movements. Management believes it is useful to offset the non-operating investment income (loss) realized on the hedges against the related compensation expense and remove the net impact to help the reader's ability to understand the firm's core operating results and to increase comparability period to period.</w:t>
      </w:r>
    </w:p>
    <w:p>
      <w:pPr>
        <w:spacing w:after="0" w:line="189" w:lineRule="exact"/>
        <w:rPr>
          <w:rFonts w:ascii="Arial" w:cs="Arial" w:eastAsia="Arial" w:hAnsi="Arial"/>
          <w:sz w:val="14"/>
          <w:szCs w:val="14"/>
          <w:color w:val="auto"/>
        </w:rPr>
      </w:pPr>
    </w:p>
    <w:p>
      <w:pPr>
        <w:ind w:left="340" w:right="80" w:hanging="332"/>
        <w:spacing w:after="0" w:line="267"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beginning in the second quarter of 2018, those non-consolidated investments that are not part of the cash and discretionary investment portfolio. Management decided to retain the investment gains recognized on the non-consolidated cash and discretionary investments as these assets and related income (loss) are considered part of the firm's core operations. The impact on previously reported non-GAAP measures is immaterial. Management believes adjusting for these non-operating income (loss) items helps the reader’s ability to understand the firm's core operating results and increases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44" w:right="259" w:bottom="1440" w:gutter="0" w:footer="0" w:header="0"/>
        </w:sectPr>
      </w:pPr>
    </w:p>
    <w:bookmarkStart w:id="58" w:name="page59"/>
    <w:bookmarkEnd w:id="58"/>
    <w:p>
      <w:pPr>
        <w:ind w:left="332" w:right="560"/>
        <w:spacing w:after="0" w:line="348" w:lineRule="auto"/>
        <w:rPr>
          <w:sz w:val="20"/>
          <w:szCs w:val="20"/>
          <w:color w:val="auto"/>
        </w:rPr>
      </w:pPr>
      <w:r>
        <w:rPr>
          <w:rFonts w:ascii="Arial" w:cs="Arial" w:eastAsia="Arial" w:hAnsi="Arial"/>
          <w:sz w:val="16"/>
          <w:szCs w:val="16"/>
          <w:color w:val="auto"/>
        </w:rPr>
        <w:t>comparability to prior years. Additionally, management does not emphasize the impact of the portion of non-operating income (loss) removed when managing and evaluating the firm's performance.</w:t>
      </w:r>
    </w:p>
    <w:p>
      <w:pPr>
        <w:spacing w:after="0" w:line="155" w:lineRule="exact"/>
        <w:rPr>
          <w:sz w:val="20"/>
          <w:szCs w:val="20"/>
          <w:color w:val="auto"/>
        </w:rPr>
      </w:pPr>
    </w:p>
    <w:p>
      <w:pPr>
        <w:ind w:left="332" w:right="80" w:hanging="332"/>
        <w:spacing w:after="0" w:line="271"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6"/>
          <w:szCs w:val="16"/>
          <w:color w:val="auto"/>
        </w:rPr>
        <w:t>During the second quarter of 2018, the firm recognized a nonrecurring charge of $20.8 million for an adjustment made to the charge taken in 2017 related to the enactment of U.S. tax reform. Management believes it is useful to readers of its consolidated statements of income to adjust for this nonrecurring charge in arriving at net income attributable to T. Rowe Price Group and diluted earnings per share.</w:t>
      </w:r>
    </w:p>
    <w:p>
      <w:pPr>
        <w:spacing w:after="0" w:line="187" w:lineRule="exact"/>
        <w:rPr>
          <w:rFonts w:ascii="Arial" w:cs="Arial" w:eastAsia="Arial" w:hAnsi="Arial"/>
          <w:sz w:val="14"/>
          <w:szCs w:val="14"/>
          <w:color w:val="auto"/>
        </w:rPr>
      </w:pPr>
    </w:p>
    <w:p>
      <w:pPr>
        <w:ind w:left="332" w:hanging="332"/>
        <w:spacing w:after="0" w:line="271"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6"/>
          <w:szCs w:val="16"/>
          <w:color w:val="auto"/>
        </w:rPr>
        <w:t>During the second quarter of 2018, the firm recognized a nonrecurring charge of $7.9 million for the remeasurement of its deferred tax assets and liabilities to reflect the effect of Maryland state tax legislation enacted on April 24, 2018. Management believes it is useful to readers of its consolidated statements of income to adjust for this nonrecurring charge in arriving at net income attributable to T. Rowe Price Group and diluted earnings per share.</w:t>
      </w:r>
    </w:p>
    <w:p>
      <w:pPr>
        <w:spacing w:after="0" w:line="187" w:lineRule="exact"/>
        <w:rPr>
          <w:rFonts w:ascii="Arial" w:cs="Arial" w:eastAsia="Arial" w:hAnsi="Arial"/>
          <w:sz w:val="14"/>
          <w:szCs w:val="14"/>
          <w:color w:val="auto"/>
        </w:rPr>
      </w:pPr>
    </w:p>
    <w:p>
      <w:pPr>
        <w:jc w:val="both"/>
        <w:ind w:left="332" w:right="200" w:hanging="332"/>
        <w:spacing w:after="0" w:line="271"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6"/>
          <w:szCs w:val="16"/>
          <w:color w:val="auto"/>
        </w:rPr>
        <w:t>The income tax impacts were calculated in order to achieve an overall non-GAAP effective tax rate of 25.4% for 2019 and 23.3% for 2018. As such, the non-GAAP effective tax rate for the second quarter was 25.5% for 2019 and 22.4% for 2018. The firm estimates that its effective tax rate for the full-year 2019 on a non-GAAP basis will be in the range of 24% to 26%.</w:t>
      </w:r>
    </w:p>
    <w:p>
      <w:pPr>
        <w:spacing w:after="0" w:line="187" w:lineRule="exact"/>
        <w:rPr>
          <w:rFonts w:ascii="Arial" w:cs="Arial" w:eastAsia="Arial" w:hAnsi="Arial"/>
          <w:sz w:val="14"/>
          <w:szCs w:val="14"/>
          <w:color w:val="auto"/>
        </w:rPr>
      </w:pPr>
    </w:p>
    <w:p>
      <w:pPr>
        <w:ind w:left="332" w:right="420" w:hanging="332"/>
        <w:spacing w:after="0" w:line="278"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sectPr>
      <w:pgSz w:w="11900" w:h="16838" w:orient="portrait"/>
      <w:cols w:equalWidth="0" w:num="1">
        <w:col w:w="11392"/>
      </w:cols>
      <w:pgMar w:left="248" w:top="87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7"/>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lvl w:ilvl="1">
      <w:lvlJc w:val="left"/>
      <w:lvlText w:val="(%2)"/>
      <w:numFmt w:val="lowerLetter"/>
      <w:start w:val="1"/>
    </w:lvl>
  </w:abstractNum>
  <w:abstractNum w:abstractNumId="15">
    <w:nsid w:val="2D1D5AE9"/>
    <w:multiLevelType w:val="hybridMultilevel"/>
    <w:lvl w:ilvl="0">
      <w:lvlJc w:val="left"/>
      <w:lvlText w:val="%1."/>
      <w:numFmt w:val="decimal"/>
      <w:start w:val="1"/>
    </w:lvl>
    <w:lvl w:ilvl="1">
      <w:lvlJc w:val="left"/>
      <w:lvlText w:val="(%2)"/>
      <w:numFmt w:val="lowerLetter"/>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lvl w:ilvl="1">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24" Type="http://schemas.openxmlformats.org/officeDocument/2006/relationships/hyperlink" Target="http://www.sec.gov/Archives/edgar/data/1113169/000111316918000018/articlesofrestatementfin.htm" TargetMode="External"/><Relationship Id="rId25" Type="http://schemas.openxmlformats.org/officeDocument/2006/relationships/hyperlink" Target="http://www.sec.gov/Archives/edgar/data/1113169/000111316919000007/trpg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2019-12-28T10:05:50Z</dcterms:created>
  <dcterms:modified xsi:type="dcterms:W3CDTF">2019-12-28T10:05:50Z</dcterms:modified>
</cp:coreProperties>
</file>