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u w:val="single" w:color="auto"/>
          <w:color w:val="auto"/>
        </w:rPr>
        <w:t>March 31, 2006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000-32191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T. ROWE PRICE GROUP,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2000" w:type="dxa"/>
        <w:tblCellMar>
          <w:top w:w="0" w:type="dxa"/>
          <w:left w:w="0" w:type="dxa"/>
          <w:bottom w:w="0" w:type="dxa"/>
          <w:right w:w="0" w:type="dxa"/>
        </w:tblCellMar>
      </w:tblPr>
      <w:tr>
        <w:trPr>
          <w:trHeight w:val="234"/>
        </w:trPr>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6"/>
              </w:rPr>
              <w:t>Maryland</w:t>
            </w:r>
          </w:p>
        </w:tc>
        <w:tc>
          <w:tcPr>
            <w:tcW w:w="3900" w:type="dxa"/>
            <w:vAlign w:val="bottom"/>
            <w:gridSpan w:val="2"/>
          </w:tcPr>
          <w:p>
            <w:pPr>
              <w:jc w:val="right"/>
              <w:ind w:right="1250"/>
              <w:spacing w:after="0"/>
              <w:rPr>
                <w:sz w:val="20"/>
                <w:szCs w:val="20"/>
                <w:color w:val="auto"/>
              </w:rPr>
            </w:pPr>
            <w:r>
              <w:rPr>
                <w:rFonts w:ascii="Arial" w:cs="Arial" w:eastAsia="Arial" w:hAnsi="Arial"/>
                <w:sz w:val="18"/>
                <w:szCs w:val="18"/>
                <w:b w:val="1"/>
                <w:bCs w:val="1"/>
                <w:color w:val="auto"/>
              </w:rPr>
              <w:t>52-2264646</w:t>
            </w:r>
          </w:p>
        </w:tc>
      </w:tr>
      <w:tr>
        <w:trPr>
          <w:trHeight w:val="224"/>
        </w:trPr>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of incorporation)</w:t>
            </w:r>
          </w:p>
        </w:tc>
        <w:tc>
          <w:tcPr>
            <w:tcW w:w="36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100 East Pratt Street, Baltimore, Maryland 21202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(410) 345-2000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ind w:right="480"/>
        <w:spacing w:after="0" w:line="23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w:t>
      </w:r>
      <w:r>
        <w:rPr>
          <w:rFonts w:ascii="MS PGothic" w:cs="MS PGothic" w:eastAsia="MS PGothic" w:hAnsi="MS PGothic"/>
          <w:sz w:val="17"/>
          <w:szCs w:val="17"/>
          <w:color w:val="auto"/>
          <w:highlight w:val="black"/>
        </w:rPr>
        <w:t>☒</w:t>
      </w:r>
      <w:r>
        <w:rPr>
          <w:rFonts w:ascii="Arial" w:cs="Arial" w:eastAsia="Arial" w:hAnsi="Arial"/>
          <w:sz w:val="17"/>
          <w:szCs w:val="17"/>
          <w:color w:val="auto"/>
        </w:rPr>
        <w:t xml:space="preserve"> </w:t>
      </w:r>
      <w:r>
        <w:rPr>
          <w:rFonts w:ascii="Arial" w:cs="Arial" w:eastAsia="Arial" w:hAnsi="Arial"/>
          <w:sz w:val="17"/>
          <w:szCs w:val="17"/>
          <w:b w:val="1"/>
          <w:bCs w:val="1"/>
          <w:color w:val="auto"/>
        </w:rPr>
        <w:t>Yes</w:t>
      </w:r>
      <w:r>
        <w:rPr>
          <w:rFonts w:ascii="Arial" w:cs="Arial" w:eastAsia="Arial" w:hAnsi="Arial"/>
          <w:sz w:val="17"/>
          <w:szCs w:val="17"/>
          <w:color w:val="auto"/>
        </w:rPr>
        <w:t xml:space="preserve"> o No</w:t>
      </w:r>
    </w:p>
    <w:p>
      <w:pPr>
        <w:spacing w:after="0" w:line="7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(based on definitions in Rule 12b-2 of the Exchange Act).</w:t>
      </w:r>
    </w:p>
    <w:p>
      <w:pPr>
        <w:sectPr>
          <w:pgSz w:w="11900" w:h="16838" w:orient="portrait"/>
          <w:cols w:equalWidth="0" w:num="1">
            <w:col w:w="11420"/>
          </w:cols>
          <w:pgMar w:left="240" w:top="927" w:right="239" w:bottom="1440" w:gutter="0" w:footer="0" w:header="0"/>
        </w:sectPr>
      </w:pPr>
    </w:p>
    <w:p>
      <w:pPr>
        <w:spacing w:after="0" w:line="138" w:lineRule="exact"/>
        <w:rPr>
          <w:sz w:val="20"/>
          <w:szCs w:val="20"/>
          <w:color w:val="auto"/>
        </w:rPr>
      </w:pPr>
    </w:p>
    <w:p>
      <w:pPr>
        <w:spacing w:after="0" w:line="184" w:lineRule="exact"/>
        <w:rPr>
          <w:sz w:val="20"/>
          <w:szCs w:val="20"/>
          <w:color w:val="auto"/>
        </w:rPr>
      </w:pPr>
      <w:r>
        <w:rPr>
          <w:rFonts w:ascii="Arial" w:cs="Arial" w:eastAsia="Arial" w:hAnsi="Arial"/>
          <w:sz w:val="16"/>
          <w:szCs w:val="16"/>
          <w:b w:val="1"/>
          <w:bCs w:val="1"/>
          <w:color w:val="auto"/>
        </w:rPr>
        <w:t xml:space="preserve">Large accelerated filer </w:t>
      </w:r>
      <w:r>
        <w:rPr>
          <w:rFonts w:ascii="MS PGothic" w:cs="MS PGothic" w:eastAsia="MS PGothic" w:hAnsi="MS PGothic"/>
          <w:sz w:val="16"/>
          <w:szCs w:val="16"/>
          <w:color w:val="auto"/>
          <w:highlight w:val="black"/>
        </w:rPr>
        <w: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ind w:right="2540"/>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107" w:lineRule="exact"/>
        <w:rPr>
          <w:sz w:val="20"/>
          <w:szCs w:val="20"/>
          <w:color w:val="auto"/>
        </w:rPr>
      </w:pPr>
    </w:p>
    <w:p>
      <w:pPr>
        <w:sectPr>
          <w:pgSz w:w="11900" w:h="16838" w:orient="portrait"/>
          <w:cols w:equalWidth="0" w:num="3">
            <w:col w:w="4440" w:space="720"/>
            <w:col w:w="3880" w:space="720"/>
            <w:col w:w="1660"/>
          </w:cols>
          <w:pgMar w:left="240" w:top="927" w:right="2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0"/>
          <w:szCs w:val="20"/>
          <w:color w:val="auto"/>
        </w:rPr>
      </w:pPr>
      <w:r>
        <w:rPr>
          <w:sz w:val="20"/>
          <w:szCs w:val="20"/>
          <w:color w:val="auto"/>
        </w:rPr>
        <w:br w:type="column"/>
      </w:r>
    </w:p>
    <w:p>
      <w:pPr>
        <w:jc w:val="center"/>
        <w:ind w:right="1200"/>
        <w:spacing w:after="0" w:line="153" w:lineRule="exact"/>
        <w:rPr>
          <w:sz w:val="20"/>
          <w:szCs w:val="20"/>
          <w:color w:val="auto"/>
        </w:rPr>
      </w:pPr>
      <w:r>
        <w:rPr>
          <w:rFonts w:ascii="Arial" w:cs="Arial" w:eastAsia="Arial" w:hAnsi="Arial"/>
          <w:sz w:val="15"/>
          <w:szCs w:val="15"/>
          <w:color w:val="auto"/>
        </w:rPr>
        <w:t xml:space="preserve">o Yes </w:t>
      </w:r>
      <w:r>
        <w:rPr>
          <w:rFonts w:ascii="MS PGothic" w:cs="MS PGothic" w:eastAsia="MS PGothic" w:hAnsi="MS PGothic"/>
          <w:sz w:val="15"/>
          <w:szCs w:val="15"/>
          <w:color w:val="auto"/>
          <w:highlight w:val="black"/>
        </w:rPr>
        <w:t>☒</w:t>
      </w:r>
      <w:r>
        <w:rPr>
          <w:rFonts w:ascii="Arial" w:cs="Arial" w:eastAsia="Arial" w:hAnsi="Arial"/>
          <w:sz w:val="15"/>
          <w:szCs w:val="15"/>
          <w:color w:val="auto"/>
        </w:rPr>
        <w:t xml:space="preserve"> </w:t>
      </w:r>
      <w:r>
        <w:rPr>
          <w:rFonts w:ascii="Arial" w:cs="Arial" w:eastAsia="Arial" w:hAnsi="Arial"/>
          <w:sz w:val="15"/>
          <w:szCs w:val="15"/>
          <w:b w:val="1"/>
          <w:bCs w:val="1"/>
          <w:color w:val="auto"/>
        </w:rPr>
        <w:t>No</w:t>
      </w:r>
    </w:p>
    <w:p>
      <w:pPr>
        <w:spacing w:after="0" w:line="180" w:lineRule="exact"/>
        <w:rPr>
          <w:sz w:val="20"/>
          <w:szCs w:val="20"/>
          <w:color w:val="auto"/>
        </w:rPr>
      </w:pPr>
    </w:p>
    <w:p>
      <w:pPr>
        <w:sectPr>
          <w:pgSz w:w="11900" w:h="16838" w:orient="portrait"/>
          <w:cols w:equalWidth="0" w:num="2">
            <w:col w:w="8640" w:space="720"/>
            <w:col w:w="2060"/>
          </w:cols>
          <w:pgMar w:left="240" w:top="927" w:right="239" w:bottom="1440" w:gutter="0" w:footer="0" w:header="0"/>
          <w:type w:val="continuous"/>
        </w:sectPr>
      </w:pPr>
    </w:p>
    <w:p>
      <w:pPr>
        <w:spacing w:after="0"/>
        <w:rPr>
          <w:sz w:val="20"/>
          <w:szCs w:val="20"/>
          <w:color w:val="auto"/>
        </w:rPr>
      </w:pPr>
      <w:r>
        <w:rPr>
          <w:rFonts w:ascii="Arial" w:cs="Arial" w:eastAsia="Arial" w:hAnsi="Arial"/>
          <w:sz w:val="16"/>
          <w:szCs w:val="16"/>
          <w:color w:val="auto"/>
        </w:rPr>
        <w:t xml:space="preserve">The number of shares outstanding of the issuer’s common stock ($.20 par value), as of the latest practicable date, April 24, 2006, is </w:t>
      </w:r>
      <w:r>
        <w:rPr>
          <w:rFonts w:ascii="Arial" w:cs="Arial" w:eastAsia="Arial" w:hAnsi="Arial"/>
          <w:sz w:val="16"/>
          <w:szCs w:val="16"/>
          <w:b w:val="1"/>
          <w:bCs w:val="1"/>
          <w:u w:val="single" w:color="auto"/>
          <w:color w:val="auto"/>
        </w:rPr>
        <w:t>132,784,611</w:t>
      </w:r>
      <w:r>
        <w:rPr>
          <w:rFonts w:ascii="Arial" w:cs="Arial" w:eastAsia="Arial" w:hAnsi="Arial"/>
          <w:sz w:val="16"/>
          <w:szCs w:val="16"/>
          <w:b w:val="1"/>
          <w:bCs w:val="1"/>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exhibit index is at Item 6 on page 12.</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UNAUDITED CONDENSED CONSOLIDATED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91"/>
              </w:rPr>
              <w:t>12/31/2005</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93"/>
              </w:rPr>
              <w:t>3/31/2006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803,589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933,291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and accrued revenue</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175,030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Investments in sponsored mutual funds</w:t>
            </w:r>
          </w:p>
        </w:tc>
        <w:tc>
          <w:tcPr>
            <w:tcW w:w="8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264,238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300,978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by savings bank subsidiary</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114,837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8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214,790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226,170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665,692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665,692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72,370</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2,310,546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2,494,324</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9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62,539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65,630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compensation and related costs</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55,555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Income taxes payable</w:t>
            </w:r>
          </w:p>
        </w:tc>
        <w:tc>
          <w:tcPr>
            <w:tcW w:w="8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15,651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50,992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Dividends payable</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36,870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Customer deposits at savings bank subsidiary</w:t>
            </w: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103,829</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274,444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322,916</w:t>
            </w:r>
          </w:p>
        </w:tc>
        <w:tc>
          <w:tcPr>
            <w:tcW w:w="0" w:type="dxa"/>
            <w:vAlign w:val="bottom"/>
          </w:tcPr>
          <w:p>
            <w:pPr>
              <w:spacing w:after="0"/>
              <w:rPr>
                <w:sz w:val="1"/>
                <w:szCs w:val="1"/>
                <w:color w:val="auto"/>
              </w:rPr>
            </w:pPr>
          </w:p>
        </w:tc>
      </w:tr>
      <w:tr>
        <w:trPr>
          <w:trHeight w:val="439"/>
        </w:trPr>
        <w:tc>
          <w:tcPr>
            <w:tcW w:w="8980" w:type="dxa"/>
            <w:vAlign w:val="bottom"/>
            <w:gridSpan w:val="2"/>
          </w:tcPr>
          <w:p>
            <w:pPr>
              <w:spacing w:after="0"/>
              <w:rPr>
                <w:sz w:val="20"/>
                <w:szCs w:val="20"/>
                <w:color w:val="auto"/>
              </w:rPr>
            </w:pPr>
            <w:r>
              <w:rPr>
                <w:rFonts w:ascii="Arial" w:cs="Arial" w:eastAsia="Arial" w:hAnsi="Arial"/>
                <w:sz w:val="18"/>
                <w:szCs w:val="18"/>
                <w:color w:val="auto"/>
              </w:rPr>
              <w:t>Commitments and contingent liabilities</w:t>
            </w:r>
          </w:p>
        </w:tc>
        <w:tc>
          <w:tcPr>
            <w:tcW w:w="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Preferred stock, undesignated, $.20 par value - authorized and unissued 20,000,000 shares</w:t>
            </w:r>
          </w:p>
        </w:tc>
        <w:tc>
          <w:tcPr>
            <w:tcW w:w="8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6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Common stock, $.20 par value - authorized 500,000,000 shares; issued 131,678,371 shares in 2005 and</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132,539,388 shares in 2006</w:t>
            </w:r>
          </w:p>
        </w:tc>
        <w:tc>
          <w:tcPr>
            <w:tcW w:w="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26,336</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Additional capital in excess of par value</w:t>
            </w:r>
          </w:p>
        </w:tc>
        <w:tc>
          <w:tcPr>
            <w:tcW w:w="8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279,680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326,173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Retained earnings</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1,683,273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1,762,903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48,544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55,824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stock-based compensation expense</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(1,731)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2,036,102</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2,171,408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2,310,546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2,494,324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the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ind w:right="5600"/>
        <w:spacing w:after="0" w:line="277" w:lineRule="auto"/>
        <w:rPr>
          <w:sz w:val="20"/>
          <w:szCs w:val="20"/>
          <w:color w:val="auto"/>
        </w:rPr>
      </w:pPr>
      <w:r>
        <w:rPr>
          <w:rFonts w:ascii="Arial" w:cs="Arial" w:eastAsia="Arial" w:hAnsi="Arial"/>
          <w:sz w:val="18"/>
          <w:szCs w:val="18"/>
          <w:color w:val="auto"/>
        </w:rPr>
        <w:t>UNAUDITED CONDENSED CONSOLIDATED STATEMENTS OF INCOME (in thousands, except per-share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7"/>
          </w:tcPr>
          <w:p>
            <w:pPr>
              <w:ind w:left="34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3/31/2005</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3/31/2006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Investment advisory fees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289,003</w:t>
            </w:r>
          </w:p>
        </w:tc>
        <w:tc>
          <w:tcPr>
            <w:tcW w:w="3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353,885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Administrative fees and other income</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67,955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Investment income of savings bank subsidiary</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357,961</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430,303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Interest expense on savings bank deposits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w:t>
            </w:r>
          </w:p>
        </w:tc>
        <w:tc>
          <w:tcPr>
            <w:tcW w:w="340" w:type="dxa"/>
            <w:vAlign w:val="bottom"/>
            <w:gridSpan w:val="2"/>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357,071</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429,321</w:t>
            </w:r>
          </w:p>
        </w:tc>
        <w:tc>
          <w:tcPr>
            <w:tcW w:w="0" w:type="dxa"/>
            <w:vAlign w:val="bottom"/>
          </w:tcPr>
          <w:p>
            <w:pPr>
              <w:spacing w:after="0"/>
              <w:rPr>
                <w:sz w:val="1"/>
                <w:szCs w:val="1"/>
                <w:color w:val="auto"/>
              </w:rPr>
            </w:pPr>
          </w:p>
        </w:tc>
      </w:tr>
      <w:tr>
        <w:trPr>
          <w:trHeight w:val="439"/>
        </w:trPr>
        <w:tc>
          <w:tcPr>
            <w:tcW w:w="92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Compensation and related costs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127,142</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159,997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Advertising and promotion</w:t>
            </w:r>
          </w:p>
        </w:tc>
        <w:tc>
          <w:tcPr>
            <w:tcW w:w="100" w:type="dxa"/>
            <w:vAlign w:val="bottom"/>
          </w:tcPr>
          <w:p>
            <w:pPr>
              <w:spacing w:after="0"/>
              <w:rPr>
                <w:sz w:val="18"/>
                <w:szCs w:val="18"/>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23,471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 of property and equipment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9,772</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Occupancy and facility costs</w:t>
            </w:r>
          </w:p>
        </w:tc>
        <w:tc>
          <w:tcPr>
            <w:tcW w:w="100" w:type="dxa"/>
            <w:vAlign w:val="bottom"/>
          </w:tcPr>
          <w:p>
            <w:pPr>
              <w:spacing w:after="0"/>
              <w:rPr>
                <w:sz w:val="18"/>
                <w:szCs w:val="18"/>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18,319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operating expenses</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31,086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209,790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250,797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147,281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178,524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9240" w:type="dxa"/>
            <w:vAlign w:val="bottom"/>
            <w:gridSpan w:val="2"/>
          </w:tcPr>
          <w:p>
            <w:pPr>
              <w:spacing w:after="0"/>
              <w:rPr>
                <w:sz w:val="20"/>
                <w:szCs w:val="20"/>
                <w:color w:val="auto"/>
              </w:rPr>
            </w:pPr>
            <w:r>
              <w:rPr>
                <w:rFonts w:ascii="Arial" w:cs="Arial" w:eastAsia="Arial" w:hAnsi="Arial"/>
                <w:sz w:val="18"/>
                <w:szCs w:val="18"/>
                <w:color w:val="auto"/>
              </w:rPr>
              <w:t>Other investment income</w:t>
            </w:r>
          </w:p>
        </w:tc>
        <w:tc>
          <w:tcPr>
            <w:tcW w:w="10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2,055</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expenses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3"/>
        </w:trPr>
        <w:tc>
          <w:tcPr>
            <w:tcW w:w="9240" w:type="dxa"/>
            <w:vAlign w:val="bottom"/>
            <w:gridSpan w:val="2"/>
          </w:tcPr>
          <w:p>
            <w:pPr>
              <w:spacing w:after="0"/>
              <w:rPr>
                <w:sz w:val="20"/>
                <w:szCs w:val="20"/>
                <w:color w:val="auto"/>
              </w:rPr>
            </w:pPr>
            <w:r>
              <w:rPr>
                <w:rFonts w:ascii="Arial" w:cs="Arial" w:eastAsia="Arial" w:hAnsi="Arial"/>
                <w:sz w:val="18"/>
                <w:szCs w:val="18"/>
                <w:color w:val="auto"/>
              </w:rPr>
              <w:t>Net non-operating income</w:t>
            </w: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149,241</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186,082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54,944</w:t>
            </w:r>
          </w:p>
        </w:tc>
        <w:tc>
          <w:tcPr>
            <w:tcW w:w="340" w:type="dxa"/>
            <w:vAlign w:val="bottom"/>
            <w:gridSpan w:val="2"/>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94,297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116,694</w:t>
            </w: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34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vMerge w:val="restart"/>
          </w:tcPr>
          <w:p>
            <w:pPr>
              <w:ind w:left="4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0.23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Outstanding</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130,266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132,015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vMerge w:val="restart"/>
          </w:tcPr>
          <w:p>
            <w:pPr>
              <w:ind w:left="400"/>
              <w:spacing w:after="0"/>
              <w:rPr>
                <w:sz w:val="20"/>
                <w:szCs w:val="20"/>
                <w:color w:val="auto"/>
              </w:rPr>
            </w:pPr>
            <w:r>
              <w:rPr>
                <w:rFonts w:ascii="Arial" w:cs="Arial" w:eastAsia="Arial" w:hAnsi="Arial"/>
                <w:sz w:val="18"/>
                <w:szCs w:val="18"/>
                <w:color w:val="auto"/>
              </w:rPr>
              <w:t>Outstanding assuming dilution</w:t>
            </w: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136,742</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138,981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the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 w:name="page5"/>
    <w:bookmarkEnd w:id="4"/>
    <w:p>
      <w:pPr>
        <w:ind w:right="5160"/>
        <w:spacing w:after="0" w:line="277" w:lineRule="auto"/>
        <w:rPr>
          <w:sz w:val="20"/>
          <w:szCs w:val="20"/>
          <w:color w:val="auto"/>
        </w:rPr>
      </w:pPr>
      <w:r>
        <w:rPr>
          <w:rFonts w:ascii="Arial" w:cs="Arial" w:eastAsia="Arial" w:hAnsi="Arial"/>
          <w:sz w:val="18"/>
          <w:szCs w:val="18"/>
          <w:color w:val="auto"/>
        </w:rPr>
        <w:t>UNAUDITED CONDENSED CONSOLIDATED STATEMENTS OF CASH FLOWS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jc w:val="right"/>
              <w:ind w:right="560"/>
              <w:spacing w:after="0"/>
              <w:rPr>
                <w:sz w:val="20"/>
                <w:szCs w:val="20"/>
                <w:color w:val="auto"/>
              </w:rPr>
            </w:pPr>
            <w:r>
              <w:rPr>
                <w:rFonts w:ascii="Arial" w:cs="Arial" w:eastAsia="Arial" w:hAnsi="Arial"/>
                <w:sz w:val="14"/>
                <w:szCs w:val="14"/>
                <w:color w:val="auto"/>
              </w:rPr>
              <w:t>Three months ended</w:t>
            </w:r>
          </w:p>
        </w:tc>
      </w:tr>
      <w:tr>
        <w:trPr>
          <w:trHeight w:val="142"/>
        </w:trPr>
        <w:tc>
          <w:tcPr>
            <w:tcW w:w="9240" w:type="dxa"/>
            <w:vAlign w:val="bottom"/>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3/31/2005</w:t>
            </w:r>
          </w:p>
        </w:tc>
        <w:tc>
          <w:tcPr>
            <w:tcW w:w="3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3/31/2006</w:t>
            </w:r>
          </w:p>
        </w:tc>
        <w:tc>
          <w:tcPr>
            <w:tcW w:w="100" w:type="dxa"/>
            <w:vAlign w:val="bottom"/>
          </w:tcPr>
          <w:p>
            <w:pPr>
              <w:spacing w:after="0"/>
              <w:rPr>
                <w:sz w:val="12"/>
                <w:szCs w:val="12"/>
                <w:color w:val="auto"/>
              </w:rPr>
            </w:pP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94,297</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$ 116,694</w:t>
            </w:r>
          </w:p>
        </w:tc>
      </w:tr>
      <w:tr>
        <w:trPr>
          <w:trHeight w:val="216"/>
        </w:trPr>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40" w:type="dxa"/>
            <w:vAlign w:val="bottom"/>
          </w:tcPr>
          <w:p>
            <w:pPr>
              <w:ind w:left="620"/>
              <w:spacing w:after="0"/>
              <w:rPr>
                <w:sz w:val="20"/>
                <w:szCs w:val="20"/>
                <w:color w:val="auto"/>
              </w:rPr>
            </w:pPr>
            <w:r>
              <w:rPr>
                <w:rFonts w:ascii="Arial" w:cs="Arial" w:eastAsia="Arial" w:hAnsi="Arial"/>
                <w:sz w:val="18"/>
                <w:szCs w:val="18"/>
                <w:color w:val="auto"/>
              </w:rPr>
              <w:t>Depreciation and amortization of property and equipment</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9,772</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11,114</w:t>
            </w:r>
          </w:p>
        </w:tc>
      </w:tr>
      <w:tr>
        <w:trPr>
          <w:trHeight w:val="216"/>
        </w:trPr>
        <w:tc>
          <w:tcPr>
            <w:tcW w:w="92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14,835</w:t>
            </w:r>
          </w:p>
        </w:tc>
      </w:tr>
      <w:tr>
        <w:trPr>
          <w:trHeight w:val="223"/>
        </w:trPr>
        <w:tc>
          <w:tcPr>
            <w:tcW w:w="9240" w:type="dxa"/>
            <w:vAlign w:val="bottom"/>
          </w:tcPr>
          <w:p>
            <w:pPr>
              <w:ind w:left="620"/>
              <w:spacing w:after="0"/>
              <w:rPr>
                <w:sz w:val="20"/>
                <w:szCs w:val="20"/>
                <w:color w:val="auto"/>
              </w:rPr>
            </w:pPr>
            <w:r>
              <w:rPr>
                <w:rFonts w:ascii="Arial" w:cs="Arial" w:eastAsia="Arial" w:hAnsi="Arial"/>
                <w:sz w:val="18"/>
                <w:szCs w:val="18"/>
                <w:color w:val="auto"/>
              </w:rPr>
              <w:t>Other changes in assets and liabilities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45,412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38,526</w:t>
            </w:r>
          </w:p>
        </w:tc>
        <w:tc>
          <w:tcPr>
            <w:tcW w:w="100" w:type="dxa"/>
            <w:vAlign w:val="bottom"/>
          </w:tcPr>
          <w:p>
            <w:pPr>
              <w:spacing w:after="0"/>
              <w:rPr>
                <w:sz w:val="19"/>
                <w:szCs w:val="19"/>
                <w:color w:val="auto"/>
              </w:rPr>
            </w:pPr>
          </w:p>
        </w:tc>
      </w:tr>
      <w:tr>
        <w:trPr>
          <w:trHeight w:val="216"/>
        </w:trPr>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149,481</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181,169</w:t>
            </w:r>
          </w:p>
        </w:tc>
      </w:tr>
      <w:tr>
        <w:trPr>
          <w:trHeight w:val="439"/>
        </w:trPr>
        <w:tc>
          <w:tcPr>
            <w:tcW w:w="92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Investments in sponsored mutual funds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(4,616)</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(25,039)</w:t>
            </w:r>
          </w:p>
        </w:tc>
      </w:tr>
      <w:tr>
        <w:trPr>
          <w:trHeight w:val="216"/>
        </w:trPr>
        <w:tc>
          <w:tcPr>
            <w:tcW w:w="9240" w:type="dxa"/>
            <w:vAlign w:val="bottom"/>
          </w:tcPr>
          <w:p>
            <w:pPr>
              <w:ind w:left="420"/>
              <w:spacing w:after="0"/>
              <w:rPr>
                <w:sz w:val="20"/>
                <w:szCs w:val="20"/>
                <w:color w:val="auto"/>
              </w:rPr>
            </w:pPr>
            <w:r>
              <w:rPr>
                <w:rFonts w:ascii="Arial" w:cs="Arial" w:eastAsia="Arial" w:hAnsi="Arial"/>
                <w:sz w:val="18"/>
                <w:szCs w:val="18"/>
                <w:color w:val="auto"/>
              </w:rPr>
              <w:t>Debt securities held by savings bank subsidiary</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(2,327)</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(2,352)</w:t>
            </w:r>
          </w:p>
        </w:tc>
      </w:tr>
      <w:tr>
        <w:trPr>
          <w:trHeight w:val="216"/>
        </w:trPr>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property and equipment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(13,738)</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(21,649)</w:t>
            </w:r>
          </w:p>
        </w:tc>
      </w:tr>
      <w:tr>
        <w:trPr>
          <w:trHeight w:val="216"/>
        </w:trPr>
        <w:tc>
          <w:tcPr>
            <w:tcW w:w="9240" w:type="dxa"/>
            <w:vAlign w:val="bottom"/>
          </w:tcPr>
          <w:p>
            <w:pPr>
              <w:ind w:left="420"/>
              <w:spacing w:after="0"/>
              <w:rPr>
                <w:sz w:val="20"/>
                <w:szCs w:val="20"/>
                <w:color w:val="auto"/>
              </w:rPr>
            </w:pPr>
            <w:r>
              <w:rPr>
                <w:rFonts w:ascii="Arial" w:cs="Arial" w:eastAsia="Arial" w:hAnsi="Arial"/>
                <w:sz w:val="18"/>
                <w:szCs w:val="18"/>
                <w:color w:val="auto"/>
              </w:rPr>
              <w:t>Other investment activity</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(718)</w:t>
            </w:r>
          </w:p>
        </w:tc>
      </w:tr>
      <w:tr>
        <w:trPr>
          <w:trHeight w:val="27"/>
        </w:trPr>
        <w:tc>
          <w:tcPr>
            <w:tcW w:w="9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(20,673)</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(49,758)</w:t>
            </w:r>
          </w:p>
        </w:tc>
      </w:tr>
      <w:tr>
        <w:trPr>
          <w:trHeight w:val="439"/>
        </w:trPr>
        <w:tc>
          <w:tcPr>
            <w:tcW w:w="92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Repurchases of common stock</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(36,704)</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240" w:type="dxa"/>
            <w:vAlign w:val="bottom"/>
          </w:tcPr>
          <w:p>
            <w:pPr>
              <w:ind w:left="420"/>
              <w:spacing w:after="0"/>
              <w:rPr>
                <w:sz w:val="20"/>
                <w:szCs w:val="20"/>
                <w:color w:val="auto"/>
              </w:rPr>
            </w:pPr>
            <w:r>
              <w:rPr>
                <w:rFonts w:ascii="Arial" w:cs="Arial" w:eastAsia="Arial" w:hAnsi="Arial"/>
                <w:sz w:val="18"/>
                <w:szCs w:val="18"/>
                <w:color w:val="auto"/>
              </w:rPr>
              <w:t>Stock options exercised</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18,200</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33,561</w:t>
            </w:r>
          </w:p>
        </w:tc>
      </w:tr>
      <w:tr>
        <w:trPr>
          <w:trHeight w:val="216"/>
        </w:trPr>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paid to stockholders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(29,800)</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(36,870)</w:t>
            </w:r>
          </w:p>
        </w:tc>
      </w:tr>
      <w:tr>
        <w:trPr>
          <w:trHeight w:val="223"/>
        </w:trPr>
        <w:tc>
          <w:tcPr>
            <w:tcW w:w="9240" w:type="dxa"/>
            <w:vAlign w:val="bottom"/>
          </w:tcPr>
          <w:p>
            <w:pPr>
              <w:ind w:left="420"/>
              <w:spacing w:after="0"/>
              <w:rPr>
                <w:sz w:val="20"/>
                <w:szCs w:val="20"/>
                <w:color w:val="auto"/>
              </w:rPr>
            </w:pPr>
            <w:r>
              <w:rPr>
                <w:rFonts w:ascii="Arial" w:cs="Arial" w:eastAsia="Arial" w:hAnsi="Arial"/>
                <w:sz w:val="18"/>
                <w:szCs w:val="18"/>
                <w:color w:val="auto"/>
              </w:rPr>
              <w:t>Change in savings bank subsidiary deposits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19"/>
                <w:szCs w:val="19"/>
                <w:color w:val="auto"/>
              </w:rPr>
            </w:pPr>
          </w:p>
        </w:tc>
      </w:tr>
      <w:tr>
        <w:trPr>
          <w:trHeight w:val="216"/>
        </w:trPr>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(46,067)</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(1,709)</w:t>
            </w:r>
          </w:p>
        </w:tc>
      </w:tr>
      <w:tr>
        <w:trPr>
          <w:trHeight w:val="439"/>
        </w:trPr>
        <w:tc>
          <w:tcPr>
            <w:tcW w:w="92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increase during period</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82,741</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129,702</w:t>
            </w:r>
          </w:p>
        </w:tc>
      </w:tr>
      <w:tr>
        <w:trPr>
          <w:trHeight w:val="223"/>
        </w:trPr>
        <w:tc>
          <w:tcPr>
            <w:tcW w:w="9240" w:type="dxa"/>
            <w:vAlign w:val="bottom"/>
          </w:tcPr>
          <w:p>
            <w:pPr>
              <w:ind w:left="420"/>
              <w:spacing w:after="0"/>
              <w:rPr>
                <w:sz w:val="20"/>
                <w:szCs w:val="20"/>
                <w:color w:val="auto"/>
              </w:rPr>
            </w:pPr>
            <w:r>
              <w:rPr>
                <w:rFonts w:ascii="Arial" w:cs="Arial" w:eastAsia="Arial" w:hAnsi="Arial"/>
                <w:sz w:val="18"/>
                <w:szCs w:val="18"/>
                <w:color w:val="auto"/>
              </w:rPr>
              <w:t>At beginning of year</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499,750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803,589</w:t>
            </w:r>
          </w:p>
        </w:tc>
        <w:tc>
          <w:tcPr>
            <w:tcW w:w="100" w:type="dxa"/>
            <w:vAlign w:val="bottom"/>
          </w:tcPr>
          <w:p>
            <w:pPr>
              <w:spacing w:after="0"/>
              <w:rPr>
                <w:sz w:val="19"/>
                <w:szCs w:val="19"/>
                <w:color w:val="auto"/>
              </w:rPr>
            </w:pPr>
          </w:p>
        </w:tc>
      </w:tr>
      <w:tr>
        <w:trPr>
          <w:trHeight w:val="216"/>
        </w:trPr>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582,491</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$ 933,291</w:t>
            </w:r>
          </w:p>
        </w:tc>
      </w:tr>
      <w:tr>
        <w:trPr>
          <w:trHeight w:val="20"/>
        </w:trPr>
        <w:tc>
          <w:tcPr>
            <w:tcW w:w="9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the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 w:name="page6"/>
    <w:bookmarkEnd w:id="5"/>
    <w:p>
      <w:pPr>
        <w:ind w:right="4200"/>
        <w:spacing w:after="0" w:line="277" w:lineRule="auto"/>
        <w:rPr>
          <w:sz w:val="20"/>
          <w:szCs w:val="20"/>
          <w:color w:val="auto"/>
        </w:rPr>
      </w:pPr>
      <w:r>
        <w:rPr>
          <w:rFonts w:ascii="Arial" w:cs="Arial" w:eastAsia="Arial" w:hAnsi="Arial"/>
          <w:sz w:val="18"/>
          <w:szCs w:val="18"/>
          <w:color w:val="auto"/>
        </w:rPr>
        <w:t>UNAUDITED CONDENSED CONSOLIDATED STATEMENT OF STOCKHOLDERS’ EQUITY (dollars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Additional</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tcPr>
          <w:p>
            <w:pPr>
              <w:jc w:val="center"/>
              <w:ind w:right="320"/>
              <w:spacing w:after="0"/>
              <w:rPr>
                <w:sz w:val="20"/>
                <w:szCs w:val="20"/>
                <w:color w:val="auto"/>
              </w:rPr>
            </w:pPr>
            <w:r>
              <w:rPr>
                <w:rFonts w:ascii="Arial" w:cs="Arial" w:eastAsia="Arial" w:hAnsi="Arial"/>
                <w:sz w:val="14"/>
                <w:szCs w:val="14"/>
                <w:color w:val="auto"/>
                <w:w w:val="96"/>
              </w:rPr>
              <w:t>Accumulated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740"/>
              <w:spacing w:after="0"/>
              <w:rPr>
                <w:sz w:val="20"/>
                <w:szCs w:val="20"/>
                <w:color w:val="auto"/>
              </w:rPr>
            </w:pPr>
            <w:r>
              <w:rPr>
                <w:rFonts w:ascii="Arial" w:cs="Arial" w:eastAsia="Arial" w:hAnsi="Arial"/>
                <w:sz w:val="14"/>
                <w:szCs w:val="14"/>
                <w:color w:val="auto"/>
                <w:w w:val="91"/>
              </w:rPr>
              <w:t>Deferred</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capital in</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3"/>
              </w:rPr>
              <w:t>other</w:t>
            </w:r>
          </w:p>
        </w:tc>
        <w:tc>
          <w:tcPr>
            <w:tcW w:w="300" w:type="dxa"/>
            <w:vAlign w:val="bottom"/>
          </w:tcPr>
          <w:p>
            <w:pPr>
              <w:spacing w:after="0"/>
              <w:rPr>
                <w:sz w:val="12"/>
                <w:szCs w:val="12"/>
                <w:color w:val="auto"/>
              </w:rPr>
            </w:pPr>
          </w:p>
        </w:tc>
        <w:tc>
          <w:tcPr>
            <w:tcW w:w="1440" w:type="dxa"/>
            <w:vAlign w:val="bottom"/>
            <w:gridSpan w:val="3"/>
          </w:tcPr>
          <w:p>
            <w:pPr>
              <w:jc w:val="center"/>
              <w:ind w:right="640"/>
              <w:spacing w:after="0" w:line="149" w:lineRule="exact"/>
              <w:rPr>
                <w:sz w:val="20"/>
                <w:szCs w:val="20"/>
                <w:color w:val="auto"/>
              </w:rPr>
            </w:pPr>
            <w:r>
              <w:rPr>
                <w:rFonts w:ascii="Arial" w:cs="Arial" w:eastAsia="Arial" w:hAnsi="Arial"/>
                <w:sz w:val="14"/>
                <w:szCs w:val="14"/>
                <w:color w:val="auto"/>
                <w:w w:val="90"/>
              </w:rPr>
              <w:t>stock-based</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Total</w:t>
            </w:r>
          </w:p>
        </w:tc>
      </w:tr>
      <w:tr>
        <w:trPr>
          <w:trHeight w:val="149"/>
        </w:trPr>
        <w:tc>
          <w:tcPr>
            <w:tcW w:w="3480" w:type="dxa"/>
            <w:vAlign w:val="bottom"/>
          </w:tcPr>
          <w:p>
            <w:pPr>
              <w:spacing w:after="0"/>
              <w:rPr>
                <w:sz w:val="12"/>
                <w:szCs w:val="12"/>
                <w:color w:val="auto"/>
              </w:rPr>
            </w:pPr>
          </w:p>
        </w:tc>
        <w:tc>
          <w:tcPr>
            <w:tcW w:w="1300" w:type="dxa"/>
            <w:vAlign w:val="bottom"/>
            <w:gridSpan w:val="3"/>
          </w:tcPr>
          <w:p>
            <w:pPr>
              <w:jc w:val="center"/>
              <w:ind w:right="640"/>
              <w:spacing w:after="0" w:line="149" w:lineRule="exact"/>
              <w:rPr>
                <w:sz w:val="20"/>
                <w:szCs w:val="20"/>
                <w:color w:val="auto"/>
              </w:rPr>
            </w:pPr>
            <w:r>
              <w:rPr>
                <w:rFonts w:ascii="Arial" w:cs="Arial" w:eastAsia="Arial" w:hAnsi="Arial"/>
                <w:sz w:val="14"/>
                <w:szCs w:val="14"/>
                <w:color w:val="auto"/>
                <w:w w:val="95"/>
              </w:rPr>
              <w:t>Common</w:t>
            </w: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excess of</w:t>
            </w:r>
          </w:p>
        </w:tc>
        <w:tc>
          <w:tcPr>
            <w:tcW w:w="280" w:type="dxa"/>
            <w:vAlign w:val="bottom"/>
          </w:tcPr>
          <w:p>
            <w:pPr>
              <w:spacing w:after="0"/>
              <w:rPr>
                <w:sz w:val="12"/>
                <w:szCs w:val="12"/>
                <w:color w:val="auto"/>
              </w:rPr>
            </w:pPr>
          </w:p>
        </w:tc>
        <w:tc>
          <w:tcPr>
            <w:tcW w:w="11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Retained</w:t>
            </w:r>
          </w:p>
        </w:tc>
        <w:tc>
          <w:tcPr>
            <w:tcW w:w="1460" w:type="dxa"/>
            <w:vAlign w:val="bottom"/>
            <w:gridSpan w:val="4"/>
          </w:tcPr>
          <w:p>
            <w:pPr>
              <w:jc w:val="center"/>
              <w:ind w:right="40"/>
              <w:spacing w:after="0" w:line="149" w:lineRule="exact"/>
              <w:rPr>
                <w:sz w:val="20"/>
                <w:szCs w:val="20"/>
                <w:color w:val="auto"/>
              </w:rPr>
            </w:pPr>
            <w:r>
              <w:rPr>
                <w:rFonts w:ascii="Arial" w:cs="Arial" w:eastAsia="Arial" w:hAnsi="Arial"/>
                <w:sz w:val="14"/>
                <w:szCs w:val="14"/>
                <w:color w:val="auto"/>
                <w:w w:val="90"/>
              </w:rPr>
              <w:t>comprehensive</w:t>
            </w:r>
          </w:p>
        </w:tc>
        <w:tc>
          <w:tcPr>
            <w:tcW w:w="300" w:type="dxa"/>
            <w:vAlign w:val="bottom"/>
          </w:tcPr>
          <w:p>
            <w:pPr>
              <w:spacing w:after="0"/>
              <w:rPr>
                <w:sz w:val="12"/>
                <w:szCs w:val="12"/>
                <w:color w:val="auto"/>
              </w:rPr>
            </w:pPr>
          </w:p>
        </w:tc>
        <w:tc>
          <w:tcPr>
            <w:tcW w:w="1440" w:type="dxa"/>
            <w:vAlign w:val="bottom"/>
            <w:gridSpan w:val="3"/>
          </w:tcPr>
          <w:p>
            <w:pPr>
              <w:jc w:val="center"/>
              <w:ind w:right="640"/>
              <w:spacing w:after="0" w:line="149" w:lineRule="exact"/>
              <w:rPr>
                <w:sz w:val="20"/>
                <w:szCs w:val="20"/>
                <w:color w:val="auto"/>
              </w:rPr>
            </w:pPr>
            <w:r>
              <w:rPr>
                <w:rFonts w:ascii="Arial" w:cs="Arial" w:eastAsia="Arial" w:hAnsi="Arial"/>
                <w:sz w:val="14"/>
                <w:szCs w:val="14"/>
                <w:color w:val="auto"/>
                <w:w w:val="91"/>
              </w:rPr>
              <w:t>compensation</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stockholders'</w:t>
            </w:r>
          </w:p>
        </w:tc>
      </w:tr>
      <w:tr>
        <w:trPr>
          <w:trHeight w:val="167"/>
        </w:trPr>
        <w:tc>
          <w:tcPr>
            <w:tcW w:w="3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780"/>
              <w:spacing w:after="0"/>
              <w:rPr>
                <w:sz w:val="20"/>
                <w:szCs w:val="20"/>
                <w:color w:val="auto"/>
              </w:rPr>
            </w:pPr>
            <w:r>
              <w:rPr>
                <w:rFonts w:ascii="Arial" w:cs="Arial" w:eastAsia="Arial" w:hAnsi="Arial"/>
                <w:sz w:val="14"/>
                <w:szCs w:val="14"/>
                <w:color w:val="auto"/>
                <w:w w:val="91"/>
              </w:rPr>
              <w:t>stock</w:t>
            </w:r>
          </w:p>
        </w:tc>
        <w:tc>
          <w:tcPr>
            <w:tcW w:w="1040" w:type="dxa"/>
            <w:vAlign w:val="bottom"/>
            <w:gridSpan w:val="2"/>
          </w:tcPr>
          <w:p>
            <w:pPr>
              <w:jc w:val="right"/>
              <w:ind w:right="420"/>
              <w:spacing w:after="0"/>
              <w:rPr>
                <w:sz w:val="20"/>
                <w:szCs w:val="20"/>
                <w:color w:val="auto"/>
              </w:rPr>
            </w:pPr>
            <w:r>
              <w:rPr>
                <w:rFonts w:ascii="Arial" w:cs="Arial" w:eastAsia="Arial" w:hAnsi="Arial"/>
                <w:sz w:val="14"/>
                <w:szCs w:val="14"/>
                <w:color w:val="auto"/>
              </w:rPr>
              <w:t>par value</w:t>
            </w:r>
          </w:p>
        </w:tc>
        <w:tc>
          <w:tcPr>
            <w:tcW w:w="280" w:type="dxa"/>
            <w:vAlign w:val="bottom"/>
          </w:tcPr>
          <w:p>
            <w:pPr>
              <w:spacing w:after="0"/>
              <w:rPr>
                <w:sz w:val="14"/>
                <w:szCs w:val="14"/>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4"/>
                <w:szCs w:val="14"/>
                <w:color w:val="auto"/>
              </w:rPr>
              <w:t>earnings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480"/>
              <w:spacing w:after="0"/>
              <w:rPr>
                <w:sz w:val="20"/>
                <w:szCs w:val="20"/>
                <w:color w:val="auto"/>
              </w:rPr>
            </w:pPr>
            <w:r>
              <w:rPr>
                <w:rFonts w:ascii="Arial" w:cs="Arial" w:eastAsia="Arial" w:hAnsi="Arial"/>
                <w:sz w:val="14"/>
                <w:szCs w:val="14"/>
                <w:color w:val="auto"/>
                <w:w w:val="92"/>
              </w:rPr>
              <w:t>income</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740"/>
              <w:spacing w:after="0"/>
              <w:rPr>
                <w:sz w:val="20"/>
                <w:szCs w:val="20"/>
                <w:color w:val="auto"/>
              </w:rPr>
            </w:pPr>
            <w:r>
              <w:rPr>
                <w:rFonts w:ascii="Arial" w:cs="Arial" w:eastAsia="Arial" w:hAnsi="Arial"/>
                <w:sz w:val="14"/>
                <w:szCs w:val="14"/>
                <w:color w:val="auto"/>
                <w:w w:val="86"/>
              </w:rPr>
              <w:t>expense</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equity</w:t>
            </w:r>
          </w:p>
        </w:tc>
      </w:tr>
      <w:tr>
        <w:trPr>
          <w:trHeight w:val="195"/>
        </w:trPr>
        <w:tc>
          <w:tcPr>
            <w:tcW w:w="34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 at December 31, 2005,</w:t>
            </w: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3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131,678,371 common shares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26,336</w:t>
            </w:r>
          </w:p>
        </w:tc>
        <w:tc>
          <w:tcPr>
            <w:tcW w:w="6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$ 279,680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$ 1,683,273</w:t>
            </w:r>
          </w:p>
        </w:tc>
        <w:tc>
          <w:tcPr>
            <w:tcW w:w="3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48,544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(1,731)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$ 2,036,102</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Comprehensive income</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116,694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3480" w:type="dxa"/>
            <w:vAlign w:val="bottom"/>
          </w:tcPr>
          <w:p>
            <w:pPr>
              <w:ind w:left="420"/>
              <w:spacing w:after="0" w:line="201" w:lineRule="exact"/>
              <w:rPr>
                <w:sz w:val="20"/>
                <w:szCs w:val="20"/>
                <w:color w:val="auto"/>
              </w:rPr>
            </w:pPr>
            <w:r>
              <w:rPr>
                <w:rFonts w:ascii="Arial" w:cs="Arial" w:eastAsia="Arial" w:hAnsi="Arial"/>
                <w:sz w:val="18"/>
                <w:szCs w:val="18"/>
                <w:color w:val="auto"/>
              </w:rPr>
              <w:t>Change in unrealized security</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480" w:type="dxa"/>
            <w:vAlign w:val="bottom"/>
          </w:tcPr>
          <w:p>
            <w:pPr>
              <w:ind w:left="620"/>
              <w:spacing w:after="0"/>
              <w:rPr>
                <w:sz w:val="20"/>
                <w:szCs w:val="20"/>
                <w:color w:val="auto"/>
              </w:rPr>
            </w:pPr>
            <w:r>
              <w:rPr>
                <w:rFonts w:ascii="Arial" w:cs="Arial" w:eastAsia="Arial" w:hAnsi="Arial"/>
                <w:sz w:val="18"/>
                <w:szCs w:val="18"/>
                <w:color w:val="auto"/>
              </w:rPr>
              <w:t>holding gains, net of taxes</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7,280</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comprehensive income</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123,974</w:t>
            </w:r>
          </w:p>
        </w:tc>
      </w:tr>
      <w:tr>
        <w:trPr>
          <w:trHeight w:val="202"/>
        </w:trPr>
        <w:tc>
          <w:tcPr>
            <w:tcW w:w="3480" w:type="dxa"/>
            <w:vAlign w:val="bottom"/>
          </w:tcPr>
          <w:p>
            <w:pPr>
              <w:spacing w:after="0" w:line="201" w:lineRule="exact"/>
              <w:rPr>
                <w:sz w:val="20"/>
                <w:szCs w:val="20"/>
                <w:color w:val="auto"/>
              </w:rPr>
            </w:pPr>
            <w:r>
              <w:rPr>
                <w:rFonts w:ascii="Arial" w:cs="Arial" w:eastAsia="Arial" w:hAnsi="Arial"/>
                <w:sz w:val="18"/>
                <w:szCs w:val="18"/>
                <w:color w:val="auto"/>
              </w:rPr>
              <w:t>861,017 common shares issued upon</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480" w:type="dxa"/>
            <w:vAlign w:val="bottom"/>
          </w:tcPr>
          <w:p>
            <w:pPr>
              <w:ind w:left="220"/>
              <w:spacing w:after="0"/>
              <w:rPr>
                <w:sz w:val="20"/>
                <w:szCs w:val="20"/>
                <w:color w:val="auto"/>
              </w:rPr>
            </w:pPr>
            <w:r>
              <w:rPr>
                <w:rFonts w:ascii="Arial" w:cs="Arial" w:eastAsia="Arial" w:hAnsi="Arial"/>
                <w:sz w:val="18"/>
                <w:szCs w:val="18"/>
                <w:color w:val="auto"/>
              </w:rPr>
              <w:t>option exercises under stock-based</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480" w:type="dxa"/>
            <w:vAlign w:val="bottom"/>
          </w:tcPr>
          <w:p>
            <w:pPr>
              <w:ind w:left="220"/>
              <w:spacing w:after="0"/>
              <w:rPr>
                <w:sz w:val="20"/>
                <w:szCs w:val="20"/>
                <w:color w:val="auto"/>
              </w:rPr>
            </w:pPr>
            <w:r>
              <w:rPr>
                <w:rFonts w:ascii="Arial" w:cs="Arial" w:eastAsia="Arial" w:hAnsi="Arial"/>
                <w:sz w:val="18"/>
                <w:szCs w:val="18"/>
                <w:color w:val="auto"/>
              </w:rPr>
              <w:t>compensation plans</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172</w:t>
            </w:r>
          </w:p>
        </w:tc>
        <w:tc>
          <w:tcPr>
            <w:tcW w:w="62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33,389</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33,561</w:t>
            </w:r>
          </w:p>
        </w:tc>
      </w:tr>
      <w:tr>
        <w:trPr>
          <w:trHeight w:val="202"/>
        </w:trPr>
        <w:tc>
          <w:tcPr>
            <w:tcW w:w="3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Reclassification arising from adoption of</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SFAS 123R</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(1,731)</w:t>
            </w: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1,731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14,835</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14,835</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(37,064)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(37,064)</w:t>
            </w:r>
          </w:p>
        </w:tc>
      </w:tr>
      <w:tr>
        <w:trPr>
          <w:trHeight w:val="209"/>
        </w:trPr>
        <w:tc>
          <w:tcPr>
            <w:tcW w:w="3480" w:type="dxa"/>
            <w:vAlign w:val="bottom"/>
          </w:tcPr>
          <w:p>
            <w:pPr>
              <w:spacing w:after="0"/>
              <w:rPr>
                <w:sz w:val="20"/>
                <w:szCs w:val="20"/>
                <w:color w:val="auto"/>
              </w:rPr>
            </w:pPr>
            <w:r>
              <w:rPr>
                <w:rFonts w:ascii="Arial" w:cs="Arial" w:eastAsia="Arial" w:hAnsi="Arial"/>
                <w:sz w:val="18"/>
                <w:szCs w:val="18"/>
                <w:color w:val="auto"/>
              </w:rPr>
              <w:t>Balance at March 31, 2006,</w:t>
            </w: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480" w:type="dxa"/>
            <w:vAlign w:val="bottom"/>
          </w:tcPr>
          <w:p>
            <w:pPr>
              <w:ind w:left="220"/>
              <w:spacing w:after="0"/>
              <w:rPr>
                <w:sz w:val="20"/>
                <w:szCs w:val="20"/>
                <w:color w:val="auto"/>
              </w:rPr>
            </w:pPr>
            <w:r>
              <w:rPr>
                <w:rFonts w:ascii="Arial" w:cs="Arial" w:eastAsia="Arial" w:hAnsi="Arial"/>
                <w:sz w:val="18"/>
                <w:szCs w:val="18"/>
                <w:color w:val="auto"/>
              </w:rPr>
              <w:t>132,539,388 common shares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26,508</w:t>
            </w:r>
          </w:p>
        </w:tc>
        <w:tc>
          <w:tcPr>
            <w:tcW w:w="62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$ 326,173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$ 1,762,903</w:t>
            </w:r>
          </w:p>
        </w:tc>
        <w:tc>
          <w:tcPr>
            <w:tcW w:w="340" w:type="dxa"/>
            <w:vAlign w:val="bottom"/>
          </w:tcPr>
          <w:p>
            <w:pPr>
              <w:spacing w:after="0"/>
              <w:rPr>
                <w:sz w:val="20"/>
                <w:szCs w:val="20"/>
                <w:color w:val="auto"/>
              </w:rPr>
            </w:pPr>
          </w:p>
        </w:tc>
        <w:tc>
          <w:tcPr>
            <w:tcW w:w="4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55,824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$ 2,171,408</w:t>
            </w:r>
          </w:p>
        </w:tc>
      </w:tr>
      <w:tr>
        <w:trPr>
          <w:trHeight w:val="20"/>
        </w:trPr>
        <w:tc>
          <w:tcPr>
            <w:tcW w:w="3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the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ind w:right="4700"/>
        <w:spacing w:after="0" w:line="375" w:lineRule="auto"/>
        <w:rPr>
          <w:sz w:val="20"/>
          <w:szCs w:val="20"/>
          <w:color w:val="auto"/>
        </w:rPr>
      </w:pPr>
      <w:r>
        <w:rPr>
          <w:rFonts w:ascii="Arial" w:cs="Arial" w:eastAsia="Arial" w:hAnsi="Arial"/>
          <w:sz w:val="18"/>
          <w:szCs w:val="18"/>
          <w:color w:val="auto"/>
        </w:rPr>
        <w:t>NOTES TO UNAUDITED CONDENSED CONSOLIDATED FINANCIAL STATEMENTS NOTE 1 — THE COMPANY AND BASIS OF PREPARATION.</w:t>
      </w:r>
    </w:p>
    <w:p>
      <w:pPr>
        <w:spacing w:after="0" w:line="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 Rowe Price Group derives its consolidated revenues and net income primarily from investment advisory services that its subsidiaries provide to individual and institutional investors in the sponsored T. Rowe Price mutual funds and other investment portfolios. We also provide our investment advisory clients with related administrative services, including mutual fund transfer agent, accounting and shareholder services; participant recordkeeping and transfer agent services for defined contribution retirement plans; discount brokerage; and trust services. The investors that we serve are primarily domiciled in the United States of America.</w:t>
      </w:r>
    </w:p>
    <w:p>
      <w:pPr>
        <w:spacing w:after="0" w:line="8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6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These unaudited condensed consolidated financial statements are prepared in accordance with accounting principles generally accepted in the United States and reflect all adjustments which are, in the opinion of management, necessary to a fair statement of our results for the interim periods presented. All such adjustments are of a normal recurring nature.</w:t>
      </w:r>
    </w:p>
    <w:p>
      <w:pPr>
        <w:spacing w:after="0" w:line="73"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unaudited interim financial information contained in these condensed consolidated financial statements should be read in conjunction with the consolidated financial statements contained in our 2005 Annual Report.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NOTE 2 — STOCK-BASED COMPENSATION.</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 xml:space="preserve">On January 1, 2006, we adopted the provisions of Statement of Financial Accounting Standards No. 123R,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(SFAS 123R), and began recognizing stock option-based compensation expense in our consolidated statement of income using the fair value based method applied on a modified prospective basis. Accordingly, financial statements for periods prior to 2006 have not been restated.</w:t>
      </w:r>
    </w:p>
    <w:p>
      <w:pPr>
        <w:spacing w:after="0" w:line="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compares our interim net income (in thousands) and earnings per share for 2006 with the pro forma interim 2005 results as if we applied the fair value based method last year.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5"/>
          </w:tcPr>
          <w:p>
            <w:pPr>
              <w:ind w:left="32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6"/>
              </w:rPr>
              <w:t>3/31/2005</w:t>
            </w:r>
          </w:p>
        </w:tc>
        <w:tc>
          <w:tcPr>
            <w:tcW w:w="68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3/31/2006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94,297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116,694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Additional stock-option based compensation expense estimated using the fair value based method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w w:val="89"/>
              </w:rPr>
              <w:t>(13,740)</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Related income tax benefits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4,544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160" w:type="dxa"/>
            <w:vAlign w:val="bottom"/>
            <w:gridSpan w:val="2"/>
          </w:tcPr>
          <w:p>
            <w:pPr>
              <w:spacing w:after="0"/>
              <w:rPr>
                <w:sz w:val="20"/>
                <w:szCs w:val="20"/>
                <w:color w:val="auto"/>
              </w:rPr>
            </w:pPr>
            <w:r>
              <w:rPr>
                <w:rFonts w:ascii="Arial" w:cs="Arial" w:eastAsia="Arial" w:hAnsi="Arial"/>
                <w:sz w:val="18"/>
                <w:szCs w:val="18"/>
                <w:color w:val="auto"/>
              </w:rPr>
              <w:t>Pro forma net income</w:t>
            </w:r>
          </w:p>
        </w:tc>
        <w:tc>
          <w:tcPr>
            <w:tcW w:w="1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85,101</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116,694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00"/>
              <w:spacing w:after="0"/>
              <w:rPr>
                <w:sz w:val="20"/>
                <w:szCs w:val="20"/>
                <w:color w:val="auto"/>
              </w:rPr>
            </w:pPr>
            <w:r>
              <w:rPr>
                <w:rFonts w:ascii="Arial" w:cs="Arial" w:eastAsia="Arial" w:hAnsi="Arial"/>
                <w:sz w:val="18"/>
                <w:szCs w:val="18"/>
                <w:color w:val="auto"/>
              </w:rPr>
              <w:t>Basic — as reported</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72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 — pro forma</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140" w:type="dxa"/>
            <w:vAlign w:val="bottom"/>
          </w:tcPr>
          <w:p>
            <w:pPr>
              <w:ind w:left="400"/>
              <w:spacing w:after="0"/>
              <w:rPr>
                <w:sz w:val="20"/>
                <w:szCs w:val="20"/>
                <w:color w:val="auto"/>
              </w:rPr>
            </w:pPr>
            <w:r>
              <w:rPr>
                <w:rFonts w:ascii="Arial" w:cs="Arial" w:eastAsia="Arial" w:hAnsi="Arial"/>
                <w:sz w:val="18"/>
                <w:szCs w:val="18"/>
                <w:color w:val="auto"/>
              </w:rPr>
              <w:t>Diluted — as reported</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0.69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 — pro forma</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Net income for the 2006 first quarter includes $14,835,000 of stock-based compensation expense, including $1,726,000 primarily for reload grants made during the period. Financing cash inflows from stock option exercises in the first quarter of 2006 include $15.2 million of tax benefits arising from related tax deductions that reduce the amount of income taxes that would otherwise be payable.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The following table summarizes the status of and changes in our stock option grants during the first quarter of 2006.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gridSpan w:val="3"/>
          </w:tcPr>
          <w:p>
            <w:pPr>
              <w:jc w:val="center"/>
              <w:ind w:right="660"/>
              <w:spacing w:after="0"/>
              <w:rPr>
                <w:sz w:val="20"/>
                <w:szCs w:val="20"/>
                <w:color w:val="auto"/>
              </w:rPr>
            </w:pPr>
            <w:r>
              <w:rPr>
                <w:rFonts w:ascii="Arial" w:cs="Arial" w:eastAsia="Arial" w:hAnsi="Arial"/>
                <w:sz w:val="14"/>
                <w:szCs w:val="14"/>
                <w:color w:val="auto"/>
                <w:w w:val="93"/>
              </w:rPr>
              <w:t>Weighted-</w:t>
            </w: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color w:val="auto"/>
                <w:w w:val="93"/>
              </w:rPr>
              <w:t>Weighted-</w:t>
            </w:r>
          </w:p>
        </w:tc>
      </w:tr>
      <w:tr>
        <w:trPr>
          <w:trHeight w:val="149"/>
        </w:trPr>
        <w:tc>
          <w:tcPr>
            <w:tcW w:w="6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86"/>
              </w:rPr>
              <w:t>average</w:t>
            </w: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6"/>
              </w:rPr>
              <w:t>average</w:t>
            </w:r>
          </w:p>
        </w:tc>
      </w:tr>
      <w:tr>
        <w:trPr>
          <w:trHeight w:val="149"/>
        </w:trPr>
        <w:tc>
          <w:tcPr>
            <w:tcW w:w="6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91"/>
              </w:rPr>
              <w:t>exercise</w:t>
            </w: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5"/>
              </w:rPr>
              <w:t>Options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exercise</w:t>
            </w:r>
          </w:p>
        </w:tc>
      </w:tr>
      <w:tr>
        <w:trPr>
          <w:trHeight w:val="167"/>
        </w:trPr>
        <w:tc>
          <w:tcPr>
            <w:tcW w:w="6180" w:type="dxa"/>
            <w:vAlign w:val="bottom"/>
          </w:tcPr>
          <w:p>
            <w:pPr>
              <w:spacing w:after="0"/>
              <w:rPr>
                <w:sz w:val="14"/>
                <w:szCs w:val="14"/>
                <w:color w:val="auto"/>
              </w:rPr>
            </w:pPr>
          </w:p>
        </w:tc>
        <w:tc>
          <w:tcPr>
            <w:tcW w:w="9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Options</w:t>
            </w:r>
          </w:p>
        </w:tc>
        <w:tc>
          <w:tcPr>
            <w:tcW w:w="64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color w:val="auto"/>
                <w:w w:val="92"/>
              </w:rPr>
              <w:t>price</w:t>
            </w:r>
          </w:p>
        </w:tc>
        <w:tc>
          <w:tcPr>
            <w:tcW w:w="66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exercisable</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color w:val="auto"/>
                <w:w w:val="92"/>
              </w:rPr>
              <w:t>price</w:t>
            </w:r>
          </w:p>
        </w:tc>
        <w:tc>
          <w:tcPr>
            <w:tcW w:w="100" w:type="dxa"/>
            <w:vAlign w:val="bottom"/>
          </w:tcPr>
          <w:p>
            <w:pPr>
              <w:spacing w:after="0"/>
              <w:rPr>
                <w:sz w:val="14"/>
                <w:szCs w:val="14"/>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2005</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22,948,424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42.84</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13,489,524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36.26</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Annual grants</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76.61</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Reload grants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136,054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75.06</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Exercised</w:t>
            </w:r>
          </w:p>
        </w:tc>
        <w:tc>
          <w:tcPr>
            <w:tcW w:w="1560" w:type="dxa"/>
            <w:vAlign w:val="bottom"/>
            <w:gridSpan w:val="3"/>
          </w:tcPr>
          <w:p>
            <w:pPr>
              <w:jc w:val="right"/>
              <w:ind w:right="580"/>
              <w:spacing w:after="0"/>
              <w:rPr>
                <w:sz w:val="20"/>
                <w:szCs w:val="20"/>
                <w:color w:val="auto"/>
              </w:rPr>
            </w:pPr>
            <w:r>
              <w:rPr>
                <w:rFonts w:ascii="Arial" w:cs="Arial" w:eastAsia="Arial" w:hAnsi="Arial"/>
                <w:sz w:val="18"/>
                <w:szCs w:val="18"/>
                <w:color w:val="auto"/>
              </w:rPr>
              <w:t>(1,105,435)</w:t>
            </w: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33.20</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Forfeited or cancelled</w:t>
            </w:r>
          </w:p>
        </w:tc>
        <w:tc>
          <w:tcPr>
            <w:tcW w:w="15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(107,700)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51.67</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Outstanding at March 31, 2006</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21,872,343</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43.49</w:t>
            </w:r>
          </w:p>
        </w:tc>
        <w:tc>
          <w:tcPr>
            <w:tcW w:w="66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12,522,843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36.96</w:t>
            </w:r>
          </w:p>
        </w:tc>
      </w:tr>
      <w:tr>
        <w:trPr>
          <w:trHeight w:val="20"/>
        </w:trPr>
        <w:tc>
          <w:tcPr>
            <w:tcW w:w="6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presents the future stock-based compensation expense (in thousands) expected to be recognized over the vesting period of the 9,349,500 nonvested options and 31,500 restricted shares outstanding at March 31, 2006.</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2006</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13,212</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Third quarter 2006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13,015</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2006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9,695</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2007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27,990</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2008 through 2011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24,099</w:t>
            </w:r>
          </w:p>
        </w:tc>
        <w:tc>
          <w:tcPr>
            <w:tcW w:w="80" w:type="dxa"/>
            <w:vAlign w:val="bottom"/>
            <w:shd w:val="clear" w:color="auto" w:fill="CCEEFF"/>
          </w:tcPr>
          <w:p>
            <w:pPr>
              <w:spacing w:after="0"/>
              <w:rPr>
                <w:sz w:val="18"/>
                <w:szCs w:val="18"/>
                <w:color w:val="auto"/>
              </w:rPr>
            </w:pPr>
          </w:p>
        </w:tc>
      </w:tr>
      <w:tr>
        <w:trPr>
          <w:trHeight w:val="223"/>
        </w:trPr>
        <w:tc>
          <w:tcPr>
            <w:tcW w:w="106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88,011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Estimated future compensation expense will change to reflect future option grants including reloads, future share awards, changes in estimated forfeitures, and adjustments for actual forfeitures.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NOTE 3 — INFORMATION ABOUT REVENUES AND SERVICES.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Revenues (in thousands) from advisory services provided under agreements with sponsored mutual funds and other investment clients for the interim periods ended March 31 include: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40" w:type="dxa"/>
            <w:vAlign w:val="bottom"/>
          </w:tcPr>
          <w:p>
            <w:pPr>
              <w:spacing w:after="0"/>
              <w:rPr>
                <w:sz w:val="14"/>
                <w:szCs w:val="14"/>
                <w:color w:val="auto"/>
              </w:rPr>
            </w:pPr>
          </w:p>
        </w:tc>
        <w:tc>
          <w:tcPr>
            <w:tcW w:w="2180" w:type="dxa"/>
            <w:vAlign w:val="bottom"/>
            <w:gridSpan w:val="6"/>
          </w:tcPr>
          <w:p>
            <w:pPr>
              <w:ind w:left="440"/>
              <w:spacing w:after="0"/>
              <w:rPr>
                <w:sz w:val="20"/>
                <w:szCs w:val="20"/>
                <w:color w:val="auto"/>
              </w:rPr>
            </w:pPr>
            <w:r>
              <w:rPr>
                <w:rFonts w:ascii="Arial" w:cs="Arial" w:eastAsia="Arial" w:hAnsi="Arial"/>
                <w:sz w:val="14"/>
                <w:szCs w:val="14"/>
                <w:color w:val="auto"/>
              </w:rPr>
              <w:t>Three months ended</w:t>
            </w:r>
          </w:p>
        </w:tc>
      </w:tr>
      <w:tr>
        <w:trPr>
          <w:trHeight w:val="142"/>
        </w:trPr>
        <w:tc>
          <w:tcPr>
            <w:tcW w:w="924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3/31/2005</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3/31/2006</w:t>
            </w:r>
          </w:p>
        </w:tc>
        <w:tc>
          <w:tcPr>
            <w:tcW w:w="100" w:type="dxa"/>
            <w:vAlign w:val="bottom"/>
          </w:tcPr>
          <w:p>
            <w:pPr>
              <w:spacing w:after="0"/>
              <w:rPr>
                <w:sz w:val="12"/>
                <w:szCs w:val="12"/>
                <w:color w:val="auto"/>
              </w:rPr>
            </w:pP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40" w:type="dxa"/>
            <w:vAlign w:val="bottom"/>
          </w:tcPr>
          <w:p>
            <w:pPr>
              <w:ind w:left="420"/>
              <w:spacing w:after="0"/>
              <w:rPr>
                <w:sz w:val="20"/>
                <w:szCs w:val="20"/>
                <w:color w:val="auto"/>
              </w:rPr>
            </w:pPr>
            <w:r>
              <w:rPr>
                <w:rFonts w:ascii="Arial" w:cs="Arial" w:eastAsia="Arial" w:hAnsi="Arial"/>
                <w:sz w:val="18"/>
                <w:szCs w:val="18"/>
                <w:color w:val="auto"/>
              </w:rPr>
              <w:t>Stock</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$ 173,499</w:t>
            </w:r>
          </w:p>
        </w:tc>
        <w:tc>
          <w:tcPr>
            <w:tcW w:w="32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$ 222,842</w:t>
            </w:r>
          </w:p>
        </w:tc>
      </w:tr>
      <w:tr>
        <w:trPr>
          <w:trHeight w:val="216"/>
        </w:trPr>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Bond and money market</w:t>
            </w: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34,693</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36,237</w:t>
            </w:r>
          </w:p>
        </w:tc>
      </w:tr>
      <w:tr>
        <w:trPr>
          <w:trHeight w:val="223"/>
        </w:trPr>
        <w:tc>
          <w:tcPr>
            <w:tcW w:w="92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208,192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259,079</w:t>
            </w:r>
          </w:p>
        </w:tc>
        <w:tc>
          <w:tcPr>
            <w:tcW w:w="100" w:type="dxa"/>
            <w:vAlign w:val="bottom"/>
          </w:tcPr>
          <w:p>
            <w:pPr>
              <w:spacing w:after="0"/>
              <w:rPr>
                <w:sz w:val="19"/>
                <w:szCs w:val="19"/>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80,811</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94,806</w:t>
            </w: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auto"/>
              </w:rPr>
              <w:t>Total investment advisory fees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$ 289,003</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$ 353,885</w:t>
            </w:r>
          </w:p>
        </w:tc>
        <w:tc>
          <w:tcPr>
            <w:tcW w:w="100" w:type="dxa"/>
            <w:vAlign w:val="bottom"/>
          </w:tcPr>
          <w:p>
            <w:pPr>
              <w:spacing w:after="0"/>
              <w:rPr>
                <w:sz w:val="19"/>
                <w:szCs w:val="19"/>
                <w:color w:val="auto"/>
              </w:rPr>
            </w:pPr>
          </w:p>
        </w:tc>
      </w:tr>
      <w:tr>
        <w:trPr>
          <w:trHeight w:val="20"/>
        </w:trPr>
        <w:tc>
          <w:tcPr>
            <w:tcW w:w="9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various investment portfolios and assets under management (in billions) on which advisory fees are earned.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5"/>
          </w:tcPr>
          <w:p>
            <w:pPr>
              <w:jc w:val="right"/>
              <w:spacing w:after="0"/>
              <w:rPr>
                <w:sz w:val="20"/>
                <w:szCs w:val="20"/>
                <w:color w:val="auto"/>
              </w:rPr>
            </w:pPr>
            <w:r>
              <w:rPr>
                <w:rFonts w:ascii="Arial" w:cs="Arial" w:eastAsia="Arial" w:hAnsi="Arial"/>
                <w:sz w:val="14"/>
                <w:szCs w:val="14"/>
                <w:color w:val="auto"/>
              </w:rPr>
              <w:t>Average during</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the first quarter</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color w:val="auto"/>
                <w:w w:val="91"/>
              </w:rPr>
              <w:t>12/31/2005</w:t>
            </w:r>
          </w:p>
        </w:tc>
        <w:tc>
          <w:tcPr>
            <w:tcW w:w="340" w:type="dxa"/>
            <w:vAlign w:val="bottom"/>
          </w:tcPr>
          <w:p>
            <w:pPr>
              <w:spacing w:after="0"/>
              <w:rPr>
                <w:sz w:val="14"/>
                <w:szCs w:val="14"/>
                <w:color w:val="auto"/>
              </w:rPr>
            </w:pP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color w:val="auto"/>
              </w:rPr>
              <w:t>3/31/2006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37"/>
              <w:spacing w:after="0" w:line="142" w:lineRule="exact"/>
              <w:rPr>
                <w:sz w:val="20"/>
                <w:szCs w:val="20"/>
                <w:color w:val="auto"/>
              </w:rPr>
            </w:pPr>
            <w:r>
              <w:rPr>
                <w:rFonts w:ascii="Arial" w:cs="Arial" w:eastAsia="Arial" w:hAnsi="Arial"/>
                <w:sz w:val="14"/>
                <w:szCs w:val="14"/>
                <w:color w:val="auto"/>
              </w:rPr>
              <w:t>2005</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color w:val="auto"/>
              </w:rPr>
              <w:t>2006</w:t>
            </w:r>
          </w:p>
        </w:tc>
        <w:tc>
          <w:tcPr>
            <w:tcW w:w="6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420"/>
              <w:spacing w:after="0"/>
              <w:rPr>
                <w:sz w:val="20"/>
                <w:szCs w:val="20"/>
                <w:color w:val="auto"/>
              </w:rPr>
            </w:pPr>
            <w:r>
              <w:rPr>
                <w:rFonts w:ascii="Arial" w:cs="Arial" w:eastAsia="Arial" w:hAnsi="Arial"/>
                <w:sz w:val="18"/>
                <w:szCs w:val="18"/>
                <w:color w:val="auto"/>
              </w:rPr>
              <w:t>Stock</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115.2</w:t>
            </w:r>
          </w:p>
        </w:tc>
        <w:tc>
          <w:tcPr>
            <w:tcW w:w="3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146.4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137.7</w:t>
            </w:r>
          </w:p>
        </w:tc>
        <w:tc>
          <w:tcPr>
            <w:tcW w:w="5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151.4</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Bond and money market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31.5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33.1</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32.5</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179.5</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170.2</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88.0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102.5</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234.7</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282.0</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269.5</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Fees for advisory-related administrative services provided to our sponsored mutual funds were $51,048,000 and $58,462,000 for the first three months of 2005 and 2006, respectively. Accounts receivable from the mutual funds aggregate $104,537,000 at December 31, 2005 and $111,403,000 at March 31, 2006.</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10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reviewed the accompanying condensed consolidated balance sheet of T. Rowe Price Group, Inc. and subsidiaries as of March 31, 2006, the related condensed consolidated statements of income and of cash flows for the three-month periods ended March 31, 2005 and 2006, and the related condensed consolidated statement of stockholders’ equity for the three-month period ended March 31, 2006. These condensed consolidated financial statements are the responsibility of the Company’s management.</w:t>
      </w:r>
    </w:p>
    <w:p>
      <w:pPr>
        <w:spacing w:after="0" w:line="7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conducted our reviews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standards of the Public Company Accounting Oversight Board (United States), the objective of which is the expression of an opinion regarding the financial statements taken as a whole. Accordingly, we do not express such an opinion.</w:t>
      </w:r>
    </w:p>
    <w:p>
      <w:pPr>
        <w:spacing w:after="0" w:line="4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Based on our reviews, we are not aware of any material modifications that should be made to the condensed consolidated financial statements referred to above for them to be in conformity with U.S. generally accepted accounting principles.</w:t>
      </w:r>
    </w:p>
    <w:p>
      <w:pPr>
        <w:spacing w:after="0" w:line="6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have previously audited, in accordance with the standards of the Public Company Accounting Oversight Board (United States), the consolidated balance sheet of T. Rowe Price Group, Inc. and subsidiaries as of December 31, 2005, and the related consolidated statements of income, cash flows, and stockholders’ equity for the year then ended (not presented herein); and in our report dated February 9, 2006, we expressed an unqualified opinion on those consolidated financial statements. In our opinion, the information set forth in the accompanying condensed consolidated balance sheet as of December 31, 2005, is fairly stated, in all material respects, in relation to the consolidated balance sheet from which it has been derived.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25, 2006</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11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Our revenues and net income are derived primarily from investment advisory services provided to U.S. individual and institutional investors in our sponsored mutual funds and other managed investment portfolios. Investment advisory revenues depend largely on the total value and composition of assets under our management. Accordingly, fluctuations in financial markets and in the composition of assets under management impact our revenues and results of operations. Investment advisory clients outside the United States account for more than 5% of our assets under management at March 31, 2006.</w:t>
      </w:r>
    </w:p>
    <w:p>
      <w:pPr>
        <w:spacing w:after="0" w:line="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Equity market results in the United States started 2006 on a strong basis as early January indications from the Federal Reserve were that its series of tightening moves was slowing and nearing an end. Market gains later in the first quarter were tempered, though, as the Fed raised its target short-term rate twice with .25% increases at the end of January and March. All three major indexes posted gains for the quarter that were stronger than their respective full-year 2005 results. The NASDAQ index, which is heavily weighted with technology companies, ended up a strong 6.1%, while the Dow Jones Industrials and S&amp;P 500 were up 3.7%. Investor concerns about the strength of the U.S. economy, amid inflationary pressures and rising interest rates, will continue to weigh on the financial markets, at least until the Federal Reserve determines that inflationary concerns have subsided enough that it can stop its series of raising rates.</w:t>
      </w:r>
    </w:p>
    <w:p>
      <w:pPr>
        <w:spacing w:after="0" w:line="8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Foreign equity markets continued their advance into 2006, with the Morgan Stanley EAFE (Europe, Australia and Far East) Index up 8.8% in the first quarter of 2006. Favorable results were generally widespread, including in emerging markets, though several individual country markets did post declines. Interest rate increases from the central banks in Europe and Japan as well as uncertainties in the US economy affected international market results.</w:t>
      </w:r>
    </w:p>
    <w:p>
      <w:pPr>
        <w:spacing w:after="0" w:line="3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As for fixed income securities, yields for 10-year U.S. Treasuries rose to 4.86% at March 31, 2006, up from 4.39% at the end of 2005. The yield curve flattened during the first quarter of 2006 with six-month and 10-year Treasury yields varying by only 5 basis points.</w:t>
      </w:r>
    </w:p>
    <w:p>
      <w:pPr>
        <w:spacing w:after="0" w:line="6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this financial environment, total assets under our management ended the first quarter of 2006 at a record $292.9 billion, up $23.4 billion during the period, including $13.8 billion from higher market valuations and income. Strong relative investment performance and brand awareness contributed significantly to investors entrusting nearly $9.6 billion of net cash inflows to our management thus far in 2006.</w:t>
      </w:r>
    </w:p>
    <w:p>
      <w:pPr>
        <w:spacing w:after="0" w:line="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Assets under management at March 31, 2006 include $230.4 billion in equity securities and $62.5 billion in bond and money market holdings. The underlying investment portfolios consist of $185.2 billion in the T. Rowe Price mutual funds distributed in the United States and $107.7 billion in other investment portfolios that we manage, including separately managed accounts, sub-advised funds, and other sponsored investment funds offered to investors outside the U.S. and through variable annuity life insurance plans.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 — Three months 2006 versus 2005.</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Investment advisory revenues were up 22% to nearly $354 million as a result of a $47.3 billion increase in average assets under our management to</w:t>
      </w:r>
    </w:p>
    <w:p>
      <w:pPr>
        <w:spacing w:after="0" w:line="35" w:lineRule="exact"/>
        <w:rPr>
          <w:sz w:val="20"/>
          <w:szCs w:val="20"/>
          <w:color w:val="auto"/>
        </w:rPr>
      </w:pPr>
    </w:p>
    <w:p>
      <w:pPr>
        <w:jc w:val="both"/>
        <w:ind w:right="460"/>
        <w:spacing w:after="0" w:line="255" w:lineRule="auto"/>
        <w:rPr>
          <w:sz w:val="20"/>
          <w:szCs w:val="20"/>
          <w:color w:val="auto"/>
        </w:rPr>
      </w:pPr>
      <w:r>
        <w:rPr>
          <w:rFonts w:ascii="Arial" w:cs="Arial" w:eastAsia="Arial" w:hAnsi="Arial"/>
          <w:sz w:val="18"/>
          <w:szCs w:val="18"/>
          <w:color w:val="auto"/>
        </w:rPr>
        <w:t>$282 billion. Net revenues increased $72.2 million to $429 million. Net operating income increased 21% to nearly $179 million from $147 million. Net income increased 24% to nearly $117 million from $94 million. Diluted earnings per share increased nearly 22% from $.69 to $.84, down $.01 from the record $.85 diluted earnings per share recorded in the third and fourth quarters of 2005.</w:t>
      </w:r>
    </w:p>
    <w:p>
      <w:pPr>
        <w:spacing w:after="0" w:line="8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January 1, 2006, we adopted SFAS 123R and, for the first quarter of 2006, recognized $14.8 million of non-cash stock-based compensation expense in our consolidated statement of income using the fair value based method. Had we applied the fair value method to recognize stock option-based compensation in 2005, we would have recognized $13.7 million of additional compensation expense in the first quarter last year and our comparable pro forma diluted earnings for that period would have been $.62 per share. See Note 2 to our financial statements in Item 1 of this report for more information.</w:t>
      </w:r>
    </w:p>
    <w:p>
      <w:pPr>
        <w:spacing w:after="0" w:line="4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Investment advisory revenues earned from the T. Rowe Price mutual funds distributed in the United States increased $50.9 million to $259.1 million. Average mutual fund assets were $179.5 billion in the 2006 quarter, 22% higher than the $146.7 billion average during the 2005 period. Net inflows to the U.S. mutual funds were nearly $5.5 billion. Investors added $2.5 billion into the U.S. stock funds, $1.9 billion into our international stock funds, and $1.1 billion into our bond and money market funds. The Growth Stock and Value funds together accounted for $1.7 billion of the funds’ net inflows. Higher market valuations and income, net of dividends not reinvested, added $9.5 billion to fund assets during the 2006 period.</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Investment advisory revenues earned on the other investment portfolios that we manage increased $14 million to nearly $95 million. Average assets in these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portfolios were $102.5 billion, up $14.5 billion, or 16.5%, from $88 billion in the 2005 period. Ending assets in these portfolios were $107.7 billion, up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$8.4 billion from the beginning of 2006. Market gains and income added $4.3 billion while net investor inflows from U.S. and international investors were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$4.1 billion.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0" w:name="page11"/>
    <w:bookmarkEnd w:id="10"/>
    <w:p>
      <w:pPr>
        <w:ind w:right="120"/>
        <w:spacing w:after="0" w:line="297" w:lineRule="auto"/>
        <w:rPr>
          <w:sz w:val="20"/>
          <w:szCs w:val="20"/>
          <w:color w:val="auto"/>
        </w:rPr>
      </w:pPr>
      <w:r>
        <w:rPr>
          <w:rFonts w:ascii="Arial" w:cs="Arial" w:eastAsia="Arial" w:hAnsi="Arial"/>
          <w:sz w:val="16"/>
          <w:szCs w:val="16"/>
          <w:color w:val="auto"/>
        </w:rPr>
        <w:t>Administrative fees and other income increased $7.2 million to $75.2 million. The change in these revenues includes $6.1 million from our servicing activities including shareholder account and transaction volume in our transfer agent and defined contribution plan recordkeeping services for the mutual funds and their investors. Additionally, revenues increased $1.1 million from 12b-1 distribution fees received on greater assets under management in the Advisor and R classes of our sponsored mutual fund shares. These changes in administrative fees are generally offset by similar changes in related operating expenses that we incur to provide these services and distribute the Advisor and R classes of mutual fund shares through third party financial intermediaries.</w:t>
      </w:r>
    </w:p>
    <w:p>
      <w:pPr>
        <w:spacing w:after="0" w:line="5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Operating expenses were $250.8 million in the first quarter of 2006, up $41.0 million from the 2005 period. Our largest expense, compensation and related costs, increased $32.9 million, up 26% from last year’s quarter. The number of our associates, their total compensation, and the costs of their employee benefits have all increased. The largest portion of the increase is attributable to the $14.8 million expense recognized for stock-based compensation. Expenses in the 2006 quarter also reflect an increase in our interim bonus compensation accrual, which is based on projected operating results for 2006 that consider our strong relative and risk-adjusted investment performance, continued growth in assets under management including new investment inflows, and sustained high-quality investor services. Lastly, we modestly increase our associates’ base salaries at the beginning of each year, and have increased our average staff size about 5% over the past twelve months to March 31, 2006, primarily to handle increased volume-related activities and growth. At the end of the 2006 quarter, we employed 4,404 associates.</w:t>
      </w:r>
    </w:p>
    <w:p>
      <w:pPr>
        <w:spacing w:after="0" w:line="71"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Advertising and promotion expenditures increased 19%, or $4.5 million, versus the 2005 quarter. We expect our advertising and promotion expenditures in the second quarter of 2006 will be down about $8 million from the 2006 first quarter. While market conditions will dictate the exact level of our future spending, we expect that our advertising and promotion expenditures for the year 2006 will be 5% to 10% higher than 2005. We vary our level of spending based on market conditions and investor demand as well as our efforts to expand our investor base in the United States and abroad.</w:t>
      </w:r>
    </w:p>
    <w:p>
      <w:pPr>
        <w:spacing w:after="0" w:line="4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Occupancy and facility costs together with depreciation expense increased $2.6 million. Our costs for rented office facilities, including increased space, and related maintenance and operating costs have increased along with our staff size and business needs.</w:t>
      </w:r>
    </w:p>
    <w:p>
      <w:pPr>
        <w:spacing w:after="0" w:line="6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Other operating expenses increased $1.0 million, including $1.1 million of distribution expenses recognized on greater assets under management sourced from financial intermediaries that distribute our Advisor and R classes of mutual fund shares. These distribution costs are offset by an equal increase in our administrative revenues recognized from 12b-1 fees as discussed above.</w:t>
      </w:r>
    </w:p>
    <w:p>
      <w:pPr>
        <w:spacing w:after="0" w:line="7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Our net non-operating income, which includes interest income as well as the recognition of investment gains and losses and credit facility expenses, increased $5.6 million to $7.6 million. Larger money market mutual fund balances at higher interest rates added $4.9 million of the increase.</w:t>
      </w:r>
    </w:p>
    <w:p>
      <w:pPr>
        <w:spacing w:after="0" w:line="3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estimated interim 2006 provision for income taxes as a percentage of pretax income is 37.3%, up from the 36.6% rate for the year 2005, because of non-deductible incentive stock option compensation, which is now recognized in our statement of income.</w:t>
      </w:r>
    </w:p>
    <w:p>
      <w:pPr>
        <w:spacing w:after="0" w:line="6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Overall, net income for the first quarter of 2006 was $116.7 million, $22.4 million more than the first quarter of 2005, and off less than $.9 million from the record quarterly net income achieved in the preceding fourth quarter of 2005 when stock option-based compensation expense was not recognized in the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AND LIQUIDITY.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Stockholders’ equity at March 31, 2006 includes net liquid assets in excess of $1 billion.</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Operating activities during the first quarter of 2006 provided cash flows of $181 million, up from the 2005 period by $31.7 million, including increased net income of more than $22.4 million and non-cash stock-based compensation expense of $14.8. Net cash used in investing activities totaled nearly $50 million, up $29 million from the 2005 period. Capital spending for property and equipment was $21.6 million in the 2006 quarter, up $7.9 million versus the 2005 quarter. Our mutual fund net investments were $25 million in the first quarter of 2006, an increase of more than $20 million versus last year’s quarter. Net cash used in financing activities was less than $2 million in the 2006 quarter, down more than $44 million from the 2005 quarter when we repurchased nearly $37 million of our common stock. We also distributed $7 million more to our stockholders in the first quarter of 2006 versus 2005 based on our larger per-share quarterly dividend, and added $15 million from the tax-benefit realized from option exercises.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FORWARD-LOOKING INFORMATION.</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From time to time, information or statements provided by or on behalf of T. Rowe Price, including those within this report, may contain certain forward-looking information, including information or anticipated information relating to changes in our revenues and net income, changes in the amount and composition of our assets under management, our expense levels, and our expectations regarding financial markets and other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of our Form 10-K Annual Report for 2005 under the caption Risk Factors.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8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future revenues and results of operations will fluctuate primarily due to changes in the total value and composition of assets under our management. Such changes result from many factors including, among other things: cash inflows and outflows in the T. Rowe Price mutual funds and other managed investment portfolios; fluctuations in the financial markets around the world that result in appreciation or depreciation of the assets under our management; our introduction of new mutual funds and investment portfolios; and changes in retirement savings trends favoring participant-directed investments and defined contribution plans. The ability to attract and retain investors’ assets under our management is dependent on investor sentiment and confidence; the relative investment performance of the Price mutual funds and other managed investment portfolios as compared to competing offerings and market indexes; the ability to maintain our investment management and administrative fees at appropriate levels; competitive conditions in the mutual fund, asset management, and broader financial services sectors; and our level of success in implementing our strategy to expand our business. Our revenues are substantially dependent on fees earned under contracts with the Price funds and could be adversely affected if the independent directors of one or more of the Price funds terminated or significantly altered the terms of the investment management or related administrative services agreements.</w:t>
      </w:r>
    </w:p>
    <w:p>
      <w:pPr>
        <w:spacing w:after="0" w:line="6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future results are also dependent upon the level of our expenses, which are subject to fluctuation for the following or other reasons: changes in the level of our advertising expenses in response to market conditions, including our efforts to expand our investment advisory business to investors outside the United States and to further penetrate our distribution channels within the United States; variations in the level of total compensation expense due to, among other things, bonuses, stock option grants, stock awards, changes in our employee count and mix, and competitive factors; any goodwill impairment that may arise; fluctuation in foreign currency exchange rates applicable to the costs of our international operations; expenses and capital costs, such as technology assets, depreciation, amortization, and research and development, incurred to maintain and enhance our administrative and operating services infrastructure; unanticipated costs that may be incurred to protect investor accounts and the goodwill of our clients; and disruptions of services, including those provided by third parties, such as facilities, communications, power, and the mutual fund transfer agent and accounting systems.</w:t>
      </w:r>
    </w:p>
    <w:p>
      <w:pPr>
        <w:spacing w:after="0" w:line="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mutual funds and investing in general, or in particular classes of mutual funds or other investments.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provided in Item 7A of the Form 10-K Annual Report for 2005.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management, including our principal executive and principal financial officers, has evaluated the effectiveness of our disclosure controls and procedures as of March 31, 2006. Our disclosure controls and procedures are designed to provide reasonable assurance that the information required to be disclosed by us in the reports that we file or submit under the Securities Exchange Act of 1934, including this Form 10-Q quarterly report, is appropriately recorded, processed, summarized and reported within the time periods specified by the Securities and Exchange Commission. Based on that evaluation, our principal executive and principal financial officers have concluded that our disclosure controls and procedures as of March 31, 2006 are effective at the reasonable assurance level.</w:t>
      </w:r>
    </w:p>
    <w:p>
      <w:pPr>
        <w:spacing w:after="0" w:line="8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first quarter of 2006, and has concluded that there was no change during the first quarter of 2006 that has materially affected, or is reasonably likely to materially affect, our internal control over financial reporting.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September 2003, a purported class action (T.K. Parthasarathy, et al., including Woodbury, v. T. Rowe Price International Funds, Inc., et al.) was filed in the Circuit Court, Third Judicial Circuit, Madison County, Illinois, against T. Rowe Price International and the T. Rowe Price International Funds with respect to the T. Rowe Price International Stock Fund. The basic allegations in the case were that the T. Rowe Price defendants did not make appropriate price adjustments to the foreign securities owned by the T. Rowe Price International Stock Fund prior to calculating the Fund’s daily share prices, thereby allegedly enabling market timing traders to trade the Fund’s shares in such a way as to disadvantage long-term investors. The plaintiffs sought monetary damages. The case was removed to the U.S. District Court for the Southern District of Illinois, which dismissed the case in May 2005. The Plaintiffs appealed to the U.S. Court of Appeals for the Seventh Circuit, which stayed the appeal pending the U.S. Supreme Court’s certiorari decision in a similar case (Kircher) from the Seventh Circuit. The U.S. Supreme Court recently issued a significant and favorable ruling in the appeal of an identical issue (Dabit) from the Second Circuit Court of Appeals, which held that the Securities Litigation Uniform Standards Act of 1998 precludes holders of securities from bringing covered securities fraud class action claims under state law. The Seventh Circuit asked for, and on April 4, 2006 we provided, a briefing on the effect of the Supreme Court’s ruling in Dabit on the case against the T. Rowe Price defendants.</w:t>
      </w:r>
    </w:p>
    <w:p>
      <w:pPr>
        <w:spacing w:after="0" w:line="7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From time to time, various claims against us arise in the ordinary course of business, including employment-related claims. In the opinion of management, after consultation with counsel, it is unlikely that there will be any adverse determination in one or more pending claims that would have a material adverse effect on our financial position 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provided in Item 1A of the Form 10-K Annual Report for 2005.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320" w:right="40" w:hanging="312"/>
        <w:spacing w:after="0" w:line="277" w:lineRule="auto"/>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There was no activity during the first quarter of 2006 under the 2003 Board of Director’s repurchase authorization that, at March 31, 2006, allows for the repurchase of up to 4,146,010 common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required by Item 601 of Regulation S-K are furnished herewith.</w:t>
      </w:r>
    </w:p>
    <w:p>
      <w:pPr>
        <w:spacing w:after="0" w:line="225"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500" w:type="dxa"/>
            <w:vAlign w:val="bottom"/>
          </w:tcPr>
          <w:p>
            <w:pPr>
              <w:jc w:val="center"/>
              <w:ind w:right="110"/>
              <w:spacing w:after="0"/>
              <w:rPr>
                <w:sz w:val="20"/>
                <w:szCs w:val="20"/>
                <w:color w:val="auto"/>
              </w:rPr>
            </w:pPr>
            <w:r>
              <w:rPr>
                <w:rFonts w:ascii="Arial" w:cs="Arial" w:eastAsia="Arial" w:hAnsi="Arial"/>
                <w:sz w:val="18"/>
                <w:szCs w:val="18"/>
                <w:color w:val="auto"/>
                <w:w w:val="99"/>
              </w:rPr>
              <w:t>3(i)</w:t>
            </w:r>
          </w:p>
        </w:tc>
        <w:tc>
          <w:tcPr>
            <w:tcW w:w="10500" w:type="dxa"/>
            <w:vAlign w:val="bottom"/>
          </w:tcPr>
          <w:p>
            <w:pPr>
              <w:ind w:left="180"/>
              <w:spacing w:after="0"/>
              <w:rPr>
                <w:sz w:val="20"/>
                <w:szCs w:val="20"/>
                <w:color w:val="auto"/>
              </w:rPr>
            </w:pPr>
            <w:r>
              <w:rPr>
                <w:rFonts w:ascii="Arial" w:cs="Arial" w:eastAsia="Arial" w:hAnsi="Arial"/>
                <w:sz w:val="18"/>
                <w:szCs w:val="18"/>
                <w:color w:val="auto"/>
                <w:w w:val="95"/>
              </w:rPr>
              <w:t>Amended and Restated Charter of T. Rowe Price Group, Inc. as of March 9, 2001. (Incorporated by reference from Form 10-K for 2000;</w:t>
            </w:r>
          </w:p>
        </w:tc>
      </w:tr>
      <w:tr>
        <w:trPr>
          <w:trHeight w:val="230"/>
        </w:trPr>
        <w:tc>
          <w:tcPr>
            <w:tcW w:w="500" w:type="dxa"/>
            <w:vAlign w:val="bottom"/>
          </w:tcPr>
          <w:p>
            <w:pPr>
              <w:spacing w:after="0"/>
              <w:rPr>
                <w:sz w:val="20"/>
                <w:szCs w:val="20"/>
                <w:color w:val="auto"/>
              </w:rPr>
            </w:pPr>
          </w:p>
        </w:tc>
        <w:tc>
          <w:tcPr>
            <w:tcW w:w="10500" w:type="dxa"/>
            <w:vAlign w:val="bottom"/>
          </w:tcPr>
          <w:p>
            <w:pPr>
              <w:ind w:left="180"/>
              <w:spacing w:after="0"/>
              <w:rPr>
                <w:sz w:val="20"/>
                <w:szCs w:val="20"/>
                <w:color w:val="auto"/>
              </w:rPr>
            </w:pPr>
            <w:r>
              <w:rPr>
                <w:rFonts w:ascii="Arial" w:cs="Arial" w:eastAsia="Arial" w:hAnsi="Arial"/>
                <w:sz w:val="18"/>
                <w:szCs w:val="18"/>
                <w:color w:val="auto"/>
              </w:rPr>
              <w:t>Accession No. 0001113169-01-000003.)</w:t>
            </w:r>
          </w:p>
        </w:tc>
      </w:tr>
      <w:tr>
        <w:trPr>
          <w:trHeight w:val="418"/>
        </w:trPr>
        <w:tc>
          <w:tcPr>
            <w:tcW w:w="500" w:type="dxa"/>
            <w:vAlign w:val="bottom"/>
          </w:tcPr>
          <w:p>
            <w:pPr>
              <w:jc w:val="center"/>
              <w:ind w:right="90"/>
              <w:spacing w:after="0"/>
              <w:rPr>
                <w:sz w:val="20"/>
                <w:szCs w:val="20"/>
                <w:color w:val="auto"/>
              </w:rPr>
            </w:pPr>
            <w:r>
              <w:rPr>
                <w:rFonts w:ascii="Arial" w:cs="Arial" w:eastAsia="Arial" w:hAnsi="Arial"/>
                <w:sz w:val="18"/>
                <w:szCs w:val="18"/>
                <w:color w:val="auto"/>
              </w:rPr>
              <w:t>3(ii)</w:t>
            </w:r>
          </w:p>
        </w:tc>
        <w:tc>
          <w:tcPr>
            <w:tcW w:w="10500" w:type="dxa"/>
            <w:vAlign w:val="bottom"/>
          </w:tcPr>
          <w:p>
            <w:pPr>
              <w:ind w:left="180"/>
              <w:spacing w:after="0"/>
              <w:rPr>
                <w:sz w:val="20"/>
                <w:szCs w:val="20"/>
                <w:color w:val="auto"/>
              </w:rPr>
            </w:pPr>
            <w:r>
              <w:rPr>
                <w:rFonts w:ascii="Arial" w:cs="Arial" w:eastAsia="Arial" w:hAnsi="Arial"/>
                <w:sz w:val="18"/>
                <w:szCs w:val="18"/>
                <w:color w:val="auto"/>
                <w:w w:val="91"/>
              </w:rPr>
              <w:t>Amended and Restated By-Laws of T. Rowe Price Group, Inc. as of December 12, 2002. (Incorporated by reference from Form 10-K for 2002;</w:t>
            </w:r>
          </w:p>
        </w:tc>
      </w:tr>
      <w:tr>
        <w:trPr>
          <w:trHeight w:val="230"/>
        </w:trPr>
        <w:tc>
          <w:tcPr>
            <w:tcW w:w="500" w:type="dxa"/>
            <w:vAlign w:val="bottom"/>
          </w:tcPr>
          <w:p>
            <w:pPr>
              <w:spacing w:after="0"/>
              <w:rPr>
                <w:sz w:val="20"/>
                <w:szCs w:val="20"/>
                <w:color w:val="auto"/>
              </w:rPr>
            </w:pPr>
          </w:p>
        </w:tc>
        <w:tc>
          <w:tcPr>
            <w:tcW w:w="10500" w:type="dxa"/>
            <w:vAlign w:val="bottom"/>
          </w:tcPr>
          <w:p>
            <w:pPr>
              <w:ind w:left="180"/>
              <w:spacing w:after="0"/>
              <w:rPr>
                <w:sz w:val="20"/>
                <w:szCs w:val="20"/>
                <w:color w:val="auto"/>
              </w:rPr>
            </w:pPr>
            <w:r>
              <w:rPr>
                <w:rFonts w:ascii="Arial" w:cs="Arial" w:eastAsia="Arial" w:hAnsi="Arial"/>
                <w:sz w:val="18"/>
                <w:szCs w:val="18"/>
                <w:color w:val="auto"/>
              </w:rPr>
              <w:t>Accession No. 0000950133-03-000699.)</w:t>
            </w:r>
          </w:p>
        </w:tc>
      </w:tr>
    </w:tbl>
    <w:p>
      <w:pPr>
        <w:spacing w:after="0" w:line="202" w:lineRule="exact"/>
        <w:rPr>
          <w:sz w:val="20"/>
          <w:szCs w:val="20"/>
          <w:color w:val="auto"/>
        </w:rPr>
      </w:pPr>
    </w:p>
    <w:p>
      <w:pPr>
        <w:ind w:left="820" w:right="100" w:hanging="612"/>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Consulting Agreement dated January 31, 2006 with James S. Riepe. (Incorporated by reference from Form 8-K Current Report dated January 31, 2006; Accession No. 0000950133-06-000434.)</w:t>
      </w:r>
    </w:p>
    <w:p>
      <w:pPr>
        <w:spacing w:after="0" w:line="170" w:lineRule="exact"/>
        <w:rPr>
          <w:sz w:val="20"/>
          <w:szCs w:val="20"/>
          <w:color w:val="auto"/>
        </w:rPr>
      </w:pPr>
    </w:p>
    <w:p>
      <w:pPr>
        <w:ind w:left="60" w:right="2260" w:firstLine="148"/>
        <w:spacing w:after="0" w:line="501" w:lineRule="auto"/>
        <w:tabs>
          <w:tab w:leader="none" w:pos="822" w:val="left"/>
        </w:tabs>
        <w:numPr>
          <w:ilvl w:val="0"/>
          <w:numId w:val="3"/>
        </w:numPr>
        <w:rPr>
          <w:rFonts w:ascii="Arial" w:cs="Arial" w:eastAsia="Arial" w:hAnsi="Arial"/>
          <w:sz w:val="18"/>
          <w:szCs w:val="18"/>
          <w:color w:val="auto"/>
        </w:rPr>
      </w:pPr>
      <w:r>
        <w:rPr>
          <w:rFonts w:ascii="Arial" w:cs="Arial" w:eastAsia="Arial" w:hAnsi="Arial"/>
          <w:sz w:val="18"/>
          <w:szCs w:val="18"/>
          <w:color w:val="auto"/>
        </w:rPr>
        <w:t>Letter from KPMG LLP, independent registered public accounting firm, re unaudited interim financial information. 31(i).1 Rule 13a-14(a) Certification of Principal Executive Officer.</w:t>
      </w:r>
    </w:p>
    <w:p>
      <w:pPr>
        <w:ind w:left="60"/>
        <w:spacing w:after="0"/>
        <w:rPr>
          <w:rFonts w:ascii="Arial" w:cs="Arial" w:eastAsia="Arial" w:hAnsi="Arial"/>
          <w:sz w:val="18"/>
          <w:szCs w:val="18"/>
          <w:color w:val="auto"/>
        </w:rPr>
      </w:pPr>
      <w:r>
        <w:rPr>
          <w:rFonts w:ascii="Arial" w:cs="Arial" w:eastAsia="Arial" w:hAnsi="Arial"/>
          <w:sz w:val="18"/>
          <w:szCs w:val="18"/>
          <w:color w:val="auto"/>
        </w:rPr>
        <w:t>31(i).2   Rule 13a-14(a) Certification of Principal Financial Officer.</w:t>
      </w:r>
    </w:p>
    <w:p>
      <w:pPr>
        <w:spacing w:after="0" w:line="225" w:lineRule="exact"/>
        <w:rPr>
          <w:rFonts w:ascii="Arial" w:cs="Arial" w:eastAsia="Arial" w:hAnsi="Arial"/>
          <w:sz w:val="18"/>
          <w:szCs w:val="18"/>
          <w:color w:val="auto"/>
        </w:rPr>
      </w:pPr>
    </w:p>
    <w:p>
      <w:pPr>
        <w:ind w:left="820" w:hanging="612"/>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April 26, 2006.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Vice President and Chief Financial Officer</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380"/>
          </w:cols>
          <w:pgMar w:left="240" w:top="931" w:right="279" w:bottom="1440" w:gutter="0" w:footer="0" w:header="0"/>
        </w:sectPr>
      </w:pPr>
    </w:p>
    <w:bookmarkStart w:id="13" w:name="page14"/>
    <w:bookmarkEnd w:id="13"/>
    <w:p>
      <w:pPr>
        <w:ind w:left="1380" w:right="4320" w:hanging="1377"/>
        <w:spacing w:after="0" w:line="282" w:lineRule="auto"/>
        <w:tabs>
          <w:tab w:leader="none" w:pos="1360" w:val="left"/>
        </w:tabs>
        <w:rPr>
          <w:sz w:val="20"/>
          <w:szCs w:val="20"/>
          <w:color w:val="auto"/>
        </w:rPr>
      </w:pPr>
      <w:r>
        <w:rPr>
          <w:rFonts w:ascii="Arial" w:cs="Arial" w:eastAsia="Arial" w:hAnsi="Arial"/>
          <w:sz w:val="18"/>
          <w:szCs w:val="18"/>
          <w:b w:val="1"/>
          <w:bCs w:val="1"/>
          <w:color w:val="auto"/>
        </w:rPr>
        <w:t>Exhibit 15</w:t>
      </w:r>
      <w:r>
        <w:rPr>
          <w:sz w:val="20"/>
          <w:szCs w:val="20"/>
          <w:color w:val="auto"/>
        </w:rPr>
        <w:tab/>
      </w:r>
      <w:r>
        <w:rPr>
          <w:rFonts w:ascii="Arial" w:cs="Arial" w:eastAsia="Arial" w:hAnsi="Arial"/>
          <w:sz w:val="18"/>
          <w:szCs w:val="18"/>
          <w:b w:val="1"/>
          <w:bCs w:val="1"/>
          <w:color w:val="auto"/>
        </w:rPr>
        <w:t>Letter from KPMG LLP, independent registered public accounting firm, re unaudited interim financial information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 21202</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 Registration Statements on Form S-8: No. 33-7012, No. 33-72568, No. 33-58749, No. 333-20333, No. 333-90967, No. 333-59714, No. 333-120882 and No. 333-120883</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 respect to the subject registration statements, we acknowledge our awareness of the use therein of our report dated April 25, 2006 related to our review of interim financial information.</w:t>
      </w:r>
    </w:p>
    <w:p>
      <w:pPr>
        <w:spacing w:after="0" w:line="6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25, 2006</w:t>
      </w:r>
    </w:p>
    <w:p>
      <w:pPr>
        <w:sectPr>
          <w:pgSz w:w="11900" w:h="16838" w:orient="portrait"/>
          <w:cols w:equalWidth="0" w:num="1">
            <w:col w:w="11280"/>
          </w:cols>
          <w:pgMar w:left="240" w:top="1148" w:right="379" w:bottom="1440" w:gutter="0" w:footer="0" w:header="0"/>
        </w:sectPr>
      </w:pPr>
    </w:p>
    <w:bookmarkStart w:id="14" w:name="page15"/>
    <w:bookmarkEnd w:id="14"/>
    <w:p>
      <w:pPr>
        <w:spacing w:after="0"/>
        <w:tabs>
          <w:tab w:leader="none" w:pos="6920" w:val="left"/>
        </w:tabs>
        <w:rPr>
          <w:sz w:val="20"/>
          <w:szCs w:val="20"/>
          <w:color w:val="auto"/>
        </w:rPr>
      </w:pPr>
      <w:r>
        <w:rPr>
          <w:rFonts w:ascii="Arial" w:cs="Arial" w:eastAsia="Arial" w:hAnsi="Arial"/>
          <w:sz w:val="18"/>
          <w:szCs w:val="18"/>
          <w:b w:val="1"/>
          <w:bCs w:val="1"/>
          <w:color w:val="auto"/>
        </w:rPr>
        <w:t>Exhibit 31(i).1</w:t>
      </w:r>
      <w:r>
        <w:rPr>
          <w:sz w:val="20"/>
          <w:szCs w:val="20"/>
          <w:color w:val="auto"/>
        </w:rPr>
        <w:tab/>
      </w:r>
      <w:r>
        <w:rPr>
          <w:rFonts w:ascii="Arial" w:cs="Arial" w:eastAsia="Arial" w:hAnsi="Arial"/>
          <w:sz w:val="16"/>
          <w:szCs w:val="16"/>
          <w:b w:val="1"/>
          <w:bCs w:val="1"/>
          <w:color w:val="auto"/>
        </w:rPr>
        <w:t>Rule 13a-14(a) Certification of Principal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George A. Roche, certify that:</w:t>
      </w:r>
    </w:p>
    <w:p>
      <w:pPr>
        <w:spacing w:after="0" w:line="117"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March 31, 2006 of T. Rowe Price Group, Inc.;</w:t>
      </w:r>
    </w:p>
    <w:p>
      <w:pPr>
        <w:spacing w:after="0" w:line="117"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440" w:firstLine="221"/>
        <w:spacing w:after="0" w:line="264" w:lineRule="auto"/>
        <w:tabs>
          <w:tab w:leader="none" w:pos="71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60" w:firstLine="221"/>
        <w:spacing w:after="0" w:line="264" w:lineRule="auto"/>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20" w:firstLine="221"/>
        <w:spacing w:after="0" w:line="277" w:lineRule="auto"/>
        <w:tabs>
          <w:tab w:leader="none" w:pos="710" w:val="left"/>
        </w:tabs>
        <w:numPr>
          <w:ilvl w:val="1"/>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240" w:right="60" w:firstLine="221"/>
        <w:spacing w:after="0" w:line="308" w:lineRule="auto"/>
        <w:tabs>
          <w:tab w:leader="none" w:pos="720" w:val="left"/>
        </w:tabs>
        <w:numPr>
          <w:ilvl w:val="1"/>
          <w:numId w:val="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8" w:lineRule="exact"/>
        <w:rPr>
          <w:rFonts w:ascii="Arial" w:cs="Arial" w:eastAsia="Arial" w:hAnsi="Arial"/>
          <w:sz w:val="17"/>
          <w:szCs w:val="17"/>
          <w:color w:val="auto"/>
        </w:rPr>
      </w:pPr>
    </w:p>
    <w:p>
      <w:pPr>
        <w:ind w:left="260" w:right="580" w:hanging="252"/>
        <w:spacing w:after="0" w:line="277" w:lineRule="auto"/>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240" w:right="400" w:firstLine="221"/>
        <w:spacing w:after="0" w:line="277" w:lineRule="auto"/>
        <w:tabs>
          <w:tab w:leader="none" w:pos="71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60" w:firstLine="221"/>
        <w:spacing w:after="0" w:line="277" w:lineRule="auto"/>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April 25,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George A. Roche</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931" w:right="239" w:bottom="1440" w:gutter="0" w:footer="0" w:header="0"/>
        </w:sectPr>
      </w:pPr>
    </w:p>
    <w:bookmarkStart w:id="15" w:name="page16"/>
    <w:bookmarkEnd w:id="15"/>
    <w:p>
      <w:pPr>
        <w:spacing w:after="0"/>
        <w:tabs>
          <w:tab w:leader="none" w:pos="6940" w:val="left"/>
        </w:tabs>
        <w:rPr>
          <w:sz w:val="20"/>
          <w:szCs w:val="20"/>
          <w:color w:val="auto"/>
        </w:rPr>
      </w:pPr>
      <w:r>
        <w:rPr>
          <w:rFonts w:ascii="Arial" w:cs="Arial" w:eastAsia="Arial" w:hAnsi="Arial"/>
          <w:sz w:val="18"/>
          <w:szCs w:val="18"/>
          <w:b w:val="1"/>
          <w:bCs w:val="1"/>
          <w:color w:val="auto"/>
        </w:rPr>
        <w:t>Exhibit 31(i).2</w:t>
      </w:r>
      <w:r>
        <w:rPr>
          <w:sz w:val="20"/>
          <w:szCs w:val="20"/>
          <w:color w:val="auto"/>
        </w:rPr>
        <w:tab/>
      </w:r>
      <w:r>
        <w:rPr>
          <w:rFonts w:ascii="Arial" w:cs="Arial" w:eastAsia="Arial" w:hAnsi="Arial"/>
          <w:sz w:val="16"/>
          <w:szCs w:val="16"/>
          <w:b w:val="1"/>
          <w:bCs w:val="1"/>
          <w:color w:val="auto"/>
        </w:rPr>
        <w:t>Rule 13a-14(a) Certification of Principal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Kenneth V. Moreland, certify that:</w:t>
      </w:r>
    </w:p>
    <w:p>
      <w:pPr>
        <w:spacing w:after="0" w:line="117"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March 31, 2006 of T. Rowe Price Group, Inc.;</w:t>
      </w:r>
    </w:p>
    <w:p>
      <w:pPr>
        <w:spacing w:after="0" w:line="117"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440" w:firstLine="221"/>
        <w:spacing w:after="0" w:line="264" w:lineRule="auto"/>
        <w:tabs>
          <w:tab w:leader="none" w:pos="71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60" w:firstLine="221"/>
        <w:spacing w:after="0" w:line="264" w:lineRule="auto"/>
        <w:tabs>
          <w:tab w:leader="none" w:pos="7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20" w:firstLine="221"/>
        <w:spacing w:after="0" w:line="277" w:lineRule="auto"/>
        <w:tabs>
          <w:tab w:leader="none" w:pos="710"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240" w:right="60" w:firstLine="221"/>
        <w:spacing w:after="0" w:line="308" w:lineRule="auto"/>
        <w:tabs>
          <w:tab w:leader="none" w:pos="720" w:val="left"/>
        </w:tabs>
        <w:numPr>
          <w:ilvl w:val="1"/>
          <w:numId w:val="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8" w:lineRule="exact"/>
        <w:rPr>
          <w:rFonts w:ascii="Arial" w:cs="Arial" w:eastAsia="Arial" w:hAnsi="Arial"/>
          <w:sz w:val="17"/>
          <w:szCs w:val="17"/>
          <w:color w:val="auto"/>
        </w:rPr>
      </w:pPr>
    </w:p>
    <w:p>
      <w:pPr>
        <w:ind w:left="260" w:right="580" w:hanging="252"/>
        <w:spacing w:after="0" w:line="277" w:lineRule="auto"/>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240" w:right="400" w:firstLine="221"/>
        <w:spacing w:after="0" w:line="277" w:lineRule="auto"/>
        <w:tabs>
          <w:tab w:leader="none" w:pos="71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60" w:firstLine="221"/>
        <w:spacing w:after="0" w:line="277" w:lineRule="auto"/>
        <w:tabs>
          <w:tab w:leader="none" w:pos="7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April 25,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20"/>
          </w:cols>
          <w:pgMar w:left="240" w:top="931" w:right="239" w:bottom="1440" w:gutter="0" w:footer="0" w:header="0"/>
        </w:sectPr>
      </w:pPr>
    </w:p>
    <w:bookmarkStart w:id="16" w:name="page17"/>
    <w:bookmarkEnd w:id="16"/>
    <w:p>
      <w:pPr>
        <w:spacing w:after="0"/>
        <w:tabs>
          <w:tab w:leader="none" w:pos="9340" w:val="left"/>
        </w:tabs>
        <w:rPr>
          <w:sz w:val="20"/>
          <w:szCs w:val="20"/>
          <w:color w:val="auto"/>
        </w:rPr>
      </w:pPr>
      <w:r>
        <w:rPr>
          <w:rFonts w:ascii="Arial" w:cs="Arial" w:eastAsia="Arial" w:hAnsi="Arial"/>
          <w:sz w:val="18"/>
          <w:szCs w:val="18"/>
          <w:b w:val="1"/>
          <w:bCs w:val="1"/>
          <w:color w:val="auto"/>
        </w:rPr>
        <w:t>Exhibit 32</w:t>
      </w:r>
      <w:r>
        <w:rPr>
          <w:sz w:val="20"/>
          <w:szCs w:val="20"/>
          <w:color w:val="auto"/>
        </w:rPr>
        <w:tab/>
      </w:r>
      <w:r>
        <w:rPr>
          <w:rFonts w:ascii="Arial" w:cs="Arial" w:eastAsia="Arial" w:hAnsi="Arial"/>
          <w:sz w:val="16"/>
          <w:szCs w:val="16"/>
          <w:b w:val="1"/>
          <w:bCs w:val="1"/>
          <w:color w:val="auto"/>
        </w:rPr>
        <w:t>Section 1350 Certifications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certify, to the best of our knowledge, based upon a review of the Form 10-Q Quarterly Report for the quarterly period ended March 31, 2006 of T. Rowe Price Group, Inc., that:</w:t>
      </w:r>
    </w:p>
    <w:p>
      <w:pPr>
        <w:spacing w:after="0" w:line="62"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Form 10-Q Quarterly Report fully complies with the requirements of Section 13(a) of the Securities Exchange Act of 1934, as amended; and</w:t>
      </w:r>
    </w:p>
    <w:p>
      <w:pPr>
        <w:spacing w:after="0" w:line="128" w:lineRule="exact"/>
        <w:rPr>
          <w:rFonts w:ascii="Arial" w:cs="Arial" w:eastAsia="Arial" w:hAnsi="Arial"/>
          <w:sz w:val="17"/>
          <w:szCs w:val="17"/>
          <w:color w:val="auto"/>
        </w:rPr>
      </w:pPr>
    </w:p>
    <w:p>
      <w:pPr>
        <w:ind w:right="180" w:firstLine="8"/>
        <w:spacing w:after="0" w:line="277" w:lineRule="auto"/>
        <w:tabs>
          <w:tab w:leader="none" w:pos="25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Form 10-Q Quarterly Report fairly presents, in all material respects, the financial condition and results of operations of T. Rowe Price Group, Inc.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April 25,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George A. Roche, Principal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 Principal Financial Officer</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 signed original of this written statement has been provided to T. Rowe Price Group, Inc. and will be retained by T. Rowe Price Group, Inc. and furnished to the Securities and Exchange Commission or its staff upon request.</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3"/>
    </w:lvl>
  </w:abstractNum>
  <w:abstractNum w:abstractNumId="1">
    <w:nsid w:val="238E1F29"/>
    <w:multiLevelType w:val="hybridMultilevel"/>
    <w:lvl w:ilvl="0">
      <w:lvlJc w:val="left"/>
      <w:lvlText w:val="%1"/>
      <w:numFmt w:val="decimal"/>
      <w:start w:val="10"/>
    </w:lvl>
  </w:abstractNum>
  <w:abstractNum w:abstractNumId="2">
    <w:nsid w:val="46E87CCD"/>
    <w:multiLevelType w:val="hybridMultilevel"/>
    <w:lvl w:ilvl="0">
      <w:lvlJc w:val="left"/>
      <w:lvlText w:val="%1"/>
      <w:numFmt w:val="decimal"/>
      <w:start w:val="15"/>
    </w:lvl>
  </w:abstractNum>
  <w:abstractNum w:abstractNumId="3">
    <w:nsid w:val="3D1B58BA"/>
    <w:multiLevelType w:val="hybridMultilevel"/>
    <w:lvl w:ilvl="0">
      <w:lvlJc w:val="left"/>
      <w:lvlText w:val="%1"/>
      <w:numFmt w:val="decimal"/>
      <w:start w:val="32"/>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2019-12-15T01:54:09Z</dcterms:created>
  <dcterms:modified xsi:type="dcterms:W3CDTF">2019-12-15T01:54:09Z</dcterms:modified>
</cp:coreProperties>
</file>