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tbl>
      <w:tblPr>
        <w:tblW w:w="9716" w:type="dxa"/>
        <w:jc w:val="center"/>
        <w:tblInd w:w="0" w:type="dxa"/>
        <w:tblCellMar>
          <w:top w:w="28" w:type="dxa"/>
          <w:left w:w="28" w:type="dxa"/>
          <w:bottom w:w="28" w:type="dxa"/>
          <w:right w:w="28" w:type="dxa"/>
        </w:tblCellMar>
      </w:tblPr>
      <w:tblGrid>
        <w:gridCol w:w="124"/>
        <w:gridCol w:w="109"/>
        <w:gridCol w:w="109"/>
        <w:gridCol w:w="2740"/>
        <w:gridCol w:w="2740"/>
        <w:gridCol w:w="38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31, 2023 </w:t>
      </w:r>
    </w:p>
    <w:p>
      <w:pPr>
        <w:pStyle w:val="TextBody"/>
        <w:spacing w:lineRule="auto" w:line="345"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CellMar>
          <w:top w:w="28" w:type="dxa"/>
          <w:left w:w="28" w:type="dxa"/>
          <w:bottom w:w="28" w:type="dxa"/>
          <w:right w:w="28" w:type="dxa"/>
        </w:tblCellMar>
      </w:tblPr>
      <w:tblGrid>
        <w:gridCol w:w="124"/>
        <w:gridCol w:w="109"/>
        <w:gridCol w:w="109"/>
        <w:gridCol w:w="2737"/>
        <w:gridCol w:w="2737"/>
        <w:gridCol w:w="3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3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4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spacing w:lineRule="auto" w:line="264" w:before="0" w:after="0"/>
        <w:jc w:val="center"/>
        <w:rPr>
          <w:rFonts w:ascii="Arial;sans-serif" w:hAnsi="Arial;sans-serif"/>
          <w:b/>
          <w:color w:val="000000"/>
          <w:sz w:val="20"/>
        </w:rPr>
      </w:pPr>
      <w:r>
        <w:rPr>
          <w:rFonts w:ascii="Arial;sans-serif" w:hAnsi="Arial;sans-serif"/>
          <w:b/>
          <w:color w:val="000000"/>
          <w:sz w:val="20"/>
        </w:rPr>
        <w:t xml:space="preserve">For the transition period from to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Commission File Number: 000-32191 </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p>
      <w:pPr>
        <w:pStyle w:val="TextBody"/>
        <w:spacing w:lineRule="auto" w:line="288" w:before="100" w:after="283"/>
        <w:jc w:val="center"/>
        <w:rPr>
          <w:rFonts w:ascii="Arial;sans-serif" w:hAnsi="Arial;sans-serif"/>
          <w:b/>
          <w:color w:val="000000"/>
          <w:sz w:val="36"/>
        </w:rPr>
      </w:pPr>
      <w:r>
        <w:rPr>
          <w:rFonts w:ascii="Arial;sans-serif" w:hAnsi="Arial;sans-serif"/>
          <w:b/>
          <w:color w:val="000000"/>
          <w:sz w:val="36"/>
        </w:rPr>
        <w:t>T. ROWE PRICE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5186" w:type="dxa"/>
        <w:jc w:val="left"/>
        <w:tblInd w:w="0" w:type="dxa"/>
        <w:tblCellMar>
          <w:top w:w="28" w:type="dxa"/>
          <w:left w:w="28" w:type="dxa"/>
          <w:bottom w:w="28" w:type="dxa"/>
          <w:right w:w="28" w:type="dxa"/>
        </w:tblCellMar>
      </w:tblPr>
      <w:tblGrid>
        <w:gridCol w:w="715"/>
        <w:gridCol w:w="630"/>
        <w:gridCol w:w="635"/>
        <w:gridCol w:w="109"/>
        <w:gridCol w:w="109"/>
        <w:gridCol w:w="109"/>
        <w:gridCol w:w="841"/>
        <w:gridCol w:w="841"/>
        <w:gridCol w:w="1197"/>
      </w:tblGrid>
      <w:tr>
        <w:trPr/>
        <w:tc>
          <w:tcPr>
            <w:tcW w:w="7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Maryland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52-2264646</w:t>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 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spacing w:lineRule="auto" w:line="288" w:before="80" w:after="283"/>
        <w:jc w:val="center"/>
        <w:rPr>
          <w:rFonts w:ascii="Arial;sans-serif" w:hAnsi="Arial;sans-serif"/>
          <w:b/>
          <w:color w:val="000000"/>
          <w:sz w:val="20"/>
        </w:rPr>
      </w:pPr>
      <w:r>
        <w:rPr>
          <w:rFonts w:ascii="Arial;sans-serif" w:hAnsi="Arial;sans-serif"/>
          <w:b/>
          <w:color w:val="000000"/>
          <w:sz w:val="20"/>
        </w:rPr>
        <w:t xml:space="preserve">100 East Pratt Street, Baltimore, Maryland 21202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(Address, including Zip Code, of principal executive offices)</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(410) 345-2000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________________</w:t>
      </w:r>
    </w:p>
    <w:tbl>
      <w:tblPr>
        <w:tblW w:w="9133" w:type="dxa"/>
        <w:jc w:val="center"/>
        <w:tblInd w:w="0" w:type="dxa"/>
        <w:tblCellMar>
          <w:top w:w="28" w:type="dxa"/>
          <w:left w:w="28" w:type="dxa"/>
          <w:bottom w:w="28" w:type="dxa"/>
          <w:right w:w="28" w:type="dxa"/>
        </w:tblCellMar>
      </w:tblPr>
      <w:tblGrid>
        <w:gridCol w:w="1409"/>
        <w:gridCol w:w="1238"/>
        <w:gridCol w:w="1253"/>
        <w:gridCol w:w="524"/>
        <w:gridCol w:w="524"/>
        <w:gridCol w:w="526"/>
        <w:gridCol w:w="1071"/>
        <w:gridCol w:w="1071"/>
        <w:gridCol w:w="1517"/>
      </w:tblGrid>
      <w:tr>
        <w:trPr/>
        <w:tc>
          <w:tcPr>
            <w:tcW w:w="1409"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9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Common Stock, $.20 par value per share</w:t>
            </w:r>
          </w:p>
        </w:tc>
        <w:tc>
          <w:tcPr>
            <w:tcW w:w="15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TROW</w:t>
            </w:r>
          </w:p>
        </w:tc>
        <w:tc>
          <w:tcPr>
            <w:tcW w:w="365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w:t>
      </w:r>
    </w:p>
    <w:p>
      <w:pPr>
        <w:pStyle w:val="TextBody"/>
        <w:spacing w:lineRule="auto" w:line="288" w:before="80" w:after="283"/>
        <w:rPr/>
      </w:pPr>
      <w:r>
        <w:rPr>
          <w:rFonts w:ascii="Arial;sans-serif" w:hAnsi="Arial;sans-serif"/>
          <w:b w:val="false"/>
          <w:color w:val="000000"/>
          <w:sz w:val="18"/>
        </w:rPr>
        <w:t>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w:t>
      </w:r>
    </w:p>
    <w:p>
      <w:pPr>
        <w:pStyle w:val="TextBody"/>
        <w:spacing w:before="0" w:after="0"/>
        <w:rPr/>
      </w:pPr>
      <w:r>
        <w:rPr/>
      </w:r>
    </w:p>
    <w:p>
      <w:pPr>
        <w:pStyle w:val="TextBody"/>
        <w:spacing w:lineRule="auto" w:line="268" w:before="0" w:after="0"/>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04" w:type="dxa"/>
        <w:jc w:val="left"/>
        <w:tblInd w:w="0" w:type="dxa"/>
        <w:tblCellMar>
          <w:top w:w="28" w:type="dxa"/>
          <w:left w:w="28" w:type="dxa"/>
          <w:bottom w:w="28" w:type="dxa"/>
          <w:right w:w="28" w:type="dxa"/>
        </w:tblCellMar>
      </w:tblPr>
      <w:tblGrid>
        <w:gridCol w:w="705"/>
        <w:gridCol w:w="620"/>
        <w:gridCol w:w="624"/>
        <w:gridCol w:w="109"/>
        <w:gridCol w:w="109"/>
        <w:gridCol w:w="109"/>
        <w:gridCol w:w="784"/>
        <w:gridCol w:w="784"/>
        <w:gridCol w:w="788"/>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80" w:after="283"/>
              <w:jc w:val="center"/>
              <w:rPr>
                <w:color w:val="000000"/>
              </w:rPr>
            </w:pPr>
            <w:r>
              <w:rPr>
                <w:color w:val="000000"/>
              </w:rPr>
              <w:t>☒</w:t>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80" w:after="283"/>
              <w:jc w:val="center"/>
              <w:rPr>
                <w:color w:val="000000"/>
              </w:rPr>
            </w:pPr>
            <w:r>
              <w:rPr>
                <w:color w:val="000000"/>
              </w:rPr>
              <w:t>☐</w:t>
            </w:r>
          </w:p>
        </w:tc>
      </w:tr>
      <w:tr>
        <w:trPr/>
        <w:tc>
          <w:tcPr>
            <w:tcW w:w="19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center"/>
              <w:rPr>
                <w:color w:val="000000"/>
              </w:rPr>
            </w:pPr>
            <w:r>
              <w:rPr>
                <w:color w:val="000000"/>
              </w:rPr>
              <w:t>☐</w:t>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80" w:after="283"/>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spacing w:lineRule="auto" w:line="288" w:before="100" w:after="283"/>
        <w:rPr/>
      </w:pPr>
      <w:r>
        <w:rPr>
          <w:rFonts w:ascii="Arial;sans-serif" w:hAnsi="Arial;sans-serif"/>
          <w:b w:val="false"/>
          <w:color w:val="000000"/>
          <w:sz w:val="18"/>
        </w:rPr>
        <w:t xml:space="preserve">Indicate by check mark whether the registrant is a shell company (as defined in Rule 12b-2 of the Exchange Act). </w:t>
      </w: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w:t>
      </w:r>
    </w:p>
    <w:p>
      <w:pPr>
        <w:pStyle w:val="TextBody"/>
        <w:spacing w:lineRule="auto" w:line="288" w:before="100" w:after="283"/>
        <w:rPr>
          <w:rFonts w:ascii="Arial;sans-serif" w:hAnsi="Arial;sans-serif"/>
          <w:b w:val="false"/>
          <w:color w:val="000000"/>
          <w:sz w:val="18"/>
        </w:rPr>
      </w:pPr>
      <w:r>
        <w:rPr>
          <w:rFonts w:ascii="Arial;sans-serif" w:hAnsi="Arial;sans-serif"/>
          <w:b w:val="false"/>
          <w:color w:val="000000"/>
          <w:sz w:val="18"/>
        </w:rPr>
        <w:t xml:space="preserve">The number of shares outstanding of the issuer’s common stock ($.20 par value), as of the latest practicable date,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April 28, 2023, is 224,571,987.</w:t>
      </w:r>
    </w:p>
    <w:p>
      <w:pPr>
        <w:pStyle w:val="TextBody"/>
        <w:spacing w:lineRule="auto" w:line="288" w:before="100" w:after="283"/>
        <w:rPr>
          <w:rFonts w:ascii="Arial;sans-serif" w:hAnsi="Arial;sans-serif"/>
          <w:b w:val="false"/>
          <w:color w:val="000000"/>
          <w:sz w:val="18"/>
        </w:rPr>
      </w:pPr>
      <w:r>
        <w:rPr>
          <w:rFonts w:ascii="Arial;sans-serif" w:hAnsi="Arial;sans-serif"/>
          <w:b w:val="false"/>
          <w:color w:val="000000"/>
          <w:sz w:val="18"/>
        </w:rPr>
        <w:t>The exhibit index is at Item 6 on page 38.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pPr>
      <w:r>
        <w:rPr>
          <w:rFonts w:ascii="Arial;sans-serif" w:hAnsi="Arial;sans-serif"/>
          <w:b/>
          <w:color w:val="000000"/>
          <w:sz w:val="20"/>
        </w:rPr>
        <w:t>Item 1.</w:t>
      </w:r>
      <w:r>
        <w:rPr>
          <w:color w:val="000000"/>
        </w:rPr>
        <w:t xml:space="preserve"> </w:t>
      </w:r>
      <w:r>
        <w:rPr>
          <w:rFonts w:ascii="Arial;sans-serif" w:hAnsi="Arial;sans-serif"/>
          <w:b/>
          <w:color w:val="000000"/>
          <w:sz w:val="20"/>
        </w:rPr>
        <w:t>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 CONDENSED CONSOLIDATED BALANCE SHEETS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 millions, except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09"/>
        <w:gridCol w:w="2097"/>
        <w:gridCol w:w="2127"/>
        <w:gridCol w:w="109"/>
        <w:gridCol w:w="109"/>
        <w:gridCol w:w="109"/>
        <w:gridCol w:w="211"/>
        <w:gridCol w:w="916"/>
        <w:gridCol w:w="109"/>
        <w:gridCol w:w="109"/>
        <w:gridCol w:w="109"/>
        <w:gridCol w:w="109"/>
        <w:gridCol w:w="211"/>
        <w:gridCol w:w="916"/>
        <w:gridCol w:w="155"/>
      </w:tblGrid>
      <w:tr>
        <w:trPr/>
        <w:tc>
          <w:tcPr>
            <w:tcW w:w="2809"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and accrued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Assets of consolidated sponsored investment products ($1,588.8 million at March 31, 2023 and $1,375.6 million at December 31, 2022, related to variable interest entities)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Liabilities of consolidated sponsored investment products ($66.0 million at March 31, 2023 and $39.1 million at December 31, 2022, related to variable interest entities)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related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savings plan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undesignated, $.20 par value – authorized and unissued 20,000,000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$.20 par value—authorized 750,000,000; issued 224,527,000 shares at March 31, 2023 and 224,310,000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capital in excess of par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 attributable to T. Rowe Price Group,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consolidated entities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redeemable non-controlling interests,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97510"/>
                <wp:effectExtent l="0" t="0" r="0" b="0"/>
                <wp:wrapNone/>
                <wp:docPr id="2" name="Frame2"/>
                <a:graphic xmlns:a="http://schemas.openxmlformats.org/drawingml/2006/main">
                  <a:graphicData uri="http://schemas.microsoft.com/office/word/2010/wordprocessingShape">
                    <wps:wsp>
                      <wps:cNvSpPr txBox="1"/>
                      <wps:spPr>
                        <a:xfrm>
                          <a:off x="0" y="0"/>
                          <a:ext cx="6480175" cy="3975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 CONDENSED CONSOLIDATED STATEMENTS OF INCOME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 millions, except per-share amounts)</w:t>
      </w:r>
    </w:p>
    <w:p>
      <w:pPr>
        <w:pStyle w:val="TextBody"/>
        <w:spacing w:lineRule="auto" w:line="288" w:before="0" w:after="0"/>
        <w:rPr>
          <w:color w:val="000000"/>
        </w:rPr>
      </w:pPr>
      <w:r>
        <w:rPr>
          <w:color w:val="000000"/>
        </w:rPr>
        <w:t> </w:t>
      </w:r>
    </w:p>
    <w:tbl>
      <w:tblPr>
        <w:tblW w:w="8020" w:type="dxa"/>
        <w:jc w:val="left"/>
        <w:tblInd w:w="0" w:type="dxa"/>
        <w:tblCellMar>
          <w:top w:w="28" w:type="dxa"/>
          <w:left w:w="28" w:type="dxa"/>
          <w:bottom w:w="28" w:type="dxa"/>
          <w:right w:w="28" w:type="dxa"/>
        </w:tblCellMar>
      </w:tblPr>
      <w:tblGrid>
        <w:gridCol w:w="1794"/>
        <w:gridCol w:w="1571"/>
        <w:gridCol w:w="1585"/>
        <w:gridCol w:w="211"/>
        <w:gridCol w:w="811"/>
        <w:gridCol w:w="109"/>
        <w:gridCol w:w="109"/>
        <w:gridCol w:w="109"/>
        <w:gridCol w:w="109"/>
        <w:gridCol w:w="211"/>
        <w:gridCol w:w="811"/>
        <w:gridCol w:w="109"/>
        <w:gridCol w:w="109"/>
        <w:gridCol w:w="109"/>
        <w:gridCol w:w="109"/>
        <w:gridCol w:w="154"/>
      </w:tblGrid>
      <w:tr>
        <w:trPr/>
        <w:tc>
          <w:tcPr>
            <w:tcW w:w="1794"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8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advisory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allocation-based income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Administrative, distribution, and servicing fees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and servicing</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and recordkeeping related costs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 occupancy, and facility costs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administrative, and other</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contingent consideration</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amortization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(loss)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consolidated investment products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losses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income (loss)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net income (loss) attributable to redeemable </w:t>
              <w:br/>
              <w:t>non-controlling interests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T. Rowe Price Group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on common stock of T. Rowe Price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7510"/>
                <wp:effectExtent l="0" t="0" r="0" b="0"/>
                <wp:wrapNone/>
                <wp:docPr id="3" name="Frame3"/>
                <a:graphic xmlns:a="http://schemas.openxmlformats.org/drawingml/2006/main">
                  <a:graphicData uri="http://schemas.microsoft.com/office/word/2010/wordprocessingShape">
                    <wps:wsp>
                      <wps:cNvSpPr txBox="1"/>
                      <wps:spPr>
                        <a:xfrm>
                          <a:off x="0" y="0"/>
                          <a:ext cx="6480175" cy="3975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 CONDENSED CONSOLIDATED STATEMENTS OF COMPREHENSIVE INCOME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714"/>
        <w:gridCol w:w="2364"/>
        <w:gridCol w:w="2385"/>
        <w:gridCol w:w="211"/>
        <w:gridCol w:w="646"/>
        <w:gridCol w:w="109"/>
        <w:gridCol w:w="109"/>
        <w:gridCol w:w="109"/>
        <w:gridCol w:w="109"/>
        <w:gridCol w:w="211"/>
        <w:gridCol w:w="646"/>
        <w:gridCol w:w="109"/>
        <w:gridCol w:w="109"/>
        <w:gridCol w:w="109"/>
        <w:gridCol w:w="109"/>
        <w:gridCol w:w="156"/>
      </w:tblGrid>
      <w:tr>
        <w:trPr/>
        <w:tc>
          <w:tcPr>
            <w:tcW w:w="2714"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2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Consolidated T. Rowe Price investment products - variable interest entities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 (gains) losses recognized in non-operating income upon deconsolidation of certain T. Rowe Price investment products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currency translation adjustments of consolidated T. Rowe Price investment products - variable interest entities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(expense) benefits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comprehensive income (loss) attributable to redeemable non-controlling interests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comprehensive income attributable to T. Rowe Price Group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7510"/>
                <wp:effectExtent l="0" t="0" r="0" b="0"/>
                <wp:wrapNone/>
                <wp:docPr id="4" name="Frame4"/>
                <a:graphic xmlns:a="http://schemas.openxmlformats.org/drawingml/2006/main">
                  <a:graphicData uri="http://schemas.microsoft.com/office/word/2010/wordprocessingShape">
                    <wps:wsp>
                      <wps:cNvSpPr txBox="1"/>
                      <wps:spPr>
                        <a:xfrm>
                          <a:off x="0" y="0"/>
                          <a:ext cx="6480175" cy="3975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4</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UNAUDITED CONDENSED CONSOLIDATED STATEMENTS OF CASH FLOWS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049"/>
        <w:gridCol w:w="2252"/>
        <w:gridCol w:w="2268"/>
        <w:gridCol w:w="211"/>
        <w:gridCol w:w="811"/>
        <w:gridCol w:w="109"/>
        <w:gridCol w:w="109"/>
        <w:gridCol w:w="109"/>
        <w:gridCol w:w="109"/>
        <w:gridCol w:w="211"/>
        <w:gridCol w:w="811"/>
        <w:gridCol w:w="156"/>
      </w:tblGrid>
      <w:tr>
        <w:trPr/>
        <w:tc>
          <w:tcPr>
            <w:tcW w:w="3049"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36"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 of property, equipment and software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and impairment of acquisition-related assets and retention arrangements </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remeasurement of contingent consideration liability</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recognized on investments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redemptions in sponsored investment products used to economically hedge supplemental savings plan liability</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securities held by consolidated sponsored investment products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 in assets and liabilities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sponsored investment products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Dispositions of sponsored investment products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of sponsored investment products on deconsolidation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equipment and software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activity</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 issuances under stock-based compensation plans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 to common stockholders of T. Rowe Price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contributions to non-controlling interests in consolidated entities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subscriptions (redemptions) from redeemable non-controlling interest holders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of consolidated </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during period</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at beginning of period, including $119.1 million at December 31, 2022, and $101.1 million at December 31, 2021, held by consolidated sponsored investment products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at end of period, including $92.1 million at March 31, 2023, and $87.1 million at March 31, 2022, held by consolidated sponsored investment products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7510"/>
                <wp:effectExtent l="0" t="0" r="0" b="0"/>
                <wp:wrapNone/>
                <wp:docPr id="5" name="Frame5"/>
                <a:graphic xmlns:a="http://schemas.openxmlformats.org/drawingml/2006/main">
                  <a:graphicData uri="http://schemas.microsoft.com/office/word/2010/wordprocessingShape">
                    <wps:wsp>
                      <wps:cNvSpPr txBox="1"/>
                      <wps:spPr>
                        <a:xfrm>
                          <a:off x="0" y="0"/>
                          <a:ext cx="6480175" cy="3975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5</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 CONDENSED CONSOLIDATED STATEMENTS OF STOCKHOLDERS’ EQUITY</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(shares in thousands; dollars in millions)</w:t>
      </w:r>
    </w:p>
    <w:tbl>
      <w:tblPr>
        <w:tblW w:w="12477" w:type="dxa"/>
        <w:jc w:val="center"/>
        <w:tblInd w:w="0" w:type="dxa"/>
        <w:tblCellMar>
          <w:top w:w="28" w:type="dxa"/>
          <w:left w:w="28" w:type="dxa"/>
          <w:bottom w:w="28" w:type="dxa"/>
          <w:right w:w="28" w:type="dxa"/>
        </w:tblCellMar>
      </w:tblPr>
      <w:tblGrid>
        <w:gridCol w:w="681"/>
        <w:gridCol w:w="282"/>
        <w:gridCol w:w="283"/>
        <w:gridCol w:w="368"/>
        <w:gridCol w:w="368"/>
        <w:gridCol w:w="281"/>
        <w:gridCol w:w="109"/>
        <w:gridCol w:w="109"/>
        <w:gridCol w:w="109"/>
        <w:gridCol w:w="196"/>
        <w:gridCol w:w="466"/>
        <w:gridCol w:w="109"/>
        <w:gridCol w:w="109"/>
        <w:gridCol w:w="109"/>
        <w:gridCol w:w="109"/>
        <w:gridCol w:w="196"/>
        <w:gridCol w:w="556"/>
        <w:gridCol w:w="109"/>
        <w:gridCol w:w="109"/>
        <w:gridCol w:w="109"/>
        <w:gridCol w:w="109"/>
        <w:gridCol w:w="196"/>
        <w:gridCol w:w="691"/>
        <w:gridCol w:w="109"/>
        <w:gridCol w:w="109"/>
        <w:gridCol w:w="109"/>
        <w:gridCol w:w="109"/>
        <w:gridCol w:w="196"/>
        <w:gridCol w:w="481"/>
        <w:gridCol w:w="109"/>
        <w:gridCol w:w="109"/>
        <w:gridCol w:w="109"/>
        <w:gridCol w:w="109"/>
        <w:gridCol w:w="196"/>
        <w:gridCol w:w="691"/>
        <w:gridCol w:w="109"/>
        <w:gridCol w:w="109"/>
        <w:gridCol w:w="109"/>
        <w:gridCol w:w="109"/>
        <w:gridCol w:w="246"/>
        <w:gridCol w:w="698"/>
        <w:gridCol w:w="137"/>
        <w:gridCol w:w="109"/>
        <w:gridCol w:w="109"/>
        <w:gridCol w:w="109"/>
        <w:gridCol w:w="196"/>
        <w:gridCol w:w="691"/>
        <w:gridCol w:w="109"/>
        <w:gridCol w:w="109"/>
        <w:gridCol w:w="109"/>
        <w:gridCol w:w="109"/>
        <w:gridCol w:w="240"/>
        <w:gridCol w:w="681"/>
        <w:gridCol w:w="190"/>
      </w:tblGrid>
      <w:tr>
        <w:trPr/>
        <w:tc>
          <w:tcPr>
            <w:tcW w:w="6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1" w:type="dxa"/>
            <w:gridSpan w:val="51"/>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3/31/2023</w:t>
            </w:r>
          </w:p>
        </w:tc>
      </w:tr>
      <w:tr>
        <w:trPr/>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Common</w:t>
              <w:br/>
              <w:t>shares</w:t>
              <w:br/>
              <w:t>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Additional</w:t>
              <w:br/>
              <w:t>capital in</w:t>
              <w:br/>
              <w:t>excess of</w:t>
              <w:br/>
              <w:t>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w:t>
              <w:br/>
              <w:t>stockholders’</w:t>
              <w:br/>
              <w:t>equity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224,310 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($1.22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upon option exercises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shares issued upon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issued as dividend equivalents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repurchased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contributions to non-controlling interests in consolidated entities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subscriptions from T. Rowe Price investment products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224,527 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10214" w:type="dxa"/>
            <w:gridSpan w:val="48"/>
            <w:tcBorders/>
            <w:shd w:fill="auto" w:val="clea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180"/>
        <w:rPr/>
      </w:pPr>
      <w:r>
        <w:rPr/>
      </w:r>
    </w:p>
    <w:tbl>
      <w:tblPr>
        <w:tblW w:w="12567" w:type="dxa"/>
        <w:jc w:val="left"/>
        <w:tblInd w:w="0" w:type="dxa"/>
        <w:tblCellMar>
          <w:top w:w="28" w:type="dxa"/>
          <w:left w:w="28" w:type="dxa"/>
          <w:bottom w:w="28" w:type="dxa"/>
          <w:right w:w="28" w:type="dxa"/>
        </w:tblCellMar>
      </w:tblPr>
      <w:tblGrid>
        <w:gridCol w:w="771"/>
        <w:gridCol w:w="282"/>
        <w:gridCol w:w="283"/>
        <w:gridCol w:w="368"/>
        <w:gridCol w:w="368"/>
        <w:gridCol w:w="281"/>
        <w:gridCol w:w="109"/>
        <w:gridCol w:w="109"/>
        <w:gridCol w:w="109"/>
        <w:gridCol w:w="196"/>
        <w:gridCol w:w="466"/>
        <w:gridCol w:w="109"/>
        <w:gridCol w:w="109"/>
        <w:gridCol w:w="109"/>
        <w:gridCol w:w="109"/>
        <w:gridCol w:w="196"/>
        <w:gridCol w:w="556"/>
        <w:gridCol w:w="109"/>
        <w:gridCol w:w="109"/>
        <w:gridCol w:w="109"/>
        <w:gridCol w:w="109"/>
        <w:gridCol w:w="196"/>
        <w:gridCol w:w="691"/>
        <w:gridCol w:w="109"/>
        <w:gridCol w:w="109"/>
        <w:gridCol w:w="109"/>
        <w:gridCol w:w="109"/>
        <w:gridCol w:w="196"/>
        <w:gridCol w:w="481"/>
        <w:gridCol w:w="109"/>
        <w:gridCol w:w="109"/>
        <w:gridCol w:w="109"/>
        <w:gridCol w:w="109"/>
        <w:gridCol w:w="196"/>
        <w:gridCol w:w="691"/>
        <w:gridCol w:w="109"/>
        <w:gridCol w:w="109"/>
        <w:gridCol w:w="109"/>
        <w:gridCol w:w="109"/>
        <w:gridCol w:w="246"/>
        <w:gridCol w:w="698"/>
        <w:gridCol w:w="137"/>
        <w:gridCol w:w="109"/>
        <w:gridCol w:w="109"/>
        <w:gridCol w:w="109"/>
        <w:gridCol w:w="196"/>
        <w:gridCol w:w="691"/>
        <w:gridCol w:w="109"/>
        <w:gridCol w:w="109"/>
        <w:gridCol w:w="109"/>
        <w:gridCol w:w="109"/>
        <w:gridCol w:w="240"/>
        <w:gridCol w:w="681"/>
        <w:gridCol w:w="190"/>
      </w:tblGrid>
      <w:tr>
        <w:trPr/>
        <w:tc>
          <w:tcPr>
            <w:tcW w:w="77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1" w:type="dxa"/>
            <w:gridSpan w:val="51"/>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3/31/2022</w:t>
            </w:r>
          </w:p>
        </w:tc>
      </w:tr>
      <w:tr>
        <w:trPr/>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w:t>
              <w:br/>
              <w:t>shares</w:t>
              <w:br/>
              <w:t>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capital in</w:t>
              <w:br/>
              <w:t>excess of</w:t>
              <w:br/>
              <w:t>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w:t>
              <w:br/>
              <w:t>stockholders’</w:t>
              <w:br/>
              <w:t>equity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229,175 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($1.20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upon option exercises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shares issued upon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issued as dividend equivalents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repurchased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contributions from non-controlling interests in consolidated entities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redemptions from T. Rowe Price investment products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deconsolidations of T. Rowe Price investment products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227,283 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Accumulated other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7510"/>
                <wp:effectExtent l="0" t="0" r="0" b="0"/>
                <wp:wrapNone/>
                <wp:docPr id="6" name="Frame6"/>
                <a:graphic xmlns:a="http://schemas.openxmlformats.org/drawingml/2006/main">
                  <a:graphicData uri="http://schemas.microsoft.com/office/word/2010/wordprocessingShape">
                    <wps:wsp>
                      <wps:cNvSpPr txBox="1"/>
                      <wps:spPr>
                        <a:xfrm>
                          <a:off x="0" y="0"/>
                          <a:ext cx="6480175" cy="3975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Page 6</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 – THE COMPANY AND BASIS OF PREPARATION.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 Rowe Price Group, Inc. (“T. Rowe Price”, “us”, or “we”)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Investment advisory revenues depend largely on the total value and composition of assets under our management. Accordingly, fluctuations in financial markets and in the composition of assets under management impact our revenues and results of operations.</w:t>
      </w:r>
    </w:p>
    <w:p>
      <w:pPr>
        <w:pStyle w:val="TextBody"/>
        <w:spacing w:before="0" w:after="0"/>
        <w:rPr/>
      </w:pPr>
      <w:r>
        <w:rPr/>
      </w: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BASIS OF PRESENTATION.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unaudited interim financial information contained in these unaudited condensed consolidated financial statements should be read in conjunction with the consolidated financial statements contained in our 2022 Annual Report. </w:t>
      </w:r>
    </w:p>
    <w:p>
      <w:pPr>
        <w:pStyle w:val="TextBody"/>
        <w:spacing w:before="0" w:after="0"/>
        <w:rPr/>
      </w:pPr>
      <w:r>
        <w:rPr/>
      </w:r>
    </w:p>
    <w:p>
      <w:pPr>
        <w:pStyle w:val="TextBody"/>
        <w:spacing w:lineRule="auto" w:line="268" w:before="0" w:after="0"/>
        <w:rPr>
          <w:rFonts w:ascii="Arial;sans-serif" w:hAnsi="Arial;sans-serif"/>
          <w:b/>
          <w:i/>
          <w:color w:val="000000"/>
          <w:sz w:val="20"/>
          <w:u w:val="single"/>
        </w:rPr>
      </w:pPr>
      <w:r>
        <w:rPr>
          <w:rFonts w:ascii="Arial;sans-serif" w:hAnsi="Arial;sans-serif"/>
          <w:b/>
          <w:i/>
          <w:color w:val="000000"/>
          <w:sz w:val="20"/>
          <w:u w:val="single"/>
        </w:rPr>
        <w:t>NEWLY ISSUED BUT NOT YET ADOPTED ACCOUNTING GUIDANCE.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2 – INFORMATION ABOUT RECEIVABLES, REVENUES, AND SERVICES.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Our revenues are derived primarily from investment advisory services provided to individual and institutional investors through the use of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Additionally, we derive revenue from our interests in general partners of certain affiliated private investment funds that are entitled to a disproportionate allocation of income through capital allocation-based arrangements also known as carried interest.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manage a broad mix of equity, fixed income, multi-asset, and alternative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Net revenues earned for the three months ended March 31, 2023 and 2022, are included in the table below along with details of investment advisory revenues earned from clients by their underlying asset class. We have also included average assets under management by asset class, on which we earn the investment advisory revenues.</w:t>
      </w:r>
    </w:p>
    <w:p>
      <w:pPr>
        <w:pStyle w:val="TextBody"/>
        <w:spacing w:before="0" w:after="0"/>
        <w:rPr/>
      </w:pPr>
      <w:r>
        <w:rPr/>
      </w:r>
    </w:p>
    <w:tbl>
      <w:tblPr>
        <w:tblW w:w="9200" w:type="dxa"/>
        <w:jc w:val="left"/>
        <w:tblInd w:w="0" w:type="dxa"/>
        <w:tblCellMar>
          <w:top w:w="28" w:type="dxa"/>
          <w:left w:w="28" w:type="dxa"/>
          <w:bottom w:w="28" w:type="dxa"/>
          <w:right w:w="28" w:type="dxa"/>
        </w:tblCellMar>
      </w:tblPr>
      <w:tblGrid>
        <w:gridCol w:w="1668"/>
        <w:gridCol w:w="1457"/>
        <w:gridCol w:w="1479"/>
        <w:gridCol w:w="211"/>
        <w:gridCol w:w="811"/>
        <w:gridCol w:w="109"/>
        <w:gridCol w:w="109"/>
        <w:gridCol w:w="109"/>
        <w:gridCol w:w="109"/>
        <w:gridCol w:w="211"/>
        <w:gridCol w:w="8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668"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advisory fees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Fixed income, including money market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Multi-asset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Alternatives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investment advisory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administrative, distribution, and servicing fees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allocation-based income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Average AUM </w:t>
            </w:r>
            <w:r>
              <w:rPr>
                <w:rFonts w:ascii="Arial;sans-serif" w:hAnsi="Arial;sans-serif"/>
                <w:b w:val="false"/>
                <w:color w:val="000000"/>
                <w:sz w:val="16"/>
              </w:rPr>
              <w:t>(in billions)</w:t>
            </w:r>
            <w:r>
              <w:rPr>
                <w:rFonts w:ascii="Arial;sans-serif" w:hAnsi="Arial;sans-serif"/>
                <w:b w:val="false"/>
                <w:color w:val="000000"/>
                <w:sz w:val="20"/>
              </w:rPr>
              <w:t>:</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Fixed income, including money market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Multi-asset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Alternatives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Total net revenues earned from our sponsored products, primarily our sponsored U.S. mutual funds and collective investment trusts, aggregate $1,268.0 million and $1,536.4 million for the three months ended March 31, 2023 and 2022, respectively. Accounts receivable from our sponsored products aggregate to $498.5 million at March 31, 2023 and $492.4 million at December 31, 2022.</w:t>
      </w:r>
    </w:p>
    <w:p>
      <w:pPr>
        <w:pStyle w:val="TextBody"/>
        <w:spacing w:before="0" w:after="0"/>
        <w:rPr/>
      </w:pPr>
      <w:r>
        <w:rPr/>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 xml:space="preserve">Investors that we serve are primarily domiciled in the U.S.; investment advisory clients outside the U.S. account for 8.9% and 9.1% of our assets under management at March 31, 2023 and December 31, 2022,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3 – INVESTMENTS.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carrying values of our investments that are not part of the consolidated sponsored investment products are as follows:</w:t>
      </w:r>
    </w:p>
    <w:tbl>
      <w:tblPr>
        <w:tblW w:w="9001" w:type="dxa"/>
        <w:jc w:val="left"/>
        <w:tblInd w:w="0" w:type="dxa"/>
        <w:tblCellMar>
          <w:top w:w="28" w:type="dxa"/>
          <w:left w:w="28" w:type="dxa"/>
          <w:bottom w:w="28" w:type="dxa"/>
          <w:right w:w="28" w:type="dxa"/>
        </w:tblCellMar>
      </w:tblPr>
      <w:tblGrid>
        <w:gridCol w:w="2284"/>
        <w:gridCol w:w="1997"/>
        <w:gridCol w:w="2019"/>
        <w:gridCol w:w="211"/>
        <w:gridCol w:w="811"/>
        <w:gridCol w:w="109"/>
        <w:gridCol w:w="109"/>
        <w:gridCol w:w="109"/>
        <w:gridCol w:w="109"/>
        <w:gridCol w:w="211"/>
        <w:gridCol w:w="811"/>
        <w:gridCol w:w="221"/>
      </w:tblGrid>
      <w:tr>
        <w:trPr/>
        <w:tc>
          <w:tcPr>
            <w:tcW w:w="2284"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held at fair value</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Seed capital</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savings plan liability economic hedges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partnerships and other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Seed capital</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23% Investment in UTI Asset Management Company Limited (India)</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private investment funds - carried interest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private investment funds - seed/co-investment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 partnerships and investments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Held to maturity</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21"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U.S. Treasury note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9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During the three months ended March 31, 2023, net gains on investments included $46.7 million of net unrealized gains related to investments held at fair value that were still held at March 31, 2023. During the three months ended March 31, 2022, net losses on investments included $99.9 million of net unrealized losses related to investments held at fair value that were still held at March 31, 2022.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During the three months ended March 31, 2023 and 2022, certain sponsored investment products in which we provided initial seed capital at the time of formation were deconsolidated, as we no longer had a controlling interest. Depending on our ownership interest, we are now reporting our residual interests in these sponsored investment products as either an equity method investment or an investment held at fair value. Additionally, during the three months ended March 31, 2022, certain sponsored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tbl>
      <w:tblPr>
        <w:tblW w:w="9018" w:type="dxa"/>
        <w:jc w:val="center"/>
        <w:tblInd w:w="0" w:type="dxa"/>
        <w:tblCellMar>
          <w:top w:w="28" w:type="dxa"/>
          <w:left w:w="28" w:type="dxa"/>
          <w:bottom w:w="28" w:type="dxa"/>
          <w:right w:w="28" w:type="dxa"/>
        </w:tblCellMar>
      </w:tblPr>
      <w:tblGrid>
        <w:gridCol w:w="2339"/>
        <w:gridCol w:w="2046"/>
        <w:gridCol w:w="2079"/>
        <w:gridCol w:w="213"/>
        <w:gridCol w:w="502"/>
        <w:gridCol w:w="110"/>
        <w:gridCol w:w="109"/>
        <w:gridCol w:w="109"/>
        <w:gridCol w:w="109"/>
        <w:gridCol w:w="211"/>
        <w:gridCol w:w="601"/>
        <w:gridCol w:w="109"/>
        <w:gridCol w:w="109"/>
        <w:gridCol w:w="109"/>
        <w:gridCol w:w="109"/>
        <w:gridCol w:w="154"/>
      </w:tblGrid>
      <w:tr>
        <w:trPr/>
        <w:tc>
          <w:tcPr>
            <w:tcW w:w="2339"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assets of consolidated sponsored investment products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liabilities of consolidated sponsored investment products</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redeemable non-controlling interests</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recognized upon deconsolidation</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gains recognized upon deconsolidation were the result of reclassifying currency translation adjustments accumulated on certain sponsored investment products with non-USD functional currencies from accumulated other comprehensive income to non-operating income.</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INVESTMENTS IN AFFILIATED COLLATERALIZED LOAN OBLIGATIONS.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There is debt associated with our long-term investments in affiliated collateralized loan obligations (“CLOs”). As of March 31, 2023 and December 31, 2022, the debt is carried at $101.7 million and $103.0 million, and is reported in accounts payable and accrued expenses in our unaudited condensed consolidated balance sheets. The debt includes outstanding repurchase agreements of €65.8 million (equivalent to $71.3 million at March 31, 2023 and $71.3 million at December 31, 2022 at the respective EUR spot rates) and collateralized by the CLO investments. The debt also includes outstanding note facilities of €35.6 million (equivalent to $30.4 million at March 31, 2023 and $31.7 million at December 31, 2022 at the respective EUR spot rates) and are collateralized by first priority security interests in the assets of the consolidated OHA entity that is party to the notes. These note facilities bear interest at rates based on EURIBOR plus the initial margin, which equals all-in rates ranging from 1.15% to 11.26% as of March 31, 2023. The debt matures on various dates through 2035 or if the investments are paid back in full or cancelled, whichever is sooner. </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VARIABLE INTEREST ENTITIES.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investments at March 31, 2023 and December 31, 2022 include interests in variable interest entities that we do not consolidate as we are not deemed the primary beneficiary. Our maximum risk of loss related to our involvement with these entities is as follows:</w:t>
      </w:r>
    </w:p>
    <w:tbl>
      <w:tblPr>
        <w:tblW w:w="5123" w:type="dxa"/>
        <w:jc w:val="left"/>
        <w:tblInd w:w="0" w:type="dxa"/>
        <w:tblCellMar>
          <w:top w:w="28" w:type="dxa"/>
          <w:left w:w="28" w:type="dxa"/>
          <w:bottom w:w="28" w:type="dxa"/>
          <w:right w:w="28" w:type="dxa"/>
        </w:tblCellMar>
      </w:tblPr>
      <w:tblGrid>
        <w:gridCol w:w="1021"/>
        <w:gridCol w:w="892"/>
        <w:gridCol w:w="906"/>
        <w:gridCol w:w="211"/>
        <w:gridCol w:w="646"/>
        <w:gridCol w:w="109"/>
        <w:gridCol w:w="109"/>
        <w:gridCol w:w="109"/>
        <w:gridCol w:w="109"/>
        <w:gridCol w:w="211"/>
        <w:gridCol w:w="64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carrying values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Unfunded capital commitments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unfunded capital commitments, totaling $86.5 million at March 31, 2023 and $84.7 million at December 31, 2022, relate primarily to the affiliated private investment funds and the investment partnerships in which we have an existing investment. In addition to such amounts, a percentage of prior distributions may be called under certain circumstances. </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INVESTMENTS IN AFFILIATED FUNDS.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During 2021, as part of the OHA acquisition,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was determined to be the primary beneficiary.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total assets, liabilities and non-controlling interests of these consolidated variable interest entities are as follows:</w:t>
      </w:r>
    </w:p>
    <w:p>
      <w:pPr>
        <w:pStyle w:val="TextBody"/>
        <w:spacing w:before="0" w:after="0"/>
        <w:rPr/>
      </w:pPr>
      <w:r>
        <w:rPr/>
      </w:r>
    </w:p>
    <w:tbl>
      <w:tblPr>
        <w:tblW w:w="4745" w:type="dxa"/>
        <w:jc w:val="left"/>
        <w:tblInd w:w="0" w:type="dxa"/>
        <w:tblCellMar>
          <w:top w:w="28" w:type="dxa"/>
          <w:left w:w="28" w:type="dxa"/>
          <w:bottom w:w="28" w:type="dxa"/>
          <w:right w:w="28" w:type="dxa"/>
        </w:tblCellMar>
      </w:tblPr>
      <w:tblGrid>
        <w:gridCol w:w="842"/>
        <w:gridCol w:w="737"/>
        <w:gridCol w:w="535"/>
        <w:gridCol w:w="109"/>
        <w:gridCol w:w="109"/>
        <w:gridCol w:w="109"/>
        <w:gridCol w:w="211"/>
        <w:gridCol w:w="646"/>
        <w:gridCol w:w="109"/>
        <w:gridCol w:w="109"/>
        <w:gridCol w:w="109"/>
        <w:gridCol w:w="109"/>
        <w:gridCol w:w="211"/>
        <w:gridCol w:w="646"/>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10" name="Frame1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4 – FAIR VALUE MEASUREMENTS.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determine the fair value of our cash equivalents and investments held at fair value using the following broad levels of inputs as defined by related accounting standards:</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Level 1 – quoted prices in active markets for identical securities.</w:t>
      </w:r>
    </w:p>
    <w:p>
      <w:pPr>
        <w:pStyle w:val="TextBody"/>
        <w:spacing w:lineRule="auto" w:line="288" w:before="0" w:after="0"/>
        <w:ind w:left="0" w:right="0" w:hanging="810"/>
        <w:rPr>
          <w:rFonts w:ascii="Arial;sans-serif" w:hAnsi="Arial;sans-serif"/>
          <w:b w:val="false"/>
          <w:color w:val="000000"/>
          <w:sz w:val="20"/>
        </w:rPr>
      </w:pPr>
      <w:r>
        <w:rPr>
          <w:rFonts w:ascii="Arial;sans-serif" w:hAnsi="Arial;sans-serif"/>
          <w:b w:val="false"/>
          <w:color w:val="000000"/>
          <w:sz w:val="20"/>
        </w:rPr>
        <w:t>Level 2 – observable inputs other than Level 1 quoted prices including, but not limited to, quoted prices for similar</w:t>
      </w:r>
    </w:p>
    <w:p>
      <w:pPr>
        <w:pStyle w:val="TextBody"/>
        <w:spacing w:lineRule="auto" w:line="288" w:before="0" w:after="0"/>
        <w:ind w:left="0" w:right="0" w:hanging="810"/>
        <w:rPr>
          <w:color w:val="000000"/>
        </w:rPr>
      </w:pPr>
      <w:r>
        <w:rPr>
          <w:color w:val="000000"/>
        </w:rPr>
        <w:t xml:space="preserve">     </w:t>
      </w:r>
      <w:r>
        <w:rPr>
          <w:rFonts w:ascii="Arial;sans-serif" w:hAnsi="Arial;sans-serif"/>
          <w:b w:val="false"/>
          <w:color w:val="000000"/>
          <w:sz w:val="20"/>
        </w:rPr>
        <w:t>securities, interest rates, prepayment speeds, and credit risk. These inputs are based on market data</w:t>
      </w:r>
    </w:p>
    <w:p>
      <w:pPr>
        <w:pStyle w:val="TextBody"/>
        <w:spacing w:lineRule="auto" w:line="288" w:before="0" w:after="0"/>
        <w:ind w:left="0" w:right="0" w:hanging="810"/>
        <w:rPr>
          <w:color w:val="000000"/>
        </w:rPr>
      </w:pPr>
      <w:r>
        <w:rPr>
          <w:color w:val="000000"/>
        </w:rPr>
        <w:t xml:space="preserve">     </w:t>
      </w:r>
      <w:r>
        <w:rPr>
          <w:rFonts w:ascii="Arial;sans-serif" w:hAnsi="Arial;sans-serif"/>
          <w:b w:val="false"/>
          <w:color w:val="000000"/>
          <w:sz w:val="20"/>
        </w:rPr>
        <w:t xml:space="preserve">obtained from independent sources. </w:t>
      </w:r>
    </w:p>
    <w:p>
      <w:pPr>
        <w:pStyle w:val="TextBody"/>
        <w:spacing w:lineRule="auto" w:line="288" w:before="0" w:after="0"/>
        <w:ind w:left="0" w:right="0" w:hanging="810"/>
        <w:rPr>
          <w:rFonts w:ascii="Arial;sans-serif" w:hAnsi="Arial;sans-serif"/>
          <w:b w:val="false"/>
          <w:color w:val="000000"/>
          <w:sz w:val="20"/>
        </w:rPr>
      </w:pPr>
      <w:r>
        <w:rPr>
          <w:rFonts w:ascii="Arial;sans-serif" w:hAnsi="Arial;sans-serif"/>
          <w:b w:val="false"/>
          <w:color w:val="000000"/>
          <w:sz w:val="20"/>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on our unaudited condensed consolidated balance sheets and are detailed in Note 5.</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01"/>
        <w:gridCol w:w="853"/>
        <w:gridCol w:w="864"/>
        <w:gridCol w:w="211"/>
        <w:gridCol w:w="811"/>
        <w:gridCol w:w="109"/>
        <w:gridCol w:w="109"/>
        <w:gridCol w:w="109"/>
        <w:gridCol w:w="109"/>
        <w:gridCol w:w="211"/>
        <w:gridCol w:w="541"/>
        <w:gridCol w:w="109"/>
        <w:gridCol w:w="109"/>
        <w:gridCol w:w="109"/>
        <w:gridCol w:w="109"/>
        <w:gridCol w:w="211"/>
        <w:gridCol w:w="541"/>
        <w:gridCol w:w="109"/>
        <w:gridCol w:w="109"/>
        <w:gridCol w:w="109"/>
        <w:gridCol w:w="109"/>
        <w:gridCol w:w="211"/>
        <w:gridCol w:w="811"/>
        <w:gridCol w:w="109"/>
        <w:gridCol w:w="109"/>
        <w:gridCol w:w="109"/>
        <w:gridCol w:w="109"/>
        <w:gridCol w:w="211"/>
        <w:gridCol w:w="541"/>
        <w:gridCol w:w="109"/>
        <w:gridCol w:w="109"/>
        <w:gridCol w:w="109"/>
        <w:gridCol w:w="109"/>
        <w:gridCol w:w="211"/>
        <w:gridCol w:w="541"/>
        <w:gridCol w:w="155"/>
      </w:tblGrid>
      <w:tr>
        <w:trPr/>
        <w:tc>
          <w:tcPr>
            <w:tcW w:w="110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3"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held in money market funds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Seed capital</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savings plan liability economic hedges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liability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9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fair value hierarchy level table above does not include the investment partnerships and other investments for which fair value is estimated using their NAV per share as a practical expedient. The carrying value of these investments as disclosed in Note 3 were $80.1 million at March 31, 2023, and $86.4 million at December 31, 2022.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As part of the purchase consideration for our acquisition of OHA in December 2021, there was contingent 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three months ended March 31, 2022, $5.1 million was recorded as part of compensation expense in our unaudited condensed consolidated statements of income for the portion of the earnout deemed compensatory. The amount recorded as compensation expense for the three months ended March 31, 2023 was immaterial.</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11" name="Frame1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change in the contingent consideration liability measured at fair value for which we used Level 3 inputs to determine fair value is as follows:</w:t>
      </w:r>
    </w:p>
    <w:p>
      <w:pPr>
        <w:pStyle w:val="TextBody"/>
        <w:spacing w:before="0" w:after="0"/>
        <w:rPr/>
      </w:pPr>
      <w:r>
        <w:rPr/>
      </w:r>
    </w:p>
    <w:tbl>
      <w:tblPr>
        <w:tblW w:w="6527" w:type="dxa"/>
        <w:jc w:val="left"/>
        <w:tblInd w:w="0" w:type="dxa"/>
        <w:tblCellMar>
          <w:top w:w="28" w:type="dxa"/>
          <w:left w:w="28" w:type="dxa"/>
          <w:bottom w:w="28" w:type="dxa"/>
          <w:right w:w="28" w:type="dxa"/>
        </w:tblCellMar>
      </w:tblPr>
      <w:tblGrid>
        <w:gridCol w:w="1274"/>
        <w:gridCol w:w="1117"/>
        <w:gridCol w:w="1133"/>
        <w:gridCol w:w="279"/>
        <w:gridCol w:w="716"/>
        <w:gridCol w:w="144"/>
        <w:gridCol w:w="144"/>
        <w:gridCol w:w="144"/>
        <w:gridCol w:w="144"/>
        <w:gridCol w:w="279"/>
        <w:gridCol w:w="855"/>
        <w:gridCol w:w="144"/>
        <w:gridCol w:w="154"/>
      </w:tblGrid>
      <w:tr>
        <w:trPr/>
        <w:tc>
          <w:tcPr>
            <w:tcW w:w="127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Contingent Consideration Liability</w:t>
            </w:r>
          </w:p>
        </w:tc>
        <w:tc>
          <w:tcPr>
            <w:tcW w:w="154" w:type="dxa"/>
            <w:tcBorders/>
            <w:shd w:fill="auto" w:val="clea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Measurement period adjustment</w:t>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Unrealized gains, included in earnings</w:t>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fair value of the contingent consideration is measured using the Monte Carlo simulation methodology of valuation. The most significant assumptions used relate to the discount rates and from changes pertaining to the achievement of the defined financial targets.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months ended March 31, 2023 and 2022, the amounts recognized as part of compensation expense in our unaudited condensed consolidated statements of income were immaterial.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5 – CONSOLIDATED SPONSORED INVESTMENT PRODUCTS.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details the net assets of the consolidated sponsored investment products:</w:t>
      </w:r>
    </w:p>
    <w:tbl>
      <w:tblPr>
        <w:tblW w:w="10205" w:type="dxa"/>
        <w:jc w:val="left"/>
        <w:tblInd w:w="0" w:type="dxa"/>
        <w:tblCellMar>
          <w:top w:w="28" w:type="dxa"/>
          <w:left w:w="28" w:type="dxa"/>
          <w:bottom w:w="28" w:type="dxa"/>
          <w:right w:w="28" w:type="dxa"/>
        </w:tblCellMar>
      </w:tblPr>
      <w:tblGrid>
        <w:gridCol w:w="764"/>
        <w:gridCol w:w="496"/>
        <w:gridCol w:w="504"/>
        <w:gridCol w:w="220"/>
        <w:gridCol w:w="676"/>
        <w:gridCol w:w="113"/>
        <w:gridCol w:w="109"/>
        <w:gridCol w:w="109"/>
        <w:gridCol w:w="109"/>
        <w:gridCol w:w="230"/>
        <w:gridCol w:w="887"/>
        <w:gridCol w:w="119"/>
        <w:gridCol w:w="109"/>
        <w:gridCol w:w="109"/>
        <w:gridCol w:w="109"/>
        <w:gridCol w:w="211"/>
        <w:gridCol w:w="811"/>
        <w:gridCol w:w="109"/>
        <w:gridCol w:w="109"/>
        <w:gridCol w:w="109"/>
        <w:gridCol w:w="109"/>
        <w:gridCol w:w="220"/>
        <w:gridCol w:w="676"/>
        <w:gridCol w:w="113"/>
        <w:gridCol w:w="109"/>
        <w:gridCol w:w="109"/>
        <w:gridCol w:w="109"/>
        <w:gridCol w:w="230"/>
        <w:gridCol w:w="887"/>
        <w:gridCol w:w="119"/>
        <w:gridCol w:w="109"/>
        <w:gridCol w:w="109"/>
        <w:gridCol w:w="109"/>
        <w:gridCol w:w="211"/>
        <w:gridCol w:w="811"/>
        <w:gridCol w:w="163"/>
      </w:tblGrid>
      <w:tr>
        <w:trPr/>
        <w:tc>
          <w:tcPr>
            <w:tcW w:w="76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0"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4"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1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millions)</w:t>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w:t>
            </w:r>
          </w:p>
        </w:tc>
      </w:tr>
      <w:tr>
        <w:trPr/>
        <w:tc>
          <w:tcPr>
            <w:tcW w:w="1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Cash and cash equivalents</w:t>
            </w:r>
            <w:r>
              <w:rPr>
                <w:rFonts w:ascii="Arial;sans-serif" w:hAnsi="Arial;sans-serif"/>
                <w:b w:val="false"/>
                <w:color w:val="000000"/>
                <w:sz w:val="13"/>
              </w:rPr>
              <w:t>(1)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Investments</w:t>
            </w:r>
            <w:r>
              <w:rPr>
                <w:rFonts w:ascii="Arial;sans-serif" w:hAnsi="Arial;sans-serif"/>
                <w:b w:val="false"/>
                <w:color w:val="000000"/>
                <w:sz w:val="13"/>
              </w:rPr>
              <w:t>(2)</w:t>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Attributable to T. Rowe Price Group</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Attributable to redeemable non-controlling interests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i/>
          <w:color w:val="000000"/>
          <w:sz w:val="10"/>
        </w:rPr>
        <w:t xml:space="preserve">(1) </w:t>
      </w:r>
      <w:r>
        <w:rPr>
          <w:rFonts w:ascii="Arial;sans-serif" w:hAnsi="Arial;sans-serif"/>
          <w:b w:val="false"/>
          <w:i/>
          <w:color w:val="000000"/>
          <w:sz w:val="16"/>
        </w:rPr>
        <w:t>Cash and cash equivalents includes $.9 million at March 31, 2023, and $2.6 million at December 31, 2022, of investments in T. Rowe Price money market mutual funds.</w:t>
      </w:r>
    </w:p>
    <w:p>
      <w:pPr>
        <w:pStyle w:val="TextBody"/>
        <w:spacing w:lineRule="auto" w:line="288" w:before="0" w:after="0"/>
        <w:ind w:left="0" w:right="0" w:hanging="180"/>
        <w:rPr/>
      </w:pPr>
      <w:r>
        <w:rPr>
          <w:rFonts w:ascii="Arial;sans-serif" w:hAnsi="Arial;sans-serif"/>
          <w:b w:val="false"/>
          <w:i/>
          <w:color w:val="000000"/>
          <w:sz w:val="10"/>
        </w:rPr>
        <w:t xml:space="preserve">(2) </w:t>
      </w:r>
      <w:r>
        <w:rPr>
          <w:rFonts w:ascii="Arial;sans-serif" w:hAnsi="Arial;sans-serif"/>
          <w:b w:val="false"/>
          <w:i/>
          <w:color w:val="000000"/>
          <w:sz w:val="16"/>
        </w:rPr>
        <w:t>Investments include $7.1 million at March 31, 2023, and $7.6 million at December 31, 2022 of sponsored investment products.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2" name="Frame1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Since third party investors in these investment products have no recourse to our credit, our overall risk related to the net assets of consolidated sponsored investment products is limited to valuation changes associated with our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operating results of the consolidated sponsored investment products for the three months ended March 31, 2023 and 2022, are reflected in our unaudited condensed consolidated statements of income as follows:</w:t>
      </w:r>
    </w:p>
    <w:tbl>
      <w:tblPr>
        <w:tblW w:w="10205" w:type="dxa"/>
        <w:jc w:val="center"/>
        <w:tblInd w:w="0" w:type="dxa"/>
        <w:tblCellMar>
          <w:top w:w="28" w:type="dxa"/>
          <w:left w:w="28" w:type="dxa"/>
          <w:bottom w:w="28" w:type="dxa"/>
          <w:right w:w="28" w:type="dxa"/>
        </w:tblCellMar>
      </w:tblPr>
      <w:tblGrid>
        <w:gridCol w:w="1131"/>
        <w:gridCol w:w="714"/>
        <w:gridCol w:w="726"/>
        <w:gridCol w:w="244"/>
        <w:gridCol w:w="531"/>
        <w:gridCol w:w="126"/>
        <w:gridCol w:w="109"/>
        <w:gridCol w:w="109"/>
        <w:gridCol w:w="109"/>
        <w:gridCol w:w="282"/>
        <w:gridCol w:w="723"/>
        <w:gridCol w:w="145"/>
        <w:gridCol w:w="109"/>
        <w:gridCol w:w="109"/>
        <w:gridCol w:w="109"/>
        <w:gridCol w:w="211"/>
        <w:gridCol w:w="541"/>
        <w:gridCol w:w="109"/>
        <w:gridCol w:w="109"/>
        <w:gridCol w:w="109"/>
        <w:gridCol w:w="109"/>
        <w:gridCol w:w="244"/>
        <w:gridCol w:w="531"/>
        <w:gridCol w:w="126"/>
        <w:gridCol w:w="109"/>
        <w:gridCol w:w="109"/>
        <w:gridCol w:w="109"/>
        <w:gridCol w:w="274"/>
        <w:gridCol w:w="736"/>
        <w:gridCol w:w="141"/>
        <w:gridCol w:w="109"/>
        <w:gridCol w:w="109"/>
        <w:gridCol w:w="109"/>
        <w:gridCol w:w="211"/>
        <w:gridCol w:w="661"/>
        <w:gridCol w:w="163"/>
      </w:tblGrid>
      <w:tr>
        <w:trPr/>
        <w:tc>
          <w:tcPr>
            <w:tcW w:w="113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41"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reflected in net operating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 (loss) reflected in non-operating income</w:t>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income before taxes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T. Rowe Price Group</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redeemable non-controlling interests</w:t>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operating expenses of the consolidated investment products are reflected in general, administrative and other expenses. In preparing our unaudited condensed consolidated financial statements, we eliminated operating expenses of $0.6 million and $0.9 million for the three months ended March 31, 2023 and 2022, respectively, against the investment advisory and administrative fees earned from these products. The net investment income (loss) reflected in non-operating income (loss) includes dividend and interest income as well as realized and unrealized gains and losses on the underlying securities held by the consolidated sponsored investment products.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table below details the impact of these consolidated investment products on the individual lines of our unaudited condensed consolidated statements of cash flows for the three months ended March 31, 2023 and 2022.</w:t>
      </w:r>
    </w:p>
    <w:tbl>
      <w:tblPr>
        <w:tblW w:w="10205" w:type="dxa"/>
        <w:jc w:val="center"/>
        <w:tblInd w:w="0" w:type="dxa"/>
        <w:tblCellMar>
          <w:top w:w="28" w:type="dxa"/>
          <w:left w:w="28" w:type="dxa"/>
          <w:bottom w:w="28" w:type="dxa"/>
          <w:right w:w="28" w:type="dxa"/>
        </w:tblCellMar>
      </w:tblPr>
      <w:tblGrid>
        <w:gridCol w:w="1076"/>
        <w:gridCol w:w="722"/>
        <w:gridCol w:w="662"/>
        <w:gridCol w:w="233"/>
        <w:gridCol w:w="620"/>
        <w:gridCol w:w="120"/>
        <w:gridCol w:w="109"/>
        <w:gridCol w:w="109"/>
        <w:gridCol w:w="109"/>
        <w:gridCol w:w="259"/>
        <w:gridCol w:w="823"/>
        <w:gridCol w:w="133"/>
        <w:gridCol w:w="109"/>
        <w:gridCol w:w="109"/>
        <w:gridCol w:w="109"/>
        <w:gridCol w:w="211"/>
        <w:gridCol w:w="660"/>
        <w:gridCol w:w="109"/>
        <w:gridCol w:w="109"/>
        <w:gridCol w:w="109"/>
        <w:gridCol w:w="109"/>
        <w:gridCol w:w="243"/>
        <w:gridCol w:w="526"/>
        <w:gridCol w:w="125"/>
        <w:gridCol w:w="109"/>
        <w:gridCol w:w="109"/>
        <w:gridCol w:w="109"/>
        <w:gridCol w:w="278"/>
        <w:gridCol w:w="714"/>
        <w:gridCol w:w="143"/>
        <w:gridCol w:w="109"/>
        <w:gridCol w:w="109"/>
        <w:gridCol w:w="109"/>
        <w:gridCol w:w="211"/>
        <w:gridCol w:w="541"/>
        <w:gridCol w:w="161"/>
      </w:tblGrid>
      <w:tr>
        <w:trPr/>
        <w:tc>
          <w:tcPr>
            <w:tcW w:w="107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5" w:type="dxa"/>
            <w:gridSpan w:val="3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96"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millions)</w:t>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Voting </w:t>
              <w:br/>
              <w:t>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of consolidated </w:t>
            </w:r>
          </w:p>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 Rowe Price investment products</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change in cash and cash equivalents during period</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net cash provided by financing activities during the three months ended March 31, 2023 and 2022 includes $4.4 million and $35.1 million, respectively, of net redemptions we received from the consolidated sponsored investment products, including dividends. These cash flows were eliminated in consolidation.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3" name="Frame1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FAIR VALUE MEASUREMENTS.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determine the fair value of investments held by consolidated sponsored investment products using the following broad levels of inputs as defined by related accounting standards:</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Level 1 – quoted prices in active markets for identical securities.</w:t>
      </w:r>
    </w:p>
    <w:p>
      <w:pPr>
        <w:pStyle w:val="TextBody"/>
        <w:spacing w:lineRule="auto" w:line="288" w:before="0" w:after="0"/>
        <w:ind w:left="0" w:right="0" w:hanging="810"/>
        <w:rPr>
          <w:rFonts w:ascii="Arial;sans-serif" w:hAnsi="Arial;sans-serif"/>
          <w:b w:val="false"/>
          <w:color w:val="000000"/>
          <w:sz w:val="20"/>
        </w:rPr>
      </w:pPr>
      <w:r>
        <w:rPr>
          <w:rFonts w:ascii="Arial;sans-serif" w:hAnsi="Arial;sans-serif"/>
          <w:b w:val="false"/>
          <w:color w:val="000000"/>
          <w:sz w:val="20"/>
        </w:rPr>
        <w:t>Level 2 – observable inputs other than Level 1 quoted prices including, but not limited to, quoted prices for similar securities, interest rates, prepayment speeds, and credit risk. These inputs are based on market data obtained from independent sources.</w:t>
      </w:r>
    </w:p>
    <w:p>
      <w:pPr>
        <w:pStyle w:val="TextBody"/>
        <w:spacing w:lineRule="auto" w:line="288" w:before="0" w:after="0"/>
        <w:ind w:left="0" w:right="0" w:hanging="810"/>
        <w:rPr>
          <w:rFonts w:ascii="Arial;sans-serif" w:hAnsi="Arial;sans-serif"/>
          <w:b w:val="false"/>
          <w:color w:val="000000"/>
          <w:sz w:val="20"/>
        </w:rPr>
      </w:pPr>
      <w:r>
        <w:rPr>
          <w:rFonts w:ascii="Arial;sans-serif" w:hAnsi="Arial;sans-serif"/>
          <w:b w:val="false"/>
          <w:color w:val="000000"/>
          <w:sz w:val="20"/>
        </w:rPr>
        <w:t xml:space="preserve">Level 3 – unobservable inputs reflecting our own assumptions based on the best information available. </w:t>
      </w:r>
    </w:p>
    <w:p>
      <w:pPr>
        <w:pStyle w:val="TextBody"/>
        <w:spacing w:before="0" w:after="0"/>
        <w:ind w:left="0" w:right="0" w:hanging="36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tbl>
      <w:tblPr>
        <w:tblW w:w="9786" w:type="dxa"/>
        <w:jc w:val="left"/>
        <w:tblInd w:w="0" w:type="dxa"/>
        <w:tblCellMar>
          <w:top w:w="28" w:type="dxa"/>
          <w:left w:w="28" w:type="dxa"/>
          <w:bottom w:w="28" w:type="dxa"/>
          <w:right w:w="28" w:type="dxa"/>
        </w:tblCellMar>
      </w:tblPr>
      <w:tblGrid>
        <w:gridCol w:w="964"/>
        <w:gridCol w:w="609"/>
        <w:gridCol w:w="617"/>
        <w:gridCol w:w="211"/>
        <w:gridCol w:w="646"/>
        <w:gridCol w:w="109"/>
        <w:gridCol w:w="109"/>
        <w:gridCol w:w="109"/>
        <w:gridCol w:w="109"/>
        <w:gridCol w:w="211"/>
        <w:gridCol w:w="811"/>
        <w:gridCol w:w="109"/>
        <w:gridCol w:w="109"/>
        <w:gridCol w:w="109"/>
        <w:gridCol w:w="109"/>
        <w:gridCol w:w="211"/>
        <w:gridCol w:w="541"/>
        <w:gridCol w:w="109"/>
        <w:gridCol w:w="109"/>
        <w:gridCol w:w="109"/>
        <w:gridCol w:w="109"/>
        <w:gridCol w:w="211"/>
        <w:gridCol w:w="646"/>
        <w:gridCol w:w="109"/>
        <w:gridCol w:w="109"/>
        <w:gridCol w:w="109"/>
        <w:gridCol w:w="109"/>
        <w:gridCol w:w="211"/>
        <w:gridCol w:w="811"/>
        <w:gridCol w:w="109"/>
        <w:gridCol w:w="109"/>
        <w:gridCol w:w="109"/>
        <w:gridCol w:w="109"/>
        <w:gridCol w:w="211"/>
        <w:gridCol w:w="541"/>
        <w:gridCol w:w="154"/>
      </w:tblGrid>
      <w:tr>
        <w:trPr/>
        <w:tc>
          <w:tcPr>
            <w:tcW w:w="96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7" w:type="dxa"/>
            <w:gridSpan w:val="15"/>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securities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fair value of Level 3 investments held by consolidated sponsored investment products is derived from inputs that are unobservable and which reflect the company's own determinations about the assumptions that market participants would use in pricing the investments, including assumptions about risk. These inputs are developed based on the company's own data, which is adjusted if information indicates that market participants would use different assumptions. There were no transfers into or out of Level 3 of the fair value hierarchy for the three months ended March 31, 2023.</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provides information about the significant Level 3 inputs:</w:t>
      </w:r>
    </w:p>
    <w:p>
      <w:pPr>
        <w:pStyle w:val="TextBody"/>
        <w:spacing w:before="0" w:after="0"/>
        <w:rPr/>
      </w:pPr>
      <w:r>
        <w:rPr/>
      </w:r>
    </w:p>
    <w:tbl>
      <w:tblPr>
        <w:tblW w:w="9129" w:type="dxa"/>
        <w:jc w:val="left"/>
        <w:tblInd w:w="0" w:type="dxa"/>
        <w:tblCellMar>
          <w:top w:w="28" w:type="dxa"/>
          <w:left w:w="28" w:type="dxa"/>
          <w:bottom w:w="28" w:type="dxa"/>
          <w:right w:w="28" w:type="dxa"/>
        </w:tblCellMar>
      </w:tblPr>
      <w:tblGrid>
        <w:gridCol w:w="624"/>
        <w:gridCol w:w="547"/>
        <w:gridCol w:w="554"/>
        <w:gridCol w:w="265"/>
        <w:gridCol w:w="631"/>
        <w:gridCol w:w="147"/>
        <w:gridCol w:w="147"/>
        <w:gridCol w:w="147"/>
        <w:gridCol w:w="147"/>
        <w:gridCol w:w="714"/>
        <w:gridCol w:w="714"/>
        <w:gridCol w:w="716"/>
        <w:gridCol w:w="147"/>
        <w:gridCol w:w="147"/>
        <w:gridCol w:w="147"/>
        <w:gridCol w:w="584"/>
        <w:gridCol w:w="584"/>
        <w:gridCol w:w="586"/>
        <w:gridCol w:w="147"/>
        <w:gridCol w:w="147"/>
        <w:gridCol w:w="147"/>
        <w:gridCol w:w="334"/>
        <w:gridCol w:w="334"/>
        <w:gridCol w:w="472"/>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4" w:type="dxa"/>
            <w:gridSpan w:val="21"/>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March 31, 2023</w:t>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techniques</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Ranges</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Market Yield (Comparables)</w:t>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Yield</w:t>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9.5% - 12.2%</w:t>
            </w:r>
          </w:p>
        </w:tc>
      </w:tr>
    </w:tbl>
    <w:p>
      <w:pPr>
        <w:pStyle w:val="TextBody"/>
        <w:spacing w:before="0" w:after="0"/>
        <w:rPr/>
      </w:pPr>
      <w:r>
        <w:rPr/>
      </w:r>
    </w:p>
    <w:tbl>
      <w:tblPr>
        <w:tblW w:w="9334" w:type="dxa"/>
        <w:jc w:val="left"/>
        <w:tblInd w:w="0" w:type="dxa"/>
        <w:tblCellMar>
          <w:top w:w="28" w:type="dxa"/>
          <w:left w:w="28" w:type="dxa"/>
          <w:bottom w:w="28" w:type="dxa"/>
          <w:right w:w="28" w:type="dxa"/>
        </w:tblCellMar>
      </w:tblPr>
      <w:tblGrid>
        <w:gridCol w:w="624"/>
        <w:gridCol w:w="547"/>
        <w:gridCol w:w="554"/>
        <w:gridCol w:w="287"/>
        <w:gridCol w:w="684"/>
        <w:gridCol w:w="160"/>
        <w:gridCol w:w="160"/>
        <w:gridCol w:w="160"/>
        <w:gridCol w:w="160"/>
        <w:gridCol w:w="714"/>
        <w:gridCol w:w="714"/>
        <w:gridCol w:w="716"/>
        <w:gridCol w:w="160"/>
        <w:gridCol w:w="160"/>
        <w:gridCol w:w="160"/>
        <w:gridCol w:w="584"/>
        <w:gridCol w:w="584"/>
        <w:gridCol w:w="586"/>
        <w:gridCol w:w="160"/>
        <w:gridCol w:w="160"/>
        <w:gridCol w:w="160"/>
        <w:gridCol w:w="334"/>
        <w:gridCol w:w="334"/>
        <w:gridCol w:w="472"/>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21"/>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December 31, 2022</w:t>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techniques</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Ranges</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Market Yield (Comparables)</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Yield</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9.8% - 12.4%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4" name="Frame1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6 - GOODWILL AND INTANGIBLE ASSETS.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Goodwill and intangible assets consist of the following:</w:t>
      </w:r>
    </w:p>
    <w:p>
      <w:pPr>
        <w:pStyle w:val="TextBody"/>
        <w:spacing w:before="0" w:after="0"/>
        <w:rPr/>
      </w:pPr>
      <w:r>
        <w:rPr/>
      </w:r>
    </w:p>
    <w:tbl>
      <w:tblPr>
        <w:tblW w:w="8886" w:type="dxa"/>
        <w:jc w:val="left"/>
        <w:tblInd w:w="0" w:type="dxa"/>
        <w:tblCellMar>
          <w:top w:w="28" w:type="dxa"/>
          <w:left w:w="28" w:type="dxa"/>
          <w:bottom w:w="28" w:type="dxa"/>
          <w:right w:w="28" w:type="dxa"/>
        </w:tblCellMar>
      </w:tblPr>
      <w:tblGrid>
        <w:gridCol w:w="2330"/>
        <w:gridCol w:w="2038"/>
        <w:gridCol w:w="1557"/>
        <w:gridCol w:w="109"/>
        <w:gridCol w:w="109"/>
        <w:gridCol w:w="109"/>
        <w:gridCol w:w="211"/>
        <w:gridCol w:w="811"/>
        <w:gridCol w:w="109"/>
        <w:gridCol w:w="109"/>
        <w:gridCol w:w="109"/>
        <w:gridCol w:w="109"/>
        <w:gridCol w:w="211"/>
        <w:gridCol w:w="811"/>
        <w:gridCol w:w="154"/>
      </w:tblGrid>
      <w:tr>
        <w:trPr/>
        <w:tc>
          <w:tcPr>
            <w:tcW w:w="2330"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 - 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 - investment advisory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Definite-lived intangible assets - investment advisory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Amortization expense for the definite-lived investment advisory agreements intangible assets was $26.0 million and $27.1 million for the three months ended March 31, 2023 and 2022, respectively. Estimated amortization expense for the definite-lived investment advisory agreements intangible assets for the remainder of 2023 is $78.1 million, $91.5 million for 2024, $91.2 million for 2025, $74.2 million for 2026, and $50.0 million for 2027.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evaluate the carrying amount of goodwill in our unaudited condensed consolidated balance sheets for possible impairment on an annual basis in the fourth quarter of each year or if triggering events occur that require us to evaluate for impairment earlier. We did not record any impairment charges for goodwill for the three months ended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7 – STOCK-BASED COMPENSATION.</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STOCK OPTIONS.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summarizes the status of, and changes in, our stock options during the three months ended March 31, 2023. </w:t>
      </w:r>
    </w:p>
    <w:p>
      <w:pPr>
        <w:pStyle w:val="TextBody"/>
        <w:spacing w:before="0" w:after="0"/>
        <w:rPr/>
      </w:pPr>
      <w:r>
        <w:rPr/>
      </w:r>
    </w:p>
    <w:tbl>
      <w:tblPr>
        <w:tblW w:w="5760" w:type="dxa"/>
        <w:jc w:val="left"/>
        <w:tblInd w:w="0" w:type="dxa"/>
        <w:tblCellMar>
          <w:top w:w="28" w:type="dxa"/>
          <w:left w:w="28" w:type="dxa"/>
          <w:bottom w:w="28" w:type="dxa"/>
          <w:right w:w="28" w:type="dxa"/>
        </w:tblCellMar>
      </w:tblPr>
      <w:tblGrid>
        <w:gridCol w:w="1141"/>
        <w:gridCol w:w="1002"/>
        <w:gridCol w:w="1007"/>
        <w:gridCol w:w="510"/>
        <w:gridCol w:w="511"/>
        <w:gridCol w:w="251"/>
        <w:gridCol w:w="109"/>
        <w:gridCol w:w="109"/>
        <w:gridCol w:w="109"/>
        <w:gridCol w:w="211"/>
        <w:gridCol w:w="646"/>
        <w:gridCol w:w="154"/>
      </w:tblGrid>
      <w:tr>
        <w:trPr/>
        <w:tc>
          <w:tcPr>
            <w:tcW w:w="114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price</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2,218,506 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(252,013)</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2023</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1,966,493 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2023</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1,966,493 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RESTRICTED SHARES AND STOCK UNITS.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summarizes the status of, and changes in, our nonvested restricted shares and restricted stock units during the three months ended March 31, 2023. </w:t>
      </w:r>
    </w:p>
    <w:tbl>
      <w:tblPr>
        <w:tblW w:w="9443" w:type="dxa"/>
        <w:jc w:val="left"/>
        <w:tblInd w:w="0" w:type="dxa"/>
        <w:tblCellMar>
          <w:top w:w="28" w:type="dxa"/>
          <w:left w:w="28" w:type="dxa"/>
          <w:bottom w:w="28" w:type="dxa"/>
          <w:right w:w="28" w:type="dxa"/>
        </w:tblCellMar>
      </w:tblPr>
      <w:tblGrid>
        <w:gridCol w:w="1788"/>
        <w:gridCol w:w="1570"/>
        <w:gridCol w:w="1576"/>
        <w:gridCol w:w="323"/>
        <w:gridCol w:w="323"/>
        <w:gridCol w:w="306"/>
        <w:gridCol w:w="109"/>
        <w:gridCol w:w="109"/>
        <w:gridCol w:w="109"/>
        <w:gridCol w:w="510"/>
        <w:gridCol w:w="511"/>
        <w:gridCol w:w="306"/>
        <w:gridCol w:w="109"/>
        <w:gridCol w:w="109"/>
        <w:gridCol w:w="109"/>
        <w:gridCol w:w="297"/>
        <w:gridCol w:w="1060"/>
        <w:gridCol w:w="219"/>
      </w:tblGrid>
      <w:tr>
        <w:trPr/>
        <w:tc>
          <w:tcPr>
            <w:tcW w:w="1788"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Restricted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Restricted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stock</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5,901,600 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grants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16,664 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granted to non-employee directors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(65,827)</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(33,039)</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at March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8,715 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5,820,434 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Nonvested at March 31, 2023, includes performance-based restricted stock units of 320,326. These nonvested performance-based restricted stock units include 105,106 units for which the performance period has lapsed, and the performance threshold has been met.</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5" name="Frame1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FUTURE STOCK-BASED COMPENSATION EXPENSE.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compensation expense to be recognized over the remaining vesting periods of the stock-based awards outstanding at March 31, 2023. Estimated future compensation expense will change to reflect future grants of restricted stock awards and units, future option grants, changes in the probability of performance thresholds being met, and adjustments for actual forfeitures.</w:t>
      </w:r>
    </w:p>
    <w:p>
      <w:pPr>
        <w:pStyle w:val="TextBody"/>
        <w:spacing w:lineRule="auto" w:line="288" w:before="0" w:after="0"/>
        <w:rPr>
          <w:color w:val="000000"/>
        </w:rPr>
      </w:pPr>
      <w:r>
        <w:rPr>
          <w:color w:val="000000"/>
        </w:rPr>
        <w:t> </w:t>
      </w:r>
    </w:p>
    <w:tbl>
      <w:tblPr>
        <w:tblW w:w="2931" w:type="dxa"/>
        <w:jc w:val="left"/>
        <w:tblInd w:w="0" w:type="dxa"/>
        <w:tblCellMar>
          <w:top w:w="28" w:type="dxa"/>
          <w:left w:w="28" w:type="dxa"/>
          <w:bottom w:w="28" w:type="dxa"/>
          <w:right w:w="28" w:type="dxa"/>
        </w:tblCellMar>
      </w:tblPr>
      <w:tblGrid>
        <w:gridCol w:w="696"/>
        <w:gridCol w:w="609"/>
        <w:gridCol w:w="615"/>
        <w:gridCol w:w="211"/>
        <w:gridCol w:w="646"/>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 2023</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 2023</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through 2029</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8 – EARNINGS PER SHARE CALCULATIONS.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 </w:t>
      </w:r>
    </w:p>
    <w:tbl>
      <w:tblPr>
        <w:tblW w:w="9879" w:type="dxa"/>
        <w:jc w:val="left"/>
        <w:tblInd w:w="0" w:type="dxa"/>
        <w:tblCellMar>
          <w:top w:w="28" w:type="dxa"/>
          <w:left w:w="28" w:type="dxa"/>
          <w:bottom w:w="28" w:type="dxa"/>
          <w:right w:w="28" w:type="dxa"/>
        </w:tblCellMar>
      </w:tblPr>
      <w:tblGrid>
        <w:gridCol w:w="2582"/>
        <w:gridCol w:w="2265"/>
        <w:gridCol w:w="2292"/>
        <w:gridCol w:w="211"/>
        <w:gridCol w:w="646"/>
        <w:gridCol w:w="109"/>
        <w:gridCol w:w="109"/>
        <w:gridCol w:w="109"/>
        <w:gridCol w:w="109"/>
        <w:gridCol w:w="211"/>
        <w:gridCol w:w="646"/>
        <w:gridCol w:w="109"/>
        <w:gridCol w:w="109"/>
        <w:gridCol w:w="109"/>
        <w:gridCol w:w="109"/>
        <w:gridCol w:w="154"/>
      </w:tblGrid>
      <w:tr>
        <w:trPr/>
        <w:tc>
          <w:tcPr>
            <w:tcW w:w="2582"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T. Rowe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allocated to outstanding restricted stock and stock unit holders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allocated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assuming dilution</w:t>
            </w:r>
          </w:p>
        </w:tc>
        <w:tc>
          <w:tcPr>
            <w:tcW w:w="8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6" name="Frame1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v:rect>
            </w:pict>
          </mc:Fallback>
        </mc:AlternateContent>
      </w:r>
    </w:p>
    <w:p>
      <w:pPr>
        <w:pStyle w:val="TextBody"/>
        <w:spacing w:before="0" w:after="0"/>
        <w:jc w:val="center"/>
        <w:rPr/>
      </w:pPr>
      <w:r>
        <w:rPr/>
      </w:r>
    </w:p>
    <w:p>
      <w:pPr>
        <w:pStyle w:val="TextBody"/>
        <w:spacing w:lineRule="auto" w:line="288" w:before="60" w:after="283"/>
        <w:rPr>
          <w:rFonts w:ascii="Arial;sans-serif" w:hAnsi="Arial;sans-serif"/>
          <w:b/>
          <w:color w:val="000000"/>
          <w:sz w:val="20"/>
        </w:rPr>
      </w:pPr>
      <w:r>
        <w:rPr>
          <w:rFonts w:ascii="Arial;sans-serif" w:hAnsi="Arial;sans-serif"/>
          <w:b/>
          <w:color w:val="000000"/>
          <w:sz w:val="20"/>
        </w:rPr>
        <w:t>NOTE 9 – OTHER COMPREHENSIVE INCOME AND ACCUMULATED OTHER COMPREHENSIVE LOSS.</w:t>
      </w:r>
    </w:p>
    <w:p>
      <w:pPr>
        <w:pStyle w:val="TextBody"/>
        <w:spacing w:before="60" w:after="283"/>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changes in currency translation adjustments included in accumulated other comprehensive loss for the three months ended March 31, 2023 and 2022 are presented in the table below.</w:t>
      </w:r>
    </w:p>
    <w:tbl>
      <w:tblPr>
        <w:tblW w:w="10347" w:type="dxa"/>
        <w:jc w:val="left"/>
        <w:tblInd w:w="0" w:type="dxa"/>
        <w:tblCellMar>
          <w:top w:w="28" w:type="dxa"/>
          <w:left w:w="28" w:type="dxa"/>
          <w:bottom w:w="28" w:type="dxa"/>
          <w:right w:w="28" w:type="dxa"/>
        </w:tblCellMar>
      </w:tblPr>
      <w:tblGrid>
        <w:gridCol w:w="822"/>
        <w:gridCol w:w="300"/>
        <w:gridCol w:w="304"/>
        <w:gridCol w:w="109"/>
        <w:gridCol w:w="109"/>
        <w:gridCol w:w="109"/>
        <w:gridCol w:w="269"/>
        <w:gridCol w:w="672"/>
        <w:gridCol w:w="140"/>
        <w:gridCol w:w="109"/>
        <w:gridCol w:w="109"/>
        <w:gridCol w:w="109"/>
        <w:gridCol w:w="333"/>
        <w:gridCol w:w="665"/>
        <w:gridCol w:w="173"/>
        <w:gridCol w:w="109"/>
        <w:gridCol w:w="109"/>
        <w:gridCol w:w="109"/>
        <w:gridCol w:w="273"/>
        <w:gridCol w:w="681"/>
        <w:gridCol w:w="142"/>
        <w:gridCol w:w="109"/>
        <w:gridCol w:w="109"/>
        <w:gridCol w:w="109"/>
        <w:gridCol w:w="269"/>
        <w:gridCol w:w="672"/>
        <w:gridCol w:w="140"/>
        <w:gridCol w:w="109"/>
        <w:gridCol w:w="109"/>
        <w:gridCol w:w="109"/>
        <w:gridCol w:w="297"/>
        <w:gridCol w:w="720"/>
        <w:gridCol w:w="154"/>
        <w:gridCol w:w="109"/>
        <w:gridCol w:w="109"/>
        <w:gridCol w:w="109"/>
        <w:gridCol w:w="273"/>
        <w:gridCol w:w="681"/>
        <w:gridCol w:w="142"/>
        <w:gridCol w:w="109"/>
        <w:gridCol w:w="154"/>
      </w:tblGrid>
      <w:tr>
        <w:trPr/>
        <w:tc>
          <w:tcPr>
            <w:tcW w:w="82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3/31/2022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4592" w:type="dxa"/>
            <w:gridSpan w:val="20"/>
            <w:tcBorders/>
            <w:shd w:fill="auto" w:val="clea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 T. Rowe Price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 T. Rowe Price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and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Reclassification adjustments recognized in non-operating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deferred tax benefits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686" w:type="dxa"/>
            <w:gridSpan w:val="8"/>
            <w:tcBorders/>
            <w:shd w:fill="auto" w:val="clea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rFonts w:ascii="Arial;sans-serif" w:hAnsi="Arial;sans-serif"/>
          <w:b w:val="false"/>
          <w:color w:val="000000"/>
          <w:sz w:val="20"/>
        </w:rPr>
      </w:pPr>
      <w:r>
        <w:rPr>
          <w:rFonts w:ascii="Arial;sans-serif" w:hAnsi="Arial;sans-serif"/>
          <w:b w:val="false"/>
          <w:color w:val="000000"/>
          <w:sz w:val="20"/>
        </w:rPr>
        <w:t>The other comprehensive income (loss) in the table above excludes gains (losses) of $6.1 million and $(9.9) million of other comprehensive income related to redeemable non-controlling interests held in our consolidated products for the three months ended March 31, 2023 and 2022,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10 – COMMITMENTS AND CONTINGENCIES.</w:t>
      </w:r>
    </w:p>
    <w:p>
      <w:pPr>
        <w:pStyle w:val="TextBody"/>
        <w:spacing w:before="0" w:after="0"/>
        <w:rPr/>
      </w:pPr>
      <w:r>
        <w:rPr/>
      </w:r>
    </w:p>
    <w:p>
      <w:pPr>
        <w:pStyle w:val="TextBody"/>
        <w:spacing w:lineRule="auto" w:line="268" w:before="0" w:after="0"/>
        <w:rPr>
          <w:rFonts w:ascii="Arial;sans-serif" w:hAnsi="Arial;sans-serif"/>
          <w:b/>
          <w:color w:val="000000"/>
          <w:sz w:val="20"/>
          <w:u w:val="single"/>
        </w:rPr>
      </w:pPr>
      <w:r>
        <w:rPr>
          <w:rFonts w:ascii="Arial;sans-serif" w:hAnsi="Arial;sans-serif"/>
          <w:b/>
          <w:color w:val="000000"/>
          <w:sz w:val="20"/>
          <w:u w:val="single"/>
        </w:rPr>
        <w:t>COMMITMENTS.</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T. Rowe Price has committed $472.4 million to fund OHA products over the next four years.</w:t>
      </w:r>
    </w:p>
    <w:p>
      <w:pPr>
        <w:pStyle w:val="TextBody"/>
        <w:spacing w:before="0" w:after="0"/>
        <w:rPr/>
      </w:pPr>
      <w:r>
        <w:rPr/>
      </w:r>
    </w:p>
    <w:p>
      <w:pPr>
        <w:pStyle w:val="TextBody"/>
        <w:spacing w:lineRule="auto" w:line="268" w:before="0" w:after="0"/>
        <w:rPr>
          <w:rFonts w:ascii="Arial;sans-serif" w:hAnsi="Arial;sans-serif"/>
          <w:b/>
          <w:color w:val="000000"/>
          <w:sz w:val="20"/>
          <w:u w:val="single"/>
        </w:rPr>
      </w:pPr>
      <w:r>
        <w:rPr>
          <w:rFonts w:ascii="Arial;sans-serif" w:hAnsi="Arial;sans-serif"/>
          <w:b/>
          <w:color w:val="000000"/>
          <w:sz w:val="20"/>
          <w:u w:val="single"/>
        </w:rPr>
        <w:t>CONTINGENCIES.</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On October 27, 2022, two individuals filed a class action lawsuit in the United States District Court for the Southern District of California against T. Rowe Price Retirement Plan Services, Inc. (“RPS”). The complaint alleged that use of certain biometric voiceprints to validate the identity of callers as participants in retirement plans serviced by RPS violated the California Invasion of Privacy Act (“CIPA”) because RPS did not obtain their express written consent. </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On February 27, 2023, the plaintiffs moved to dismiss their complaint without prejudice and the court granted the motion.</w:t>
      </w:r>
    </w:p>
    <w:p>
      <w:pPr>
        <w:pStyle w:val="TextBody"/>
        <w:spacing w:before="0" w:after="0"/>
        <w:jc w:val="both"/>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7" name="Frame1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REPORT OF INDEPENDENT REGISTERED PUBLIC ACCOUNTING FIRM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To the Stockholders and Board of Directors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 Rowe Price Group, Inc.:</w:t>
      </w:r>
    </w:p>
    <w:p>
      <w:pPr>
        <w:pStyle w:val="TextBody"/>
        <w:spacing w:before="0" w:after="0"/>
        <w:rPr/>
      </w:pPr>
      <w:r>
        <w:rPr/>
      </w:r>
    </w:p>
    <w:p>
      <w:pPr>
        <w:pStyle w:val="TextBody"/>
        <w:spacing w:lineRule="auto" w:line="288" w:before="0" w:after="100"/>
        <w:rPr>
          <w:rFonts w:ascii="Arial;sans-serif" w:hAnsi="Arial;sans-serif"/>
          <w:b w:val="false"/>
          <w:i/>
          <w:color w:val="000000"/>
          <w:sz w:val="20"/>
        </w:rPr>
      </w:pPr>
      <w:r>
        <w:rPr>
          <w:rFonts w:ascii="Arial;sans-serif" w:hAnsi="Arial;sans-serif"/>
          <w:b w:val="false"/>
          <w:i/>
          <w:color w:val="000000"/>
          <w:sz w:val="20"/>
        </w:rPr>
        <w:t xml:space="preserve">Results of Review of Interim Financial Information </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We have reviewed the condensed consolidated balance sheet of T. Rowe Price Group, Inc. and subsidiaries (the “Company") as of March 31, 2023, the related condensed consolidated statements of income, comprehensive income, stockholders’ equity, and cash flows for the three-month periods ended March 31, 2023 and 2022,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We have previously audited, in accordance with the standards of the Public Company Accounting Oversight Board (United States) (PCAOB), the consolidated balance sheet of the Company as of December 31, 2022, and the related consolidated statements of income, comprehensive income, stockholders’ equity, and cash flows for the year then ended (not presented herein); and in our report dated February 15,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pStyle w:val="TextBody"/>
        <w:spacing w:lineRule="auto" w:line="288" w:before="0" w:after="100"/>
        <w:rPr>
          <w:rFonts w:ascii="Arial;sans-serif" w:hAnsi="Arial;sans-serif"/>
          <w:b w:val="false"/>
          <w:i/>
          <w:color w:val="000000"/>
          <w:sz w:val="20"/>
        </w:rPr>
      </w:pPr>
      <w:r>
        <w:rPr>
          <w:rFonts w:ascii="Arial;sans-serif" w:hAnsi="Arial;sans-serif"/>
          <w:b w:val="false"/>
          <w:i/>
          <w:color w:val="000000"/>
          <w:sz w:val="20"/>
        </w:rPr>
        <w:t>Basis for Review Results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KPMG LLP</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Baltimore, Maryland</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May 2, 2023 </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8" name="Frame1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v:rect>
            </w:pict>
          </mc:Fallback>
        </mc:AlternateContent>
      </w:r>
    </w:p>
    <w:p>
      <w:pPr>
        <w:pStyle w:val="TextBody"/>
        <w:spacing w:before="0" w:after="0"/>
        <w:jc w:val="center"/>
        <w:rPr/>
      </w:pPr>
      <w:r>
        <w:rPr/>
      </w:r>
    </w:p>
    <w:p>
      <w:pPr>
        <w:pStyle w:val="TextBody"/>
        <w:spacing w:lineRule="auto" w:line="288" w:before="0" w:after="0"/>
        <w:ind w:left="0" w:right="0" w:hanging="360"/>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OVERVIEW.</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revenues and net income are derived primarily from investment advisory services provided to individual and institutional investors in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We manage a broad mix of equity, fixed income, multi-asset, alternative and money market asset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On April 20, 2023, we completed our acquisition of Retiree, Inc., a fintech firm that offers innovative retirement income planning software. The terms of the transaction are not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MARKET TRENDS.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Major U.S. stock indexes rose in the first quarter of 2023. Large-cap shares surpassed their smaller-cap peers, and growth stocks outperformed value stocks across all market classes. After a strong January, the market surrendered some of its gains in February due to concerns that the Federal Reserve—which raised short-term interest rates on February 1—would continue ramping up rates to combat elevated inflation. Equities fell sharply in the first half of March, as two of the largest bank failures in U.S. history raised concerns about the stability of the U.S. banking industry. Although financial regulators acted quickly to protect all Silicon Valley Bank and Signature Bank depositors from losses and to restore confidence in other banks, investors had lingering concerns—following a year of aggressive interest rate increases—that other regional banks could be toppled by losses from their bond holdings or a flight of depositors’ capital. As investors’ concerns diminished in the second half of March, however, equities rebounded strongly.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Developed non-U.S. equity markets outperformed U.S. equities, as a weaker dollar versus some currencies enhanced returns to U.S. investors. In Europe, equity markets were mostly positive in dollar terms, though financials sector concerns centered on Switzerland’s Credit Suisse, which was acquired by UBS Group in a government-brokered deal, rocked the markets in March. Developed Asian market returns were mostly positive but lagged European markets.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Stocks in emerging markets underperformed equities in developed non-U.S. markets in dollar terms. Markets in the major emerging regions were widely mixed. In Latin America, for example, Mexican shares surged more than 20%,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9" name="Frame1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while Colombian shares slumped 13%. In Asia, stocks in Taiwan and South Korea outperformed with gains of about 15% and 10%, respectively, while Indian shares fell more than 6%. In emerging Europe, Turkish shares slipped 9%, as the country recovered from a massive early-February earthquake and continued to struggle with elevated inflation, while Greek shares jumped about 16%.</w:t>
      </w:r>
    </w:p>
    <w:p>
      <w:pPr>
        <w:pStyle w:val="TextBody"/>
        <w:spacing w:before="0" w:after="0"/>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Returns of several major equity market indexes were as follows:</w:t>
      </w:r>
    </w:p>
    <w:tbl>
      <w:tblPr>
        <w:tblW w:w="7218" w:type="dxa"/>
        <w:jc w:val="left"/>
        <w:tblInd w:w="0" w:type="dxa"/>
        <w:tblCellMar>
          <w:top w:w="28" w:type="dxa"/>
          <w:left w:w="28" w:type="dxa"/>
          <w:bottom w:w="28" w:type="dxa"/>
          <w:right w:w="28" w:type="dxa"/>
        </w:tblCellMar>
      </w:tblPr>
      <w:tblGrid>
        <w:gridCol w:w="1762"/>
        <w:gridCol w:w="1548"/>
        <w:gridCol w:w="1564"/>
        <w:gridCol w:w="109"/>
        <w:gridCol w:w="109"/>
        <w:gridCol w:w="109"/>
        <w:gridCol w:w="584"/>
        <w:gridCol w:w="584"/>
        <w:gridCol w:w="586"/>
        <w:gridCol w:w="109"/>
        <w:gridCol w:w="154"/>
      </w:tblGrid>
      <w:tr>
        <w:trPr/>
        <w:tc>
          <w:tcPr>
            <w:tcW w:w="1762"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S&amp;P 500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NASDAQ Composite Index</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Russell 2000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MSCI EAFE (Europe, Australasia, and Far East)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MSCI Emerging Markets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color w:val="000000"/>
        </w:rPr>
        <w:t> </w:t>
      </w:r>
      <w:r>
        <w:rPr>
          <w:rFonts w:ascii="Arial;sans-serif" w:hAnsi="Arial;sans-serif"/>
          <w:b w:val="false"/>
          <w:color w:val="000000"/>
          <w:sz w:val="10"/>
        </w:rPr>
        <w:t xml:space="preserve">(1) </w:t>
      </w:r>
      <w:r>
        <w:rPr>
          <w:rFonts w:ascii="Arial;sans-serif" w:hAnsi="Arial;sans-serif"/>
          <w:b w:val="false"/>
          <w:i/>
          <w:color w:val="000000"/>
          <w:sz w:val="16"/>
        </w:rPr>
        <w:t>Returns exclude dividends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Global bonds produced mostly positive returns in dollar terms in the first quarter. In the U.S., three- and six-month U.S. Treasury bill yields rose as the Federal Reserve raised the fed funds target rate by 25 basis points in February and in March. The fed funds target rate range at the end of the quarter was 4.75% to 5.00%. However, U.S. Treasury note and bond yields declined roughly 30 to 40 basis points for the quarter, as regional bank distress resulted in a flight to safety in mid-March and raised expectations that the Fed would temper future interest rate increases. The 10-year U.S. Treasury note yield fell from 3.88% to 3.48% during the quarter.</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the U.S. investment-grade universe, corporate bonds and Treasuries performed best. Mortgage-backed securities also did well, but asset-backed and commercial mortgage-backed securities trailed with milder gains. Tax-free municipal bonds rose but slightly lagged the taxable investment-grade bond market. High yield issues outperformed higher-quality fixed income securities.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Bonds in developed non-U.S. markets appreciated in dollar terms, thanks to strength in March amid falling yields in various countries. Returns to U.S. investors were lifted by stronger European currencies versus the dollar. The Japanese yen, however, fell close to 1% versus the dollar, as Japanese monetary authorities kept monetary policy very stimulative. Emerging markets bonds produced positive returns in dollar terms, as various central banks continued raising short-term rates to fight inflation. Bonds denominated in local currencies fared better than dollar-denominated issues, as the U.S. dollar retreated versus many emerging markets currencies.</w:t>
      </w:r>
    </w:p>
    <w:p>
      <w:pPr>
        <w:pStyle w:val="TextBody"/>
        <w:spacing w:before="0" w:after="0"/>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Returns for several major bond market indexes were as follows:</w:t>
      </w:r>
    </w:p>
    <w:tbl>
      <w:tblPr>
        <w:tblW w:w="7309" w:type="dxa"/>
        <w:jc w:val="left"/>
        <w:tblInd w:w="0" w:type="dxa"/>
        <w:tblCellMar>
          <w:top w:w="28" w:type="dxa"/>
          <w:left w:w="28" w:type="dxa"/>
          <w:bottom w:w="28" w:type="dxa"/>
          <w:right w:w="28" w:type="dxa"/>
        </w:tblCellMar>
      </w:tblPr>
      <w:tblGrid>
        <w:gridCol w:w="1790"/>
        <w:gridCol w:w="1578"/>
        <w:gridCol w:w="1597"/>
        <w:gridCol w:w="109"/>
        <w:gridCol w:w="109"/>
        <w:gridCol w:w="109"/>
        <w:gridCol w:w="584"/>
        <w:gridCol w:w="584"/>
        <w:gridCol w:w="586"/>
        <w:gridCol w:w="109"/>
        <w:gridCol w:w="154"/>
      </w:tblGrid>
      <w:tr>
        <w:trPr/>
        <w:tc>
          <w:tcPr>
            <w:tcW w:w="179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U.S. Aggregate Bond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JPMorgan Global High Yield Index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Municipal Bond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Global Aggregate Ex-U.S. Dollar Bond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JPMorgan Emerging Markets Bond Index Plus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ICE Bank of America U.S. High Yield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Suisse Leveraged Loan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20" name="Frame2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v:rect>
            </w:pict>
          </mc:Fallback>
        </mc:AlternateContent>
      </w:r>
    </w:p>
    <w:p>
      <w:pPr>
        <w:pStyle w:val="TextBody"/>
        <w:spacing w:before="0" w:after="0"/>
        <w:jc w:val="center"/>
        <w:rPr/>
      </w:pPr>
      <w:r>
        <w:rPr/>
      </w:r>
    </w:p>
    <w:p>
      <w:pPr>
        <w:pStyle w:val="TextBody"/>
        <w:spacing w:lineRule="auto" w:line="288" w:before="0" w:after="0"/>
        <w:rPr/>
      </w:pPr>
      <w:r>
        <w:rPr>
          <w:rFonts w:ascii="Arial;sans-serif" w:hAnsi="Arial;sans-serif"/>
          <w:b/>
          <w:i/>
          <w:color w:val="000000"/>
          <w:sz w:val="20"/>
          <w:u w:val="single"/>
        </w:rPr>
        <w:t>ASSETS UNDER MANAGEMENT.</w:t>
      </w:r>
      <w:r>
        <w:rPr>
          <w:rFonts w:ascii="Arial;sans-serif" w:hAnsi="Arial;sans-serif"/>
          <w:b/>
          <w:i/>
          <w:color w:val="000000"/>
          <w:sz w:val="13"/>
          <w:u w:val="single"/>
        </w:rPr>
        <w:t>(1)</w: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Assets under management ended the first quarter of 2023 at $1,341.7 billion, an increase of $67.0 billion from December 31, 2022. The increase in assets under management during the first quarter of 2023 was driven by market appreciation, including net distributions not reinvested, of $83.1 billion, offset by net cash</w:t>
      </w:r>
      <w:r>
        <w:rPr>
          <w:color w:val="000000"/>
        </w:rPr>
        <w:t xml:space="preserve"> </w:t>
      </w:r>
      <w:r>
        <w:rPr>
          <w:rFonts w:ascii="Arial;sans-serif" w:hAnsi="Arial;sans-serif"/>
          <w:b w:val="false"/>
          <w:color w:val="000000"/>
          <w:sz w:val="20"/>
        </w:rPr>
        <w:t xml:space="preserve">outflows of $16.1 billion.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tables detail changes in our assets under management, by asset class, during the first quarter of 2023: </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12"/>
        <w:gridCol w:w="626"/>
        <w:gridCol w:w="637"/>
        <w:gridCol w:w="196"/>
        <w:gridCol w:w="556"/>
        <w:gridCol w:w="109"/>
        <w:gridCol w:w="109"/>
        <w:gridCol w:w="109"/>
        <w:gridCol w:w="109"/>
        <w:gridCol w:w="380"/>
        <w:gridCol w:w="1078"/>
        <w:gridCol w:w="211"/>
        <w:gridCol w:w="109"/>
        <w:gridCol w:w="109"/>
        <w:gridCol w:w="109"/>
        <w:gridCol w:w="235"/>
        <w:gridCol w:w="669"/>
        <w:gridCol w:w="131"/>
        <w:gridCol w:w="109"/>
        <w:gridCol w:w="109"/>
        <w:gridCol w:w="109"/>
        <w:gridCol w:w="281"/>
        <w:gridCol w:w="671"/>
        <w:gridCol w:w="158"/>
        <w:gridCol w:w="109"/>
        <w:gridCol w:w="109"/>
        <w:gridCol w:w="109"/>
        <w:gridCol w:w="196"/>
        <w:gridCol w:w="691"/>
        <w:gridCol w:w="109"/>
        <w:gridCol w:w="109"/>
        <w:gridCol w:w="109"/>
        <w:gridCol w:w="109"/>
        <w:gridCol w:w="109"/>
        <w:gridCol w:w="109"/>
        <w:gridCol w:w="109"/>
        <w:gridCol w:w="109"/>
        <w:gridCol w:w="109"/>
        <w:gridCol w:w="109"/>
        <w:gridCol w:w="109"/>
        <w:gridCol w:w="161"/>
      </w:tblGrid>
      <w:tr>
        <w:trPr/>
        <w:tc>
          <w:tcPr>
            <w:tcW w:w="712"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9" w:type="dxa"/>
            <w:gridSpan w:val="27"/>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3/31/2023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4" w:type="dxa"/>
            <w:gridSpan w:val="8"/>
            <w:tcBorders/>
            <w:shd w:fill="auto" w:val="clea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billions)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Fixed income, including 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Multi-asset</w:t>
            </w:r>
            <w:r>
              <w:rPr>
                <w:rFonts w:ascii="Arial;sans-serif" w:hAnsi="Arial;sans-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Alternatives</w:t>
            </w:r>
            <w:r>
              <w:rPr>
                <w:rFonts w:ascii="Arial;sans-serif" w:hAnsi="Arial;sans-serif"/>
                <w:b/>
                <w:color w:val="000000"/>
                <w:sz w:val="1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management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Net cash flows</w:t>
            </w:r>
            <w:r>
              <w:rPr>
                <w:rFonts w:ascii="Arial;sans-serif" w:hAnsi="Arial;sans-serif"/>
                <w:b w:val="false"/>
                <w:color w:val="000000"/>
                <w:sz w:val="10"/>
              </w:rPr>
              <w:t>(4)</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Net market appreciation and gains</w:t>
            </w:r>
            <w:r>
              <w:rPr>
                <w:rFonts w:ascii="Arial;sans-serif" w:hAnsi="Arial;sans-serif"/>
                <w:b w:val="false"/>
                <w:color w:val="000000"/>
                <w:sz w:val="10"/>
              </w:rPr>
              <w:t>(5)</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during the period</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management at March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i/>
          <w:color w:val="000000"/>
          <w:sz w:val="10"/>
        </w:rPr>
        <w:t>(1)     </w:t>
      </w:r>
      <w:r>
        <w:rPr>
          <w:rFonts w:ascii="Arial;sans-serif" w:hAnsi="Arial;sans-serif"/>
          <w:b w:val="false"/>
          <w:i/>
          <w:color w:val="000000"/>
          <w:sz w:val="14"/>
        </w:rPr>
        <w:t xml:space="preserve">Includes fee basis assets under management. </w:t>
      </w:r>
    </w:p>
    <w:p>
      <w:pPr>
        <w:pStyle w:val="TextBody"/>
        <w:spacing w:lineRule="auto" w:line="288" w:before="0" w:after="0"/>
        <w:ind w:left="0" w:right="0" w:hanging="180"/>
        <w:rPr/>
      </w:pPr>
      <w:r>
        <w:rPr>
          <w:rFonts w:ascii="Arial;sans-serif" w:hAnsi="Arial;sans-serif"/>
          <w:b w:val="false"/>
          <w:i/>
          <w:color w:val="000000"/>
          <w:sz w:val="9"/>
        </w:rPr>
        <w:t>(2)</w:t>
      </w:r>
      <w:r>
        <w:rPr>
          <w:color w:val="000000"/>
        </w:rPr>
        <w:t>    </w:t>
      </w:r>
      <w:r>
        <w:rPr>
          <w:rFonts w:ascii="Arial;sans-serif" w:hAnsi="Arial;sans-serif"/>
          <w:b w:val="false"/>
          <w:i/>
          <w:color w:val="000000"/>
          <w:sz w:val="14"/>
        </w:rPr>
        <w:t>The underlying assets under management of the multi-asset portfolios have been aggregated and presented in this category and not reported in the equity and fixed income columns.</w:t>
      </w:r>
    </w:p>
    <w:p>
      <w:pPr>
        <w:pStyle w:val="TextBody"/>
        <w:spacing w:lineRule="auto" w:line="288" w:before="0" w:after="0"/>
        <w:ind w:left="0" w:right="0" w:hanging="180"/>
        <w:rPr/>
      </w:pP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 xml:space="preserve">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as of </w:t>
      </w:r>
      <w:r>
        <w:rPr>
          <w:rFonts w:ascii="Arial;sans-serif" w:hAnsi="Arial;sans-serif"/>
          <w:b w:val="false"/>
          <w:color w:val="000000"/>
          <w:sz w:val="14"/>
        </w:rPr>
        <w:t xml:space="preserve">March 31, 2023 </w:t>
      </w:r>
      <w:r>
        <w:rPr>
          <w:rFonts w:ascii="Arial;sans-serif" w:hAnsi="Arial;sans-serif"/>
          <w:b w:val="false"/>
          <w:i/>
          <w:color w:val="000000"/>
          <w:sz w:val="14"/>
        </w:rPr>
        <w:t>were $11.8 billion and are not reflected in fee basis AUM above.</w:t>
      </w:r>
    </w:p>
    <w:p>
      <w:pPr>
        <w:pStyle w:val="TextBody"/>
        <w:spacing w:lineRule="auto" w:line="288" w:before="0" w:after="0"/>
        <w:ind w:left="0" w:right="0" w:hanging="180"/>
        <w:rPr/>
      </w:pPr>
      <w:r>
        <w:rPr>
          <w:rFonts w:ascii="Arial;sans-serif" w:hAnsi="Arial;sans-serif"/>
          <w:b w:val="false"/>
          <w:i/>
          <w:color w:val="000000"/>
          <w:sz w:val="9"/>
        </w:rPr>
        <w:t>(4)</w:t>
      </w:r>
      <w:r>
        <w:rPr>
          <w:color w:val="000000"/>
        </w:rPr>
        <w:t>    </w:t>
      </w:r>
      <w:r>
        <w:rPr>
          <w:rFonts w:ascii="Arial;sans-serif" w:hAnsi="Arial;sans-serif"/>
          <w:b w:val="false"/>
          <w:i/>
          <w:color w:val="000000"/>
          <w:sz w:val="14"/>
        </w:rPr>
        <w:t>Alternatives net cash flows includes $0.4 billion in outflows that represent investment manager-driven distributions.</w:t>
      </w:r>
    </w:p>
    <w:p>
      <w:pPr>
        <w:pStyle w:val="TextBody"/>
        <w:spacing w:lineRule="auto" w:line="288" w:before="0" w:after="0"/>
        <w:ind w:left="0" w:right="0" w:hanging="180"/>
        <w:rPr/>
      </w:pPr>
      <w:r>
        <w:rPr>
          <w:rFonts w:ascii="Arial;sans-serif" w:hAnsi="Arial;sans-serif"/>
          <w:b w:val="false"/>
          <w:i/>
          <w:color w:val="000000"/>
          <w:sz w:val="9"/>
        </w:rPr>
        <w:t>(5)</w:t>
      </w:r>
      <w:r>
        <w:rPr>
          <w:color w:val="000000"/>
        </w:rPr>
        <w:t>    </w:t>
      </w:r>
      <w:r>
        <w:rPr>
          <w:rFonts w:ascii="Arial;sans-serif" w:hAnsi="Arial;sans-serif"/>
          <w:b w:val="false"/>
          <w:i/>
          <w:color w:val="000000"/>
          <w:sz w:val="14"/>
        </w:rPr>
        <w:t>Includes net distributions not reinvested of $0.2 billion.</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Investment advisory clients outside the United States account for 8.9% of our assets under management at March 31, 2023 and 9.1% at December 31, 2022.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tbl>
      <w:tblPr>
        <w:tblW w:w="9940" w:type="dxa"/>
        <w:jc w:val="center"/>
        <w:tblInd w:w="0" w:type="dxa"/>
        <w:tblCellMar>
          <w:top w:w="28" w:type="dxa"/>
          <w:left w:w="28" w:type="dxa"/>
          <w:bottom w:w="28" w:type="dxa"/>
          <w:right w:w="28" w:type="dxa"/>
        </w:tblCellMar>
      </w:tblPr>
      <w:tblGrid>
        <w:gridCol w:w="1278"/>
        <w:gridCol w:w="1125"/>
        <w:gridCol w:w="1137"/>
        <w:gridCol w:w="214"/>
        <w:gridCol w:w="626"/>
        <w:gridCol w:w="110"/>
        <w:gridCol w:w="110"/>
        <w:gridCol w:w="110"/>
        <w:gridCol w:w="110"/>
        <w:gridCol w:w="214"/>
        <w:gridCol w:w="626"/>
        <w:gridCol w:w="110"/>
        <w:gridCol w:w="109"/>
        <w:gridCol w:w="109"/>
        <w:gridCol w:w="123"/>
        <w:gridCol w:w="123"/>
        <w:gridCol w:w="123"/>
        <w:gridCol w:w="123"/>
        <w:gridCol w:w="123"/>
        <w:gridCol w:w="123"/>
        <w:gridCol w:w="295"/>
        <w:gridCol w:w="568"/>
        <w:gridCol w:w="151"/>
        <w:gridCol w:w="134"/>
        <w:gridCol w:w="134"/>
        <w:gridCol w:w="134"/>
        <w:gridCol w:w="261"/>
        <w:gridCol w:w="595"/>
        <w:gridCol w:w="134"/>
        <w:gridCol w:w="109"/>
        <w:gridCol w:w="109"/>
        <w:gridCol w:w="109"/>
        <w:gridCol w:w="109"/>
        <w:gridCol w:w="109"/>
        <w:gridCol w:w="109"/>
        <w:gridCol w:w="154"/>
      </w:tblGrid>
      <w:tr>
        <w:trPr/>
        <w:tc>
          <w:tcPr>
            <w:tcW w:w="1278"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406" w:type="dxa"/>
            <w:gridSpan w:val="9"/>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cash inflows (outflows)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Assets under management</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752"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402"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billions)</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U.S. mutual funds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Collective investment trusts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Subadvised and separately managed accounts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March 31, 2023, total assets in these solutions were $443 billion, of which $435 billion are included in our reported assets under management in the tables above.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We provide participant accounting and plan administration for defined contribution retirement plans that invest in the firm's U.S. mutual funds, collective investment trusts and funds outside of the firm's complex. As of March 31, 2023, our assets under administration were $229 billion, of which nearly $140 billion are assets we manage.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pPr>
      <w:r>
        <w:rPr>
          <w:rFonts w:ascii="Arial;sans-serif" w:hAnsi="Arial;sans-serif"/>
          <w:b/>
          <w:i/>
          <w:color w:val="000000"/>
          <w:sz w:val="20"/>
          <w:u w:val="single"/>
        </w:rPr>
        <w:t>INVESTMENT PERFORMANCE.</w:t>
      </w:r>
      <w:r>
        <w:rPr>
          <w:rFonts w:ascii="Arial;sans-serif" w:hAnsi="Arial;sans-serif"/>
          <w:b/>
          <w:i/>
          <w:color w:val="000000"/>
          <w:sz w:val="13"/>
        </w:rPr>
        <w:t>(1)</w:t>
      </w:r>
      <w:r>
        <w:rPr>
          <w:color w:val="000000"/>
        </w:rPr>
        <w:t xml:space="preserve">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rPr>
        <w:t>S</w:t>
      </w:r>
      <w:r>
        <w:rPr>
          <w:rFonts w:ascii="Arial;sans-serif" w:hAnsi="Arial;sans-serif"/>
          <w:b w:val="false"/>
          <w:color w:val="000000"/>
          <w:sz w:val="20"/>
        </w:rPr>
        <w:t xml:space="preserve">trong investment performance and brand awareness is a key driver to attracting and retaining assets—and to our long-term success. Our performance disclosures include specific asset classes, assets under management weighted performance, mutual fund performance against passive peers and composite performance against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21" name="Frame2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benchmarks. The following tables present investment performance for the one-, three-, five-, and 10-years ended March 31, 2023. Past performance is no guarantee of future results.</w:t>
      </w:r>
    </w:p>
    <w:p>
      <w:pPr>
        <w:pStyle w:val="TextBody"/>
        <w:spacing w:before="0" w:after="0"/>
        <w:rPr/>
      </w:pPr>
      <w:r>
        <w:rPr/>
      </w:r>
    </w:p>
    <w:tbl>
      <w:tblPr>
        <w:tblW w:w="6764" w:type="dxa"/>
        <w:jc w:val="left"/>
        <w:tblInd w:w="0" w:type="dxa"/>
        <w:tblCellMar>
          <w:top w:w="28" w:type="dxa"/>
          <w:left w:w="28" w:type="dxa"/>
          <w:bottom w:w="28" w:type="dxa"/>
          <w:right w:w="28" w:type="dxa"/>
        </w:tblCellMar>
      </w:tblPr>
      <w:tblGrid>
        <w:gridCol w:w="510"/>
        <w:gridCol w:w="447"/>
        <w:gridCol w:w="392"/>
        <w:gridCol w:w="210"/>
        <w:gridCol w:w="210"/>
        <w:gridCol w:w="210"/>
        <w:gridCol w:w="210"/>
        <w:gridCol w:w="210"/>
        <w:gridCol w:w="210"/>
        <w:gridCol w:w="210"/>
        <w:gridCol w:w="210"/>
        <w:gridCol w:w="210"/>
        <w:gridCol w:w="235"/>
        <w:gridCol w:w="235"/>
        <w:gridCol w:w="235"/>
        <w:gridCol w:w="210"/>
        <w:gridCol w:w="210"/>
        <w:gridCol w:w="210"/>
        <w:gridCol w:w="235"/>
        <w:gridCol w:w="235"/>
        <w:gridCol w:w="235"/>
        <w:gridCol w:w="210"/>
        <w:gridCol w:w="210"/>
        <w:gridCol w:w="210"/>
        <w:gridCol w:w="251"/>
        <w:gridCol w:w="251"/>
        <w:gridCol w:w="353"/>
      </w:tblGrid>
      <w:tr>
        <w:trPr/>
        <w:tc>
          <w:tcPr>
            <w:tcW w:w="51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6764" w:type="dxa"/>
            <w:gridSpan w:val="27"/>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U.S. mutual funds that outperformed Morningstar median</w:t>
            </w:r>
            <w:r>
              <w:rPr>
                <w:rFonts w:ascii="Arial;sans-serif" w:hAnsi="Arial;sans-serif"/>
                <w:b/>
                <w:color w:val="000000"/>
                <w:sz w:val="12"/>
              </w:rPr>
              <w:t xml:space="preserve">(2),(3) </w:t>
            </w:r>
          </w:p>
        </w:tc>
      </w:tr>
      <w:tr>
        <w:trPr/>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w:t>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w:t>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r>
      <w:tr>
        <w:trPr/>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27"/>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U.S. mutual funds that outperformed passive peer median</w:t>
            </w:r>
            <w:r>
              <w:rPr>
                <w:rFonts w:ascii="Arial;sans-serif" w:hAnsi="Arial;sans-serif"/>
                <w:b/>
                <w:color w:val="000000"/>
                <w:sz w:val="12"/>
              </w:rPr>
              <w:t>(2),(4)</w:t>
            </w:r>
          </w:p>
        </w:tc>
      </w:tr>
      <w:tr>
        <w:trPr/>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r>
      <w:tr>
        <w:trPr/>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27"/>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composites that outperformed benchmarks</w:t>
            </w:r>
            <w:r>
              <w:rPr>
                <w:rFonts w:ascii="Arial;sans-serif" w:hAnsi="Arial;sans-serif"/>
                <w:b/>
                <w:color w:val="000000"/>
                <w:sz w:val="12"/>
              </w:rPr>
              <w:t>(5)</w:t>
            </w:r>
          </w:p>
        </w:tc>
      </w:tr>
      <w:tr>
        <w:trPr/>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w:t>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Composites</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r>
      <w:tr>
        <w:trPr/>
        <w:tc>
          <w:tcPr>
            <w:tcW w:w="134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0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0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5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480" w:type="dxa"/>
        <w:jc w:val="left"/>
        <w:tblInd w:w="0" w:type="dxa"/>
        <w:tblCellMar>
          <w:top w:w="28" w:type="dxa"/>
          <w:left w:w="28" w:type="dxa"/>
          <w:bottom w:w="28" w:type="dxa"/>
          <w:right w:w="28" w:type="dxa"/>
        </w:tblCellMar>
      </w:tblPr>
      <w:tblGrid>
        <w:gridCol w:w="1102"/>
        <w:gridCol w:w="970"/>
        <w:gridCol w:w="972"/>
        <w:gridCol w:w="130"/>
        <w:gridCol w:w="130"/>
        <w:gridCol w:w="130"/>
        <w:gridCol w:w="204"/>
        <w:gridCol w:w="204"/>
        <w:gridCol w:w="206"/>
        <w:gridCol w:w="130"/>
        <w:gridCol w:w="130"/>
        <w:gridCol w:w="130"/>
        <w:gridCol w:w="234"/>
        <w:gridCol w:w="234"/>
        <w:gridCol w:w="236"/>
        <w:gridCol w:w="130"/>
        <w:gridCol w:w="130"/>
        <w:gridCol w:w="130"/>
        <w:gridCol w:w="234"/>
        <w:gridCol w:w="234"/>
        <w:gridCol w:w="236"/>
        <w:gridCol w:w="130"/>
        <w:gridCol w:w="130"/>
        <w:gridCol w:w="130"/>
        <w:gridCol w:w="250"/>
        <w:gridCol w:w="250"/>
        <w:gridCol w:w="354"/>
      </w:tblGrid>
      <w:tr>
        <w:trPr/>
        <w:tc>
          <w:tcPr>
            <w:tcW w:w="110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AUM Weighted Performance</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27"/>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U.S. mutual funds AUM that outperformed Morningstar median</w:t>
            </w:r>
            <w:r>
              <w:rPr>
                <w:rFonts w:ascii="Arial;sans-serif" w:hAnsi="Arial;sans-serif"/>
                <w:b/>
                <w:color w:val="000000"/>
                <w:sz w:val="12"/>
              </w:rPr>
              <w:t>(2),(3)</w:t>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27"/>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U.S. mutual funds AUM that outperformed passive peer median</w:t>
            </w:r>
            <w:r>
              <w:rPr>
                <w:rFonts w:ascii="Arial;sans-serif" w:hAnsi="Arial;sans-serif"/>
                <w:b/>
                <w:color w:val="000000"/>
                <w:sz w:val="12"/>
              </w:rPr>
              <w:t>(2),(4)</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27"/>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of composites AUM that outperformed benchmarks</w:t>
            </w:r>
            <w:r>
              <w:rPr>
                <w:rFonts w:ascii="Arial;sans-serif" w:hAnsi="Arial;sans-serif"/>
                <w:b/>
                <w:color w:val="000000"/>
                <w:sz w:val="12"/>
              </w:rPr>
              <w:t>(5)</w:t>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Composites</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4436" w:type="dxa"/>
            <w:gridSpan w:val="24"/>
            <w:tcBorders/>
            <w:shd w:fill="auto" w:val="clea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4436" w:type="dxa"/>
            <w:gridSpan w:val="24"/>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20"/>
        </w:rPr>
        <w:t>As of March 31, 2023, 61 of 125 (48.8%) of the firm's rated U.S. mutual funds (across primary share classes) received an overall rating of 4 or 5 stars. By comparison, 32.5% of Morningstar's fund population is given a rating of 4 or 5 stars</w:t>
      </w:r>
      <w:r>
        <w:rPr>
          <w:rFonts w:ascii="Arial;sans-serif" w:hAnsi="Arial;sans-serif"/>
          <w:b w:val="false"/>
          <w:color w:val="000000"/>
          <w:sz w:val="13"/>
        </w:rPr>
        <w:t>(5)</w:t>
      </w:r>
      <w:r>
        <w:rPr>
          <w:rFonts w:ascii="Arial;sans-serif" w:hAnsi="Arial;sans-serif"/>
          <w:b w:val="false"/>
          <w:color w:val="000000"/>
          <w:sz w:val="20"/>
        </w:rPr>
        <w:t>. In addition, 65%</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of AUM in the firm's rated U.S. mutual funds (across primary share classes) ended March 31, 2023 with an overall rating of 4 or 5 stars.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2" name="Frame2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txbxContent>
                </v:textbox>
              </v:rect>
            </w:pict>
          </mc:Fallback>
        </mc:AlternateContent>
      </w:r>
    </w:p>
    <w:p>
      <w:pPr>
        <w:pStyle w:val="TextBody"/>
        <w:spacing w:before="0" w:after="0"/>
        <w:jc w:val="center"/>
        <w:rPr/>
      </w:pPr>
      <w:r>
        <w:rPr/>
      </w:r>
    </w:p>
    <w:p>
      <w:pPr>
        <w:pStyle w:val="TextBody"/>
        <w:spacing w:lineRule="auto" w:line="256" w:before="0" w:after="0"/>
        <w:rPr/>
      </w:pPr>
      <w:r>
        <w:rPr>
          <w:rFonts w:ascii="Arial;sans-serif" w:hAnsi="Arial;sans-serif"/>
          <w:b w:val="false"/>
          <w:i/>
          <w:color w:val="000000"/>
          <w:sz w:val="10"/>
        </w:rPr>
        <w:t xml:space="preserve">(1) </w:t>
      </w:r>
      <w:r>
        <w:rPr>
          <w:rFonts w:ascii="Arial;sans-serif" w:hAnsi="Arial;sans-serif"/>
          <w:b w:val="false"/>
          <w:i/>
          <w:color w:val="000000"/>
          <w:sz w:val="16"/>
        </w:rPr>
        <w:t>The investment performance reflects that of T. Rowe Price sponsored mutual funds and composites AUM and not of OHA’s products.</w:t>
      </w:r>
    </w:p>
    <w:p>
      <w:pPr>
        <w:pStyle w:val="TextBody"/>
        <w:spacing w:lineRule="auto" w:line="256" w:before="0" w:after="0"/>
        <w:rPr/>
      </w:pPr>
      <w:r>
        <w:rPr>
          <w:rFonts w:ascii="Arial;sans-serif" w:hAnsi="Arial;sans-serif"/>
          <w:b w:val="false"/>
          <w:i/>
          <w:color w:val="000000"/>
          <w:sz w:val="10"/>
        </w:rPr>
        <w:t xml:space="preserve">(2) </w:t>
      </w:r>
      <w:r>
        <w:rPr>
          <w:rFonts w:ascii="Arial;sans-serif" w:hAnsi="Arial;sans-serif"/>
          <w:b w:val="false"/>
          <w:i/>
          <w:color w:val="000000"/>
          <w:sz w:val="16"/>
        </w:rPr>
        <w:t xml:space="preserve">Source: © 2023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w:t>
      </w:r>
    </w:p>
    <w:p>
      <w:pPr>
        <w:pStyle w:val="TextBody"/>
        <w:spacing w:lineRule="auto" w:line="256" w:before="0" w:after="0"/>
        <w:rPr/>
      </w:pPr>
      <w:r>
        <w:rPr>
          <w:rFonts w:ascii="Arial;sans-serif" w:hAnsi="Arial;sans-serif"/>
          <w:b w:val="false"/>
          <w:i/>
          <w:color w:val="000000"/>
          <w:sz w:val="10"/>
        </w:rPr>
        <w:t>(3)</w:t>
      </w:r>
      <w:r>
        <w:rPr>
          <w:color w:val="000000"/>
        </w:rPr>
        <w:t xml:space="preserve"> </w:t>
      </w:r>
      <w:r>
        <w:rPr>
          <w:rFonts w:ascii="Arial;sans-serif" w:hAnsi="Arial;sans-serif"/>
          <w:b w:val="false"/>
          <w:i/>
          <w:color w:val="000000"/>
          <w:sz w:val="16"/>
        </w:rPr>
        <w:t xml:space="preserve">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$310B for 1 year, $310B for 3 years, $310B for 5 years, and $305B for 10 years. </w:t>
      </w:r>
    </w:p>
    <w:p>
      <w:pPr>
        <w:pStyle w:val="TextBody"/>
        <w:spacing w:lineRule="auto" w:line="256" w:before="0" w:after="0"/>
        <w:rPr/>
      </w:pPr>
      <w:r>
        <w:rPr>
          <w:rFonts w:ascii="Arial;sans-serif" w:hAnsi="Arial;sans-serif"/>
          <w:b w:val="false"/>
          <w:i/>
          <w:color w:val="000000"/>
          <w:sz w:val="10"/>
        </w:rPr>
        <w:t>(4)</w:t>
      </w:r>
      <w:r>
        <w:rPr>
          <w:color w:val="000000"/>
        </w:rPr>
        <w:t xml:space="preserve"> </w:t>
      </w:r>
      <w:r>
        <w:rPr>
          <w:rFonts w:ascii="Arial;sans-serif" w:hAnsi="Arial;sans-serif"/>
          <w:b w:val="false"/>
          <w:i/>
          <w:color w:val="000000"/>
          <w:sz w:val="16"/>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$295B for 1 year, $262B for 3 years, $261B for 5 years, and $244B for 10 years.</w:t>
      </w:r>
    </w:p>
    <w:p>
      <w:pPr>
        <w:pStyle w:val="TextBody"/>
        <w:spacing w:lineRule="auto" w:line="256" w:before="0" w:after="0"/>
        <w:rPr/>
      </w:pPr>
      <w:r>
        <w:rPr>
          <w:rFonts w:ascii="Arial;sans-serif" w:hAnsi="Arial;sans-serif"/>
          <w:b w:val="false"/>
          <w:i/>
          <w:color w:val="000000"/>
          <w:sz w:val="10"/>
        </w:rPr>
        <w:t>(5)</w:t>
      </w:r>
      <w:r>
        <w:rPr>
          <w:rFonts w:ascii="Arial;sans-serif" w:hAnsi="Arial;sans-serif"/>
          <w:b w:val="false"/>
          <w:i/>
          <w:color w:val="000000"/>
          <w:sz w:val="16"/>
        </w:rPr>
        <w:t xml:space="preserve">Composite net returns are calculated using the highest applicable separate account fee schedule. Excludes money market composites. All composites compared with the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$1,186B for 1 year, $1,181B for 3 years, $1,172B for 5 years, and $1,133B for 10 years. </w:t>
      </w:r>
    </w:p>
    <w:p>
      <w:pPr>
        <w:pStyle w:val="TextBody"/>
        <w:spacing w:lineRule="auto" w:line="256" w:before="0" w:after="0"/>
        <w:rPr/>
      </w:pPr>
      <w:r>
        <w:rPr>
          <w:rFonts w:ascii="Arial;sans-serif" w:hAnsi="Arial;sans-serif"/>
          <w:b w:val="false"/>
          <w:i/>
          <w:color w:val="000000"/>
          <w:sz w:val="10"/>
        </w:rPr>
        <w:t>(6)</w:t>
      </w:r>
      <w:r>
        <w:rPr>
          <w:color w:val="000000"/>
        </w:rPr>
        <w:t xml:space="preserve"> </w:t>
      </w:r>
      <w:r>
        <w:rPr>
          <w:rFonts w:ascii="Arial;sans-serif" w:hAnsi="Arial;sans-serif"/>
          <w:b w:val="false"/>
          <w:i/>
          <w:color w:val="000000"/>
          <w:sz w:val="16"/>
        </w:rPr>
        <w:t xml:space="preserve">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RESULTS OF OPERATIONS.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and discussion sets forth information regarding our consolidated financial results for the three months ended March 31, 2023 and 2022 on a U.S. GAAP basis as well as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 </w:t>
      </w:r>
    </w:p>
    <w:tbl>
      <w:tblPr>
        <w:tblW w:w="10205" w:type="dxa"/>
        <w:jc w:val="left"/>
        <w:tblInd w:w="0" w:type="dxa"/>
        <w:tblCellMar>
          <w:top w:w="28" w:type="dxa"/>
          <w:left w:w="28" w:type="dxa"/>
          <w:bottom w:w="28" w:type="dxa"/>
          <w:right w:w="28" w:type="dxa"/>
        </w:tblCellMar>
      </w:tblPr>
      <w:tblGrid>
        <w:gridCol w:w="1542"/>
        <w:gridCol w:w="1257"/>
        <w:gridCol w:w="1180"/>
        <w:gridCol w:w="211"/>
        <w:gridCol w:w="766"/>
        <w:gridCol w:w="109"/>
        <w:gridCol w:w="109"/>
        <w:gridCol w:w="109"/>
        <w:gridCol w:w="109"/>
        <w:gridCol w:w="211"/>
        <w:gridCol w:w="766"/>
        <w:gridCol w:w="109"/>
        <w:gridCol w:w="109"/>
        <w:gridCol w:w="109"/>
        <w:gridCol w:w="109"/>
        <w:gridCol w:w="211"/>
        <w:gridCol w:w="668"/>
        <w:gridCol w:w="109"/>
        <w:gridCol w:w="109"/>
        <w:gridCol w:w="109"/>
        <w:gridCol w:w="109"/>
        <w:gridCol w:w="281"/>
        <w:gridCol w:w="281"/>
        <w:gridCol w:w="492"/>
        <w:gridCol w:w="109"/>
        <w:gridCol w:w="109"/>
        <w:gridCol w:w="109"/>
        <w:gridCol w:w="109"/>
        <w:gridCol w:w="109"/>
        <w:gridCol w:w="109"/>
        <w:gridCol w:w="109"/>
        <w:gridCol w:w="109"/>
        <w:gridCol w:w="159"/>
      </w:tblGrid>
      <w:tr>
        <w:trPr/>
        <w:tc>
          <w:tcPr>
            <w:tcW w:w="1542"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 2023 vs. Q1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gridSpan w:val="4"/>
            <w:tcBorders/>
            <w:shd w:fill="auto" w:val="clea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per-share data)</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U.S. GAAP basis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advisory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allocation-based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Non-operating income (loss)</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 Rowe Price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u w:val="single"/>
              </w:rPr>
              <w:t>Adjusted non-GAAP basis</w:t>
            </w:r>
            <w:r>
              <w:rPr>
                <w:rFonts w:ascii="Arial;sans-serif" w:hAnsi="Arial;sans-serif"/>
                <w:b/>
                <w:color w:val="000000"/>
                <w:sz w:val="12"/>
              </w:rPr>
              <w:t>(2)</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Non-operating income (loss)</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 Rowe Price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78" w:type="dxa"/>
            <w:gridSpan w:val="12"/>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u w:val="single"/>
              </w:rPr>
              <w:t>Assets under management</w:t>
            </w:r>
            <w:r>
              <w:rPr>
                <w:color w:val="000000"/>
              </w:rPr>
              <w:t xml:space="preserve"> </w:t>
            </w:r>
            <w:r>
              <w:rPr>
                <w:rFonts w:ascii="Arial;sans-serif" w:hAnsi="Arial;sans-serif"/>
                <w:b w:val="false"/>
                <w:color w:val="000000"/>
                <w:sz w:val="18"/>
              </w:rPr>
              <w:t>(in billions)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Average assets under management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assets under management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i/>
          <w:color w:val="000000"/>
          <w:sz w:val="10"/>
        </w:rPr>
        <w:t xml:space="preserve">(1) </w:t>
      </w:r>
      <w:r>
        <w:rPr>
          <w:rFonts w:ascii="Arial;sans-serif" w:hAnsi="Arial;sans-serif"/>
          <w:b w:val="false"/>
          <w:i/>
          <w:color w:val="000000"/>
          <w:sz w:val="16"/>
        </w:rPr>
        <w:t>The percentage change is not meaningful (n/m).</w:t>
      </w:r>
    </w:p>
    <w:p>
      <w:pPr>
        <w:pStyle w:val="TextBody"/>
        <w:spacing w:lineRule="auto" w:line="288" w:before="0" w:after="0"/>
        <w:ind w:left="0" w:right="0" w:hanging="180"/>
        <w:rPr/>
      </w:pPr>
      <w:r>
        <w:rPr>
          <w:rFonts w:ascii="Arial;sans-serif" w:hAnsi="Arial;sans-serif"/>
          <w:b w:val="false"/>
          <w:i/>
          <w:color w:val="000000"/>
          <w:sz w:val="10"/>
        </w:rPr>
        <w:t xml:space="preserve">(2) </w:t>
      </w:r>
      <w:r>
        <w:rPr>
          <w:rFonts w:ascii="Arial;sans-serif" w:hAnsi="Arial;sans-serif"/>
          <w:b w:val="false"/>
          <w:i/>
          <w:color w:val="000000"/>
          <w:sz w:val="16"/>
        </w:rPr>
        <w:t xml:space="preserve">See the reconciliation to the comparable U.S. GAAP measures at the end of the Results of Operations section of this Management’s Discussion and Analysis.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3" name="Frame2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Results Overview - Quarter ended March 31, 2023</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Net revenues</w:t>
      </w:r>
      <w:r>
        <w:rPr>
          <w:color w:val="000000"/>
        </w:rPr>
        <w:t xml:space="preserve"> </w:t>
      </w:r>
      <w:r>
        <w:rPr>
          <w:rFonts w:ascii="Arial;sans-serif" w:hAnsi="Arial;sans-serif"/>
          <w:b w:val="false"/>
          <w:color w:val="000000"/>
          <w:sz w:val="20"/>
        </w:rPr>
        <w:t>consist of investment advisory revenues; administrative, distribution, and servicing fees; and capital allocation-based income. More than 90% of our net revenues are related to investment advisory fees. Total net revenues were $1,537.6 million in the first quarter of 2023, a 17.5% decline compared with $1,863.0 million in the first quarter of 2022. The decline was primarily due to a 16.3% decrease in investment advisory fee revenue as average assets under management declined 15.2%.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Capital allocation income will fluctuate quarter-to-quarter to reflect the adjustment to accrued carried interest for the change in value of the affiliated funds assuming the funds’ underlying investments were realized as of March 31, 2023, regardless of whether the funds’ underlying investments have been realized.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Operating expenses</w:t>
      </w:r>
      <w:r>
        <w:rPr>
          <w:color w:val="000000"/>
        </w:rPr>
        <w:t xml:space="preserve"> </w:t>
      </w:r>
      <w:r>
        <w:rPr>
          <w:rFonts w:ascii="Arial;sans-serif" w:hAnsi="Arial;sans-serif"/>
          <w:b w:val="false"/>
          <w:color w:val="000000"/>
          <w:sz w:val="20"/>
        </w:rPr>
        <w:t xml:space="preserve">on a U.S. GAAP basis were $1,053.4 million in the first quarter of 2023 compared with $985.6 million in the first quarter of 2022. On a non-GAAP basis, operating expenses were $1,022.5 million, a 1.6% decrease over the comparable 2022 period.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comparison to the first quarter of 2022, higher salaries and related benefits, along with higher costs related to the ongoing investments in our technology capabilities, were more than offset by lower distribution and servicing costs due to lower average assets under management, a lower interim bonus accrual, and lower stock-based compensation expense.</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Operating margin</w:t>
      </w:r>
      <w:r>
        <w:rPr>
          <w:color w:val="000000"/>
        </w:rPr>
        <w:t xml:space="preserve"> </w:t>
      </w:r>
      <w:r>
        <w:rPr>
          <w:rFonts w:ascii="Arial;sans-serif" w:hAnsi="Arial;sans-serif"/>
          <w:b w:val="false"/>
          <w:color w:val="000000"/>
          <w:sz w:val="20"/>
        </w:rPr>
        <w:t xml:space="preserve">in the first quarter of 2023 was 31.5% on a U.S. GAAP basis, compared to 47.1% earned in the 2022 quarter. The decrease in our U.S. GAAP operating margin for the first quarter of 2023 compared to the 2022 period was primarily driven by the decrease in investment advisory fee revenue and the increase in operating expenses, primarily due to the increase in the supplemental savings plan liability, which increased expenses.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Diluted earnings per share</w:t>
      </w:r>
      <w:r>
        <w:rPr>
          <w:color w:val="000000"/>
        </w:rPr>
        <w:t xml:space="preserve"> </w:t>
      </w:r>
      <w:r>
        <w:rPr>
          <w:rFonts w:ascii="Arial;sans-serif" w:hAnsi="Arial;sans-serif"/>
          <w:b w:val="false"/>
          <w:color w:val="000000"/>
          <w:sz w:val="20"/>
        </w:rPr>
        <w:t xml:space="preserve">was $1.83 for the first quarter of 2023 as compared to $2.41 for the first quarter of 2022. The decrease was primarily driven by lower operating income and a higher effective tax rate, partially offset by net investment gains recognized in the first quarter of 2023 as compared to net investment losses recognized in the first quarter of 2022, as market returns in the first quarter of 2023 were stronger than those in 2022.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On a non-GAAP basis, diluted earnings per share was $1.69 for the first quarter of 2023 as compared to $2.62 for the first quarter of 2022. Similar to our U.S. GAAP diluted earnings per share, the decrease is largely attributable to lower operating income and a higher effective tax rate compared to the 2022 period.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4" name="Frame2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Net revenues</w:t>
      </w:r>
    </w:p>
    <w:tbl>
      <w:tblPr>
        <w:tblW w:w="10205" w:type="dxa"/>
        <w:jc w:val="left"/>
        <w:tblInd w:w="0" w:type="dxa"/>
        <w:tblCellMar>
          <w:top w:w="28" w:type="dxa"/>
          <w:left w:w="28" w:type="dxa"/>
          <w:bottom w:w="28" w:type="dxa"/>
          <w:right w:w="28" w:type="dxa"/>
        </w:tblCellMar>
      </w:tblPr>
      <w:tblGrid>
        <w:gridCol w:w="1443"/>
        <w:gridCol w:w="1242"/>
        <w:gridCol w:w="1258"/>
        <w:gridCol w:w="211"/>
        <w:gridCol w:w="766"/>
        <w:gridCol w:w="109"/>
        <w:gridCol w:w="109"/>
        <w:gridCol w:w="109"/>
        <w:gridCol w:w="109"/>
        <w:gridCol w:w="211"/>
        <w:gridCol w:w="766"/>
        <w:gridCol w:w="109"/>
        <w:gridCol w:w="109"/>
        <w:gridCol w:w="109"/>
        <w:gridCol w:w="109"/>
        <w:gridCol w:w="211"/>
        <w:gridCol w:w="687"/>
        <w:gridCol w:w="109"/>
        <w:gridCol w:w="109"/>
        <w:gridCol w:w="109"/>
        <w:gridCol w:w="109"/>
        <w:gridCol w:w="291"/>
        <w:gridCol w:w="291"/>
        <w:gridCol w:w="492"/>
        <w:gridCol w:w="109"/>
        <w:gridCol w:w="109"/>
        <w:gridCol w:w="109"/>
        <w:gridCol w:w="109"/>
        <w:gridCol w:w="109"/>
        <w:gridCol w:w="109"/>
        <w:gridCol w:w="109"/>
        <w:gridCol w:w="109"/>
        <w:gridCol w:w="156"/>
      </w:tblGrid>
      <w:tr>
        <w:trPr/>
        <w:tc>
          <w:tcPr>
            <w:tcW w:w="144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 2023 vs. Q1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Investment advisory fees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Administrative, distribution, and servicing fees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fees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and servicing fees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Capital allocation-based income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42" w:type="dxa"/>
            <w:gridSpan w:val="12"/>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Average assets under management</w:t>
            </w:r>
            <w:r>
              <w:rPr>
                <w:color w:val="000000"/>
              </w:rPr>
              <w:t xml:space="preserve"> </w:t>
            </w:r>
            <w:r>
              <w:rPr>
                <w:rFonts w:ascii="Arial;sans-serif" w:hAnsi="Arial;sans-serif"/>
                <w:b w:val="false"/>
                <w:color w:val="000000"/>
                <w:sz w:val="16"/>
              </w:rPr>
              <w:t>(in billions)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Average assets under management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i/>
          <w:color w:val="000000"/>
          <w:sz w:val="20"/>
          <w:u w:val="single"/>
        </w:rPr>
      </w:pPr>
      <w:r>
        <w:rPr>
          <w:rFonts w:ascii="Arial;sans-serif" w:hAnsi="Arial;sans-serif"/>
          <w:b w:val="false"/>
          <w:i/>
          <w:color w:val="000000"/>
          <w:sz w:val="20"/>
          <w:u w:val="single"/>
        </w:rPr>
        <w:t>Investment advisory fees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Investment advisory revenues earned in the first quarter of 2023 decreased over the comparable 2022 quarter as average assets under management decreased $237.0 billion or 15.2%, to $1,322.9 billion. In the first quarter of 2022, we voluntarily waived $9.2 million, or less than 1%, of our investment advisory fees. We did not waive money market investment advisory fees in the first quarter of 2023.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total average annualized effective fee rate earned during the first quarter of 2023 was 42.7 basis points, compared with 43.2 basis points earned during the first quarter of 2022 and 42.3 basis points earned during the fourth quarter of 2022. In comparison to the first quarter of 2022, the annualized effective fee rate was impacted by a mix shift to lower fee asset classes and vehicles as a result of overall market declines and net outflows over the last twelve months.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Administrative, distribution, and servicing fees</w:t>
      </w:r>
      <w:r>
        <w:rPr>
          <w:color w:val="000000"/>
        </w:rPr>
        <w:t xml:space="preserve"> </w:t>
      </w:r>
      <w:r>
        <w:rPr>
          <w:rFonts w:ascii="Arial;sans-serif" w:hAnsi="Arial;sans-serif"/>
          <w:b w:val="false"/>
          <w:color w:val="000000"/>
          <w:sz w:val="20"/>
        </w:rPr>
        <w:t xml:space="preserve">in the first quarter of 2023 were $128.9 million, a decrease of $27.6 million, or 17.6%, from the comparable 2022 quarter. The decrease was primarily due to lower transfer agent servicing activities provided to the T. Rowe Price mutual funds and lower 12b-1 revenue earned primarily on the Advisor and R share classes of the U.S. mutual funds as a result of lower assets under management in these share classes. The decrease in 12b-1 revenue is offset entirely by a decrease in the costs paid to third-party intermediaries that source these assets and are reported in distribution and servicing expense.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Capital allocation-based income</w:t>
      </w:r>
      <w:r>
        <w:rPr>
          <w:color w:val="000000"/>
        </w:rPr>
        <w:t xml:space="preserve"> </w:t>
      </w:r>
      <w:r>
        <w:rPr>
          <w:rFonts w:ascii="Arial;sans-serif" w:hAnsi="Arial;sans-serif"/>
          <w:b w:val="false"/>
          <w:color w:val="000000"/>
          <w:sz w:val="20"/>
        </w:rPr>
        <w:t xml:space="preserve">in the first quarter of 2023 increased net revenues by $16.9 million. The first quarter of 2023 amount represents an increase of $29.2 million in accrued carried interest from investments in affiliated investment funds, partially offset by $12.3 million in non-cash acquisition-related amortization. Comparatively, capital allocation-based income in the first quarter of 2022 increased net revenues by $44.4 million, which consists of an increase of $57.6 million in accrued carried interest, partially offset by $13.2 million in non-cash amortization. A portion of the capital allocation-based income is passed through to certain associates as compensation and the related expense is recognized in compensation and related costs with the unpaid amount reported as non-controlling interest on the consolidated balance sheet.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Our net revenues reflect the elimination of advisory and administrative fee revenue earned from our consolidated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sponsored investment products. The corresponding expenses recognized by these products, and consolidated in our financial statements, were also eliminated from operating expenses. For the first quarter, we eliminated net revenue of $.6 million in 2023 and $.9 million in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5" name="Frame2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25</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Operating expenses</w:t>
      </w:r>
    </w:p>
    <w:p>
      <w:pPr>
        <w:pStyle w:val="TextBody"/>
        <w:spacing w:before="0" w:after="0"/>
        <w:rPr/>
      </w:pPr>
      <w:r>
        <w:rPr/>
      </w:r>
    </w:p>
    <w:tbl>
      <w:tblPr>
        <w:tblW w:w="9979" w:type="dxa"/>
        <w:jc w:val="left"/>
        <w:tblInd w:w="0" w:type="dxa"/>
        <w:tblCellMar>
          <w:top w:w="28" w:type="dxa"/>
          <w:left w:w="28" w:type="dxa"/>
          <w:bottom w:w="28" w:type="dxa"/>
          <w:right w:w="28" w:type="dxa"/>
        </w:tblCellMar>
      </w:tblPr>
      <w:tblGrid>
        <w:gridCol w:w="1454"/>
        <w:gridCol w:w="1274"/>
        <w:gridCol w:w="1291"/>
        <w:gridCol w:w="211"/>
        <w:gridCol w:w="766"/>
        <w:gridCol w:w="109"/>
        <w:gridCol w:w="109"/>
        <w:gridCol w:w="109"/>
        <w:gridCol w:w="109"/>
        <w:gridCol w:w="211"/>
        <w:gridCol w:w="616"/>
        <w:gridCol w:w="109"/>
        <w:gridCol w:w="109"/>
        <w:gridCol w:w="109"/>
        <w:gridCol w:w="109"/>
        <w:gridCol w:w="215"/>
        <w:gridCol w:w="521"/>
        <w:gridCol w:w="111"/>
        <w:gridCol w:w="111"/>
        <w:gridCol w:w="111"/>
        <w:gridCol w:w="111"/>
        <w:gridCol w:w="293"/>
        <w:gridCol w:w="293"/>
        <w:gridCol w:w="492"/>
        <w:gridCol w:w="109"/>
        <w:gridCol w:w="109"/>
        <w:gridCol w:w="109"/>
        <w:gridCol w:w="109"/>
        <w:gridCol w:w="109"/>
        <w:gridCol w:w="109"/>
        <w:gridCol w:w="109"/>
        <w:gridCol w:w="109"/>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 2023 vs. Q1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benefits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retention agreements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allocation-based income compensation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Supplemental savings plan</w:t>
            </w:r>
            <w:r>
              <w:rPr>
                <w:rFonts w:ascii="Arial;sans-serif" w:hAnsi="Arial;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compensation and related costs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and servicing</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promotion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and recordkeeping related costs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occupancy, and facility costs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administrative, and 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contingent consideration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amortization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color w:val="000000"/>
          <w:sz w:val="13"/>
        </w:rPr>
        <w:t>(1)</w:t>
      </w:r>
      <w:r>
        <w:rPr>
          <w:color w:val="000000"/>
        </w:rPr>
        <w:t xml:space="preserve"> </w:t>
      </w:r>
      <w:r>
        <w:rPr>
          <w:rFonts w:ascii="Arial;sans-serif" w:hAnsi="Arial;sans-serif"/>
          <w:b w:val="false"/>
          <w:i/>
          <w:color w:val="000000"/>
          <w:sz w:val="16"/>
        </w:rPr>
        <w:t>The impact of the market on the supplemental savings plan liability drives the expense recognized each period.</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Compensation, benefits, and related costs</w:t>
      </w:r>
      <w:r>
        <w:rPr>
          <w:color w:val="000000"/>
        </w:rPr>
        <w:t xml:space="preserve"> </w:t>
      </w:r>
      <w:r>
        <w:rPr>
          <w:rFonts w:ascii="Arial;sans-serif" w:hAnsi="Arial;sans-serif"/>
          <w:b w:val="false"/>
          <w:color w:val="000000"/>
          <w:sz w:val="20"/>
        </w:rPr>
        <w:t xml:space="preserve">were $593.3 million in the first quarter of 2023, a decrease of $2.6 million, or .4%, compared to the 2022 quarter, as a lower interim bonus accrual and stock-based compensation expense were partially offset by $28.0 million in higher salaries and related benefits, primarily due to base salary increases in January 2023, and higher headcount. The firm employed 7,837 associates at March 31, 2023, a decrease of .4% from the end of 2022 and an increase of 3.5% from March 31, 2022.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Distribution and servicing costs</w:t>
      </w:r>
      <w:r>
        <w:rPr>
          <w:color w:val="000000"/>
        </w:rPr>
        <w:t xml:space="preserve"> </w:t>
      </w:r>
      <w:r>
        <w:rPr>
          <w:rFonts w:ascii="Arial;sans-serif" w:hAnsi="Arial;sans-serif"/>
          <w:b w:val="false"/>
          <w:color w:val="000000"/>
          <w:sz w:val="20"/>
        </w:rPr>
        <w:t xml:space="preserve">were $71.5 million for the first quarter of 2023, a decrease of $14.4 million, or 16.8%, from the $85.9 million recognized in the 2022 quarter. The decrease was primarily driven by lower average assets under management in certain share classes of the U.S. mutual funds that earn 12(b)-1 fees. Additionally, lower AUM in our international products, including our Japanese Investment Trusts (ITMs), and certain SICAV share classes, contributed to lower distribution costs.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costs in this expense category primarily include amounts paid to third-party intermediaries that source the assets of certain share classes of our U.S. mutual funds and our international products, such as our Japanese ITMs and SICAVs. These costs are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Advertising and promotion costs</w:t>
      </w:r>
      <w:r>
        <w:rPr>
          <w:color w:val="000000"/>
        </w:rPr>
        <w:t xml:space="preserve"> </w:t>
      </w:r>
      <w:r>
        <w:rPr>
          <w:rFonts w:ascii="Arial;sans-serif" w:hAnsi="Arial;sans-serif"/>
          <w:b w:val="false"/>
          <w:color w:val="000000"/>
          <w:sz w:val="20"/>
        </w:rPr>
        <w:t xml:space="preserve">were $25.8 million in the first quarter of 2023, an increase of $2.4 million, or 10.3%, compared to the $23.4 million recognized in the 2022 quarter. The increase was driven primarily by an increase in digital advertising costs. </w:t>
      </w:r>
    </w:p>
    <w:p>
      <w:pPr>
        <w:pStyle w:val="TextBody"/>
        <w:spacing w:before="0" w:after="0"/>
        <w:rPr/>
      </w:pPr>
      <w:r>
        <w:rPr/>
      </w:r>
    </w:p>
    <w:p>
      <w:pPr>
        <w:pStyle w:val="TextBody"/>
        <w:spacing w:lineRule="auto" w:line="268" w:before="0" w:after="0"/>
        <w:rPr/>
      </w:pPr>
      <w:r>
        <w:rPr>
          <w:rFonts w:ascii="Arial;sans-serif" w:hAnsi="Arial;sans-serif"/>
          <w:b w:val="false"/>
          <w:i/>
          <w:color w:val="000000"/>
          <w:sz w:val="20"/>
          <w:u w:val="single"/>
        </w:rPr>
        <w:t>Product and recordkeeping related costs</w:t>
      </w:r>
      <w:r>
        <w:rPr>
          <w:color w:val="000000"/>
        </w:rPr>
        <w:t xml:space="preserve"> </w:t>
      </w:r>
      <w:r>
        <w:rPr>
          <w:rFonts w:ascii="Arial;sans-serif" w:hAnsi="Arial;sans-serif"/>
          <w:b w:val="false"/>
          <w:color w:val="000000"/>
          <w:sz w:val="20"/>
        </w:rPr>
        <w:t xml:space="preserve">were $72.1 million in the first quarter of 2023, a decrease of $8.3 million, or 10.3%, compared to the $80.4 million in the 2022 quarter. The decrease was driven primarily due to lower recordkeeping related costs. </w:t>
      </w:r>
    </w:p>
    <w:p>
      <w:pPr>
        <w:pStyle w:val="TextBody"/>
        <w:spacing w:lineRule="auto" w:line="288" w:before="0" w:after="0"/>
        <w:rPr/>
      </w:pPr>
      <w:r>
        <w:rPr>
          <w:rFonts w:ascii="Arial;sans-serif" w:hAnsi="Arial;sans-serif"/>
          <w:b w:val="false"/>
          <w:i/>
          <w:color w:val="000000"/>
          <w:sz w:val="20"/>
          <w:u w:val="single"/>
        </w:rPr>
        <w:t>Technology, occupancy, and facility costs</w:t>
      </w:r>
      <w:r>
        <w:rPr>
          <w:color w:val="000000"/>
        </w:rPr>
        <w:t xml:space="preserve"> </w:t>
      </w:r>
      <w:r>
        <w:rPr>
          <w:rFonts w:ascii="Arial;sans-serif" w:hAnsi="Arial;sans-serif"/>
          <w:b w:val="false"/>
          <w:color w:val="000000"/>
          <w:sz w:val="20"/>
        </w:rPr>
        <w:t>were $146.6 million in the first quarter of 2023, an increase of $12.7 million, or 9.5%, compared to the $133.9 million recognized in the 2022 quarter. The increase was primarily due to higher depreciation from our ongoing investment in our technology capabilities, including hosted solution licenses, and increased office facility costs, mainly related to higher rent expense associated with a new UK facility we expect to occupy later this year.</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General, administrative, and other expenses</w:t>
      </w:r>
      <w:r>
        <w:rPr>
          <w:color w:val="000000"/>
        </w:rPr>
        <w:t xml:space="preserve"> </w:t>
      </w:r>
      <w:r>
        <w:rPr>
          <w:rFonts w:ascii="Arial;sans-serif" w:hAnsi="Arial;sans-serif"/>
          <w:b w:val="false"/>
          <w:color w:val="000000"/>
          <w:sz w:val="20"/>
        </w:rPr>
        <w:t>were $107.5 million in the first quarter of 2023, an increase of $8.7 million, or 8.8%, compared to the $98.8 million recognized in the 2022 quarter. The increase was primarily related to higher travel and information services expenses as well as certain nonrecurring costs that were incurred during the 2022 quarter. These increases were partially offset by lower external research costs.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6" name="Frame2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26</w:t>
                      </w:r>
                    </w:p>
                  </w:txbxContent>
                </v:textbox>
              </v:rect>
            </w:pict>
          </mc:Fallback>
        </mc:AlternateContent>
      </w:r>
    </w:p>
    <w:p>
      <w:pPr>
        <w:pStyle w:val="TextBody"/>
        <w:spacing w:before="0" w:after="0"/>
        <w:jc w:val="center"/>
        <w:rPr/>
      </w:pPr>
      <w:r>
        <w:rPr/>
      </w:r>
    </w:p>
    <w:p>
      <w:pPr>
        <w:pStyle w:val="TextBody"/>
        <w:spacing w:lineRule="auto" w:line="288" w:before="0" w:after="0"/>
        <w:rPr/>
      </w:pPr>
      <w:r>
        <w:rPr>
          <w:rFonts w:ascii="Arial;sans-serif" w:hAnsi="Arial;sans-serif"/>
          <w:b w:val="false"/>
          <w:i/>
          <w:color w:val="000000"/>
          <w:sz w:val="20"/>
          <w:u w:val="single"/>
        </w:rPr>
        <w:t>Change in fair value of contingent consideration.</w:t>
      </w:r>
      <w:r>
        <w:rPr>
          <w:color w:val="000000"/>
        </w:rPr>
        <w:t xml:space="preserve"> </w:t>
      </w:r>
      <w:r>
        <w:rPr>
          <w:rFonts w:ascii="Arial;sans-serif" w:hAnsi="Arial;sans-serif"/>
          <w:b w:val="false"/>
          <w:color w:val="000000"/>
          <w:sz w:val="20"/>
        </w:rPr>
        <w:t>Our contingent consideration consists of an earnout arrangement as part of our acquisition of OHA in December 2021 in which additional purchase price may be due to certain employees of OHA upon satisfying or exceeding certain defined revenue targets. Every reporting period, we record the potential amount due under this arrangement at fair value. During the first quarter of 2023 and 2022, we recognized reductions in the fair value of the contingent consideration liability of $49.6 million and $45.5 million, respectively, as the challenging market conditions have reduced revenue expectations used in the fair value determinations.</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u w:val="single"/>
        </w:rPr>
        <w:t>Acquisition-related amortization and impairment costs.</w:t>
      </w:r>
      <w:r>
        <w:rPr>
          <w:color w:val="000000"/>
        </w:rPr>
        <w:t xml:space="preserve"> </w:t>
      </w:r>
      <w:r>
        <w:rPr>
          <w:rFonts w:ascii="Arial;sans-serif" w:hAnsi="Arial;sans-serif"/>
          <w:b w:val="false"/>
          <w:color w:val="000000"/>
          <w:sz w:val="20"/>
        </w:rPr>
        <w:t>As part of the purchase accounting for the acquisition of OHA in December 2021, we identified and separately recognized at fair value certain intangible assets. During the first quarter of 2023 and 2022, we recognized $26.0 million and $27.1 million, respectively, in amortization related to the definite-lived intangible assets. No impairment costs were recognized during either period. However, should conditions deteriorate, impairments may be recognized in future periods.</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Non-operating income (loss)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Non-operating income for the first quarter of 2023 was $135.4 million as compared to non-operating loss of $198.5 million in the 2022 quarter. The following table details the components of non-operating income (loss) for the three months ended March 31, 2023 and 2022. </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688"/>
        <w:gridCol w:w="2343"/>
        <w:gridCol w:w="2376"/>
        <w:gridCol w:w="211"/>
        <w:gridCol w:w="646"/>
        <w:gridCol w:w="109"/>
        <w:gridCol w:w="109"/>
        <w:gridCol w:w="109"/>
        <w:gridCol w:w="109"/>
        <w:gridCol w:w="211"/>
        <w:gridCol w:w="702"/>
        <w:gridCol w:w="109"/>
        <w:gridCol w:w="109"/>
        <w:gridCol w:w="109"/>
        <w:gridCol w:w="109"/>
        <w:gridCol w:w="156"/>
      </w:tblGrid>
      <w:tr>
        <w:trPr/>
        <w:tc>
          <w:tcPr>
            <w:tcW w:w="2688"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2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from non-consolidated T. Rowe Price investment products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Cash and discretionary investments </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Market-related gains (losses) and equity in earnings (losses)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cash and discretionary investments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Seed capital investments </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income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Market-related gains (losses) and equity in earnings (losses)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recognized upon deconsolidation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used to hedge the supplemental savings plan liability</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net gains (losses) from non-consolidated T. Rowe Price investment products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 income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gains (losses) on investments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consolidated sponsored investment portfolios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losses, including foreign currency losses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Non-operating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investment portfolio recognized gains during the first quarter of 2023 primarily due to market activity that resulted in higher valuations at the end of the first quarter of 2023 and higher dividends earned on our cash equivalents. Our investment portfolio recognized losses in the first quarter of 2022 as the Russian invasion of Ukraine, inflation fears, and Federal Reserve interest rate increases weighed on the global economy and markets resulting in lower valuations at the end of the first quarter of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310"/>
                <wp:effectExtent l="0" t="0" r="0" b="0"/>
                <wp:wrapNone/>
                <wp:docPr id="27" name="Frame2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27</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table above includes the net investment income of the underlying portfolios included in the consolidated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 Rowe Price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tbl>
      <w:tblPr>
        <w:tblW w:w="10205" w:type="dxa"/>
        <w:jc w:val="center"/>
        <w:tblInd w:w="0" w:type="dxa"/>
        <w:tblCellMar>
          <w:top w:w="28" w:type="dxa"/>
          <w:left w:w="28" w:type="dxa"/>
          <w:bottom w:w="28" w:type="dxa"/>
          <w:right w:w="28" w:type="dxa"/>
        </w:tblCellMar>
      </w:tblPr>
      <w:tblGrid>
        <w:gridCol w:w="2770"/>
        <w:gridCol w:w="2355"/>
        <w:gridCol w:w="2394"/>
        <w:gridCol w:w="211"/>
        <w:gridCol w:w="541"/>
        <w:gridCol w:w="109"/>
        <w:gridCol w:w="109"/>
        <w:gridCol w:w="109"/>
        <w:gridCol w:w="109"/>
        <w:gridCol w:w="211"/>
        <w:gridCol w:w="695"/>
        <w:gridCol w:w="109"/>
        <w:gridCol w:w="109"/>
        <w:gridCol w:w="109"/>
        <w:gridCol w:w="109"/>
        <w:gridCol w:w="156"/>
      </w:tblGrid>
      <w:tr>
        <w:trPr/>
        <w:tc>
          <w:tcPr>
            <w:tcW w:w="2770" w:type="dxa"/>
            <w:tcBorders/>
            <w:shd w:fill="auto" w:val="clear"/>
            <w:vAlign w:val="center"/>
          </w:tcPr>
          <w:p>
            <w:pPr>
              <w:pStyle w:val="TableContents"/>
              <w:spacing w:before="0" w:after="283"/>
              <w:rPr>
                <w:sz w:val="4"/>
                <w:szCs w:val="4"/>
              </w:rPr>
            </w:pPr>
            <w:r>
              <w:rPr>
                <w:sz w:val="4"/>
                <w:szCs w:val="4"/>
              </w:rPr>
            </w:r>
          </w:p>
        </w:tc>
        <w:tc>
          <w:tcPr>
            <w:tcW w:w="2355" w:type="dxa"/>
            <w:tcBorders/>
            <w:shd w:fill="auto" w:val="clear"/>
            <w:vAlign w:val="center"/>
          </w:tcPr>
          <w:p>
            <w:pPr>
              <w:pStyle w:val="TableContents"/>
              <w:spacing w:before="0" w:after="283"/>
              <w:rPr>
                <w:sz w:val="4"/>
                <w:szCs w:val="4"/>
              </w:rPr>
            </w:pPr>
            <w:r>
              <w:rPr>
                <w:sz w:val="4"/>
                <w:szCs w:val="4"/>
              </w:rPr>
            </w:r>
          </w:p>
        </w:tc>
        <w:tc>
          <w:tcPr>
            <w:tcW w:w="23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reflected in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 (loss) reflected in non-operating income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income before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our interest in the consolidated T. Rowe Price investment products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redeemable non-controlling interests (unrelated third-party investors)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Provision for income taxes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reconciles the statutory federal income tax rate to our effective tax rate on a U.S. GAAP basis for both the three months ended March 31, 2023 and 2022:</w:t>
      </w:r>
    </w:p>
    <w:p>
      <w:pPr>
        <w:pStyle w:val="TextBody"/>
        <w:spacing w:before="0" w:after="0"/>
        <w:rPr/>
      </w:pPr>
      <w:r>
        <w:rPr/>
      </w:r>
    </w:p>
    <w:tbl>
      <w:tblPr>
        <w:tblW w:w="9320" w:type="dxa"/>
        <w:jc w:val="left"/>
        <w:tblInd w:w="0" w:type="dxa"/>
        <w:tblCellMar>
          <w:top w:w="28" w:type="dxa"/>
          <w:left w:w="28" w:type="dxa"/>
          <w:bottom w:w="28" w:type="dxa"/>
          <w:right w:w="28" w:type="dxa"/>
        </w:tblCellMar>
      </w:tblPr>
      <w:tblGrid>
        <w:gridCol w:w="2316"/>
        <w:gridCol w:w="2030"/>
        <w:gridCol w:w="2044"/>
        <w:gridCol w:w="270"/>
        <w:gridCol w:w="271"/>
        <w:gridCol w:w="469"/>
        <w:gridCol w:w="143"/>
        <w:gridCol w:w="143"/>
        <w:gridCol w:w="143"/>
        <w:gridCol w:w="270"/>
        <w:gridCol w:w="271"/>
        <w:gridCol w:w="469"/>
        <w:gridCol w:w="109"/>
        <w:gridCol w:w="109"/>
        <w:gridCol w:w="109"/>
        <w:gridCol w:w="154"/>
      </w:tblGrid>
      <w:tr>
        <w:trPr/>
        <w:tc>
          <w:tcPr>
            <w:tcW w:w="2316"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U.S. federal income tax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State income taxes for current year, net of federal income tax benefits</w:t>
            </w:r>
            <w:r>
              <w:rPr>
                <w:rFonts w:ascii="Arial;sans-serif" w:hAnsi="Arial;sans-serif"/>
                <w:b w:val="false"/>
                <w:color w:val="000000"/>
                <w:sz w:val="13"/>
              </w:rPr>
              <w:t>(1)</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losses attributable to redeemable non-controlling interests</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excess tax benefits from stock-based compensation plans activity</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items, including valuation allowances</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i/>
          <w:color w:val="000000"/>
          <w:sz w:val="10"/>
        </w:rPr>
        <w:t xml:space="preserve">(1) </w:t>
      </w:r>
      <w:r>
        <w:rPr>
          <w:rFonts w:ascii="Arial;sans-serif" w:hAnsi="Arial;sans-serif"/>
          <w:b w:val="false"/>
          <w:i/>
          <w:color w:val="000000"/>
          <w:sz w:val="16"/>
        </w:rPr>
        <w:t>State income tax benefits are reflected in the total benefits for net income attributable to redeemable non-controlling interests and stock-based compensation plans activity.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Our U.S. GAAP effective tax rate for the first quarter of 2023 was 28.7%, compared with 24.2% in the 2022 quarter. The effective tax rate for the first quarter of 2023 was unfavorably impacted by increases in valuation allowances recognized against foreign-based deferred tax assets, primarily net operating losses, as it was determined that, as of the first quarter of 2023, it was not more-likely-than not to be realized. This unfavorable impact was partially offset by a lower state effective tax rate as a result of favorable state tax liability settlements and net gains attributable to redeemable non-controlling interests held in our consolidated investment products.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non-GAAP tax rate primarily adjusts for the impact of the consolidated investment products, including the net income attributable to the redeemable non-controlling interests. Our non-GAAP effective tax rate was 30.3% in the first quarter of 2023 compared with 24.2% in first quarter of 2022. The increase in the non-GAAP effective tax rates for the first quarter of 2023, like our GAAP effective tax rate, was also unfavorably impacted by the increases in the valuation allowances. This unfavorable impact was partially offset by a lower state effective tax rate as a result of favorable state tax liability settlements.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Our effective tax rate will continue to experience volatility in future periods as the tax benefits recognized from stock-based compensation are impacted by market fluctuations in our stock price, the timing of option exercises,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310"/>
                <wp:effectExtent l="0" t="0" r="0" b="0"/>
                <wp:wrapNone/>
                <wp:docPr id="28" name="Frame2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28</w:t>
                      </w:r>
                    </w:p>
                  </w:txbxContent>
                </v:textbox>
              </v:rect>
            </w:pict>
          </mc:Fallback>
        </mc:AlternateContent>
      </w:r>
    </w:p>
    <w:p>
      <w:pPr>
        <w:pStyle w:val="TextBody"/>
        <w:spacing w:before="0" w:after="0"/>
        <w:jc w:val="center"/>
        <w:rPr/>
      </w:pPr>
      <w:r>
        <w:rPr/>
      </w:r>
    </w:p>
    <w:p>
      <w:pPr>
        <w:pStyle w:val="TextBody"/>
        <w:spacing w:lineRule="auto" w:line="288" w:before="0" w:after="0"/>
        <w:rPr/>
      </w:pPr>
      <w:r>
        <w:rPr>
          <w:rFonts w:ascii="Arial;sans-serif" w:hAnsi="Arial;sans-serif"/>
          <w:b w:val="false"/>
          <w:color w:val="000000"/>
          <w:sz w:val="20"/>
        </w:rPr>
        <w:t>We currently estimate that our effective tax rate for the full year 2023, on a U.S. GAAP basis, will be in the range of 26% to 30%. On a non-GAAP basis, the range is 26.5% to 29.5%</w:t>
      </w:r>
      <w:r>
        <w:rPr>
          <w:rFonts w:ascii="Arial;sans-serif" w:hAnsi="Arial;sans-serif"/>
          <w:b w:val="false"/>
          <w:color w:val="000000"/>
          <w:sz w:val="19"/>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NON-GAAP INFORMATION AND RECONCILIATION.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schedules reconcile certain U.S. GAAP financial measures for the three months ended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March 31, 2023 and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156"/>
        <w:gridCol w:w="626"/>
        <w:gridCol w:w="395"/>
        <w:gridCol w:w="204"/>
        <w:gridCol w:w="720"/>
        <w:gridCol w:w="113"/>
        <w:gridCol w:w="109"/>
        <w:gridCol w:w="109"/>
        <w:gridCol w:w="109"/>
        <w:gridCol w:w="211"/>
        <w:gridCol w:w="599"/>
        <w:gridCol w:w="118"/>
        <w:gridCol w:w="109"/>
        <w:gridCol w:w="109"/>
        <w:gridCol w:w="109"/>
        <w:gridCol w:w="302"/>
        <w:gridCol w:w="858"/>
        <w:gridCol w:w="168"/>
        <w:gridCol w:w="109"/>
        <w:gridCol w:w="109"/>
        <w:gridCol w:w="109"/>
        <w:gridCol w:w="226"/>
        <w:gridCol w:w="643"/>
        <w:gridCol w:w="126"/>
        <w:gridCol w:w="109"/>
        <w:gridCol w:w="109"/>
        <w:gridCol w:w="109"/>
        <w:gridCol w:w="263"/>
        <w:gridCol w:w="749"/>
        <w:gridCol w:w="147"/>
        <w:gridCol w:w="109"/>
        <w:gridCol w:w="109"/>
        <w:gridCol w:w="109"/>
        <w:gridCol w:w="224"/>
        <w:gridCol w:w="533"/>
        <w:gridCol w:w="189"/>
      </w:tblGrid>
      <w:tr>
        <w:trPr/>
        <w:tc>
          <w:tcPr>
            <w:tcW w:w="115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8"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3/31/2023</w:t>
            </w:r>
          </w:p>
        </w:tc>
      </w:tr>
      <w:tr>
        <w:trPr/>
        <w:tc>
          <w:tcPr>
            <w:tcW w:w="2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non-GAAP adjustments:</w:t>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 xml:space="preserve">(1) </w:t>
            </w:r>
            <w:r>
              <w:rPr>
                <w:rFonts w:ascii="Arial;sans-serif" w:hAnsi="Arial;sans-serif"/>
                <w:b w:val="false"/>
                <w:color w:val="000000"/>
                <w:sz w:val="18"/>
              </w:rPr>
              <w:t>(Compensation and related costs)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Contingent consideration</w:t>
            </w:r>
            <w:r>
              <w:rPr>
                <w:rFonts w:ascii="Arial;sans-serif" w:hAnsi="Arial;sans-serif"/>
                <w:b w:val="false"/>
                <w:color w:val="000000"/>
                <w:sz w:val="12"/>
              </w:rPr>
              <w:t>(1)</w:t>
            </w:r>
            <w:r>
              <w:rPr>
                <w:color w:val="000000"/>
              </w:rPr>
              <w:t xml:space="preserve"> </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r>
              <w:rPr>
                <w:color w:val="000000"/>
              </w:rPr>
              <w:t xml:space="preserve"> </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 non-GAAP adjustments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Supplemental savings plan liability</w:t>
            </w:r>
            <w:r>
              <w:rPr>
                <w:rFonts w:ascii="Arial;sans-serif" w:hAnsi="Arial;sans-serif"/>
                <w:b w:val="false"/>
                <w:color w:val="000000"/>
                <w:sz w:val="12"/>
              </w:rPr>
              <w:t xml:space="preserve">(3) </w:t>
            </w:r>
            <w:r>
              <w:rPr>
                <w:rFonts w:ascii="Arial;sans-serif" w:hAnsi="Arial;sans-serif"/>
                <w:b w:val="false"/>
                <w:color w:val="000000"/>
                <w:sz w:val="18"/>
              </w:rPr>
              <w:t>(Compensation and related costs)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Consolidated T. Rowe Price investment products</w:t>
            </w:r>
            <w:r>
              <w:rPr>
                <w:rFonts w:ascii="Arial;sans-serif" w:hAnsi="Arial;sans-serif"/>
                <w:b w:val="false"/>
                <w:color w:val="000000"/>
                <w:sz w:val="12"/>
              </w:rPr>
              <w:t>(4)</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Adjusted Non-GAAP Basis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310"/>
                <wp:effectExtent l="0" t="0" r="0" b="0"/>
                <wp:wrapNone/>
                <wp:docPr id="29" name="Frame2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29</w:t>
                      </w:r>
                    </w:p>
                  </w:txbxContent>
                </v:textbox>
              </v:rect>
            </w:pict>
          </mc:Fallback>
        </mc:AlternateConten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156"/>
        <w:gridCol w:w="626"/>
        <w:gridCol w:w="395"/>
        <w:gridCol w:w="204"/>
        <w:gridCol w:w="720"/>
        <w:gridCol w:w="113"/>
        <w:gridCol w:w="109"/>
        <w:gridCol w:w="109"/>
        <w:gridCol w:w="109"/>
        <w:gridCol w:w="211"/>
        <w:gridCol w:w="599"/>
        <w:gridCol w:w="118"/>
        <w:gridCol w:w="109"/>
        <w:gridCol w:w="109"/>
        <w:gridCol w:w="109"/>
        <w:gridCol w:w="297"/>
        <w:gridCol w:w="866"/>
        <w:gridCol w:w="166"/>
        <w:gridCol w:w="109"/>
        <w:gridCol w:w="109"/>
        <w:gridCol w:w="109"/>
        <w:gridCol w:w="226"/>
        <w:gridCol w:w="643"/>
        <w:gridCol w:w="126"/>
        <w:gridCol w:w="109"/>
        <w:gridCol w:w="109"/>
        <w:gridCol w:w="109"/>
        <w:gridCol w:w="263"/>
        <w:gridCol w:w="749"/>
        <w:gridCol w:w="147"/>
        <w:gridCol w:w="109"/>
        <w:gridCol w:w="109"/>
        <w:gridCol w:w="109"/>
        <w:gridCol w:w="224"/>
        <w:gridCol w:w="533"/>
        <w:gridCol w:w="188"/>
      </w:tblGrid>
      <w:tr>
        <w:trPr/>
        <w:tc>
          <w:tcPr>
            <w:tcW w:w="115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8"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3/31/2022</w:t>
            </w:r>
          </w:p>
        </w:tc>
      </w:tr>
      <w:tr>
        <w:trPr/>
        <w:tc>
          <w:tcPr>
            <w:tcW w:w="2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non-GAAP adjustments:</w:t>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 xml:space="preserve">(1) </w:t>
            </w:r>
            <w:r>
              <w:rPr>
                <w:rFonts w:ascii="Arial;sans-serif" w:hAnsi="Arial;sans-serif"/>
                <w:b w:val="false"/>
                <w:color w:val="000000"/>
                <w:sz w:val="18"/>
              </w:rPr>
              <w:t>(Compensation and related costs)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Contingent consideration</w:t>
            </w:r>
            <w:r>
              <w:rPr>
                <w:rFonts w:ascii="Arial;sans-serif" w:hAnsi="Arial;sans-serif"/>
                <w:b w:val="false"/>
                <w:color w:val="000000"/>
                <w:sz w:val="12"/>
              </w:rPr>
              <w:t>(1)</w:t>
            </w:r>
            <w:r>
              <w:rPr>
                <w:color w:val="000000"/>
              </w:rPr>
              <w:t xml:space="preserve"> </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r>
              <w:rPr>
                <w:color w:val="000000"/>
              </w:rPr>
              <w:t xml:space="preserve"> </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Transaction costs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(General, admin and other)</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 non-GAAP adjustments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Supplemental savings plan liability</w:t>
            </w:r>
            <w:r>
              <w:rPr>
                <w:rFonts w:ascii="Arial;sans-serif" w:hAnsi="Arial;sans-serif"/>
                <w:b w:val="false"/>
                <w:color w:val="000000"/>
                <w:sz w:val="12"/>
              </w:rPr>
              <w:t xml:space="preserve">(3) </w:t>
            </w:r>
            <w:r>
              <w:rPr>
                <w:rFonts w:ascii="Arial;sans-serif" w:hAnsi="Arial;sans-serif"/>
                <w:b w:val="false"/>
                <w:color w:val="000000"/>
                <w:sz w:val="18"/>
              </w:rPr>
              <w:t>(Compensation and related costs)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Consolidated T. Rowe Price investment products</w:t>
            </w:r>
            <w:r>
              <w:rPr>
                <w:rFonts w:ascii="Arial;sans-serif" w:hAnsi="Arial;sans-serif"/>
                <w:b w:val="false"/>
                <w:color w:val="000000"/>
                <w:sz w:val="12"/>
              </w:rPr>
              <w:t>(4)</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9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Adjusted Non-GAAP Basis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(1)</w:t>
      </w:r>
      <w:r>
        <w:rPr>
          <w:color w:val="000000"/>
        </w:rPr>
        <w:t>    </w:t>
      </w:r>
      <w:r>
        <w:rPr>
          <w:rFonts w:ascii="Arial;sans-serif" w:hAnsi="Arial;sans-serif"/>
          <w:b w:val="false"/>
          <w:color w:val="000000"/>
          <w:sz w:val="18"/>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our core operating results and to increase comparability period to period.</w:t>
      </w:r>
    </w:p>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(2)</w:t>
      </w:r>
      <w:r>
        <w:rPr>
          <w:color w:val="000000"/>
        </w:rPr>
        <w:t>    </w:t>
      </w:r>
      <w:r>
        <w:rPr>
          <w:rFonts w:ascii="Arial;sans-serif" w:hAnsi="Arial;sans-serif"/>
          <w:b w:val="false"/>
          <w:color w:val="000000"/>
          <w:sz w:val="18"/>
        </w:rPr>
        <w:t>This non-GAAP adjustment removes the transactions costs incurred related to the acquisition of OHA. Management believes adjusting for these charges helps the reader's ability to understand our core operating results and to increase comparability period to period.</w:t>
      </w:r>
    </w:p>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(3)</w:t>
      </w:r>
      <w:r>
        <w:rPr>
          <w:color w:val="000000"/>
        </w:rPr>
        <w:t>    </w:t>
      </w:r>
      <w:r>
        <w:rPr>
          <w:rFonts w:ascii="Arial;sans-serif" w:hAnsi="Arial;sans-serif"/>
          <w:b w:val="false"/>
          <w:color w:val="000000"/>
          <w:sz w:val="18"/>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(4)</w:t>
      </w:r>
      <w:r>
        <w:rPr>
          <w:color w:val="000000"/>
        </w:rPr>
        <w:t>    </w:t>
      </w:r>
      <w:r>
        <w:rPr>
          <w:rFonts w:ascii="Arial;sans-serif" w:hAnsi="Arial;sans-serif"/>
          <w:b w:val="false"/>
          <w:color w:val="000000"/>
          <w:sz w:val="18"/>
        </w:rPr>
        <w:t>These non-GAAP adjustments remove the impact that the consolidated T. Rowe Price investment products have on our U.S. GAAP consolidated statements of income. Specifically, we add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(5)</w:t>
      </w:r>
      <w:r>
        <w:rPr>
          <w:color w:val="000000"/>
        </w:rPr>
        <w:t>    </w:t>
      </w:r>
      <w:r>
        <w:rPr>
          <w:rFonts w:ascii="Arial;sans-serif" w:hAnsi="Arial;sans-serif"/>
          <w:b w:val="false"/>
          <w:color w:val="000000"/>
          <w:sz w:val="18"/>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310"/>
                <wp:effectExtent l="0" t="0" r="0" b="0"/>
                <wp:wrapNone/>
                <wp:docPr id="30" name="Frame3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30</w:t>
                      </w:r>
                    </w:p>
                  </w:txbxContent>
                </v:textbox>
              </v:rect>
            </w:pict>
          </mc:Fallback>
        </mc:AlternateContent>
      </w:r>
    </w:p>
    <w:p>
      <w:pPr>
        <w:pStyle w:val="TextBody"/>
        <w:spacing w:before="0" w:after="0"/>
        <w:jc w:val="center"/>
        <w:rPr/>
      </w:pPr>
      <w:r>
        <w:rPr/>
      </w:r>
    </w:p>
    <w:p>
      <w:pPr>
        <w:pStyle w:val="TextBody"/>
        <w:spacing w:lineRule="auto" w:line="288" w:before="0" w:after="0"/>
        <w:ind w:left="0" w:right="0" w:hanging="360"/>
        <w:rPr/>
      </w:pPr>
      <w:r>
        <w:rPr>
          <w:rFonts w:ascii="Arial;sans-serif" w:hAnsi="Arial;sans-serif"/>
          <w:b w:val="false"/>
          <w:color w:val="000000"/>
          <w:sz w:val="12"/>
        </w:rPr>
        <w:t>(6)</w:t>
      </w:r>
      <w:r>
        <w:rPr>
          <w:color w:val="000000"/>
        </w:rPr>
        <w:t>    </w:t>
      </w:r>
      <w:r>
        <w:rPr>
          <w:rFonts w:ascii="Arial;sans-serif" w:hAnsi="Arial;sans-serif"/>
          <w:b w:val="false"/>
          <w:color w:val="000000"/>
          <w:sz w:val="18"/>
        </w:rPr>
        <w:t>The income tax impacts were calculated in order to achieve an overall non-GAAP effective tax rate for three months ended March 31, 2023 and 2022 was 30.3% and 24.2%, respectively. We estimate that our effective tax rate for the full-year 2023 on a non-GAAP basis will be in the range of 26.5% to 29.5%.</w:t>
      </w:r>
    </w:p>
    <w:p>
      <w:pPr>
        <w:pStyle w:val="TextBody"/>
        <w:spacing w:before="0" w:after="0"/>
        <w:ind w:left="0" w:right="0" w:hanging="360"/>
        <w:rPr/>
      </w:pPr>
      <w:r>
        <w:rPr/>
      </w:r>
    </w:p>
    <w:p>
      <w:pPr>
        <w:pStyle w:val="TextBody"/>
        <w:spacing w:lineRule="auto" w:line="288" w:before="0" w:after="0"/>
        <w:ind w:left="0" w:right="0" w:hanging="360"/>
        <w:rPr/>
      </w:pPr>
      <w:r>
        <w:rPr>
          <w:rFonts w:ascii="Arial;sans-serif" w:hAnsi="Arial;sans-serif"/>
          <w:b w:val="false"/>
          <w:color w:val="000000"/>
          <w:sz w:val="12"/>
        </w:rPr>
        <w:t>(7)</w:t>
      </w:r>
      <w:r>
        <w:rPr>
          <w:color w:val="000000"/>
        </w:rPr>
        <w:t>    </w:t>
      </w:r>
      <w:r>
        <w:rPr>
          <w:rFonts w:ascii="Arial;sans-serif" w:hAnsi="Arial;sans-serif"/>
          <w:b w:val="false"/>
          <w:color w:val="000000"/>
          <w:sz w:val="18"/>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pStyle w:val="TextBody"/>
        <w:spacing w:before="0" w:after="0"/>
        <w:ind w:left="0" w:right="0" w:hanging="360"/>
        <w:rPr/>
      </w:pPr>
      <w:r>
        <w:rPr/>
      </w:r>
    </w:p>
    <w:tbl>
      <w:tblPr>
        <w:tblW w:w="9905" w:type="dxa"/>
        <w:jc w:val="center"/>
        <w:tblInd w:w="0" w:type="dxa"/>
        <w:tblCellMar>
          <w:top w:w="28" w:type="dxa"/>
          <w:left w:w="28" w:type="dxa"/>
          <w:bottom w:w="28" w:type="dxa"/>
          <w:right w:w="28" w:type="dxa"/>
        </w:tblCellMar>
      </w:tblPr>
      <w:tblGrid>
        <w:gridCol w:w="2655"/>
        <w:gridCol w:w="2336"/>
        <w:gridCol w:w="2343"/>
        <w:gridCol w:w="109"/>
        <w:gridCol w:w="109"/>
        <w:gridCol w:w="109"/>
        <w:gridCol w:w="211"/>
        <w:gridCol w:w="616"/>
        <w:gridCol w:w="109"/>
        <w:gridCol w:w="211"/>
        <w:gridCol w:w="616"/>
        <w:gridCol w:w="109"/>
        <w:gridCol w:w="109"/>
        <w:gridCol w:w="109"/>
        <w:gridCol w:w="154"/>
      </w:tblGrid>
      <w:tr>
        <w:trPr/>
        <w:tc>
          <w:tcPr>
            <w:tcW w:w="2655"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attributable to T. Rowe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adjusted net income allocated to outstanding restricted stock and stock unit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allocated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CAPITAL RESOURCES AND LIQUIDITY.</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Sources of Liquidity</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 xml:space="preserve">We have ample liquidity, including cash and investments in T. Rowe Price products, as follows: </w:t>
      </w:r>
    </w:p>
    <w:tbl>
      <w:tblPr>
        <w:tblW w:w="8465" w:type="dxa"/>
        <w:jc w:val="center"/>
        <w:tblInd w:w="0" w:type="dxa"/>
        <w:tblCellMar>
          <w:top w:w="28" w:type="dxa"/>
          <w:left w:w="28" w:type="dxa"/>
          <w:bottom w:w="28" w:type="dxa"/>
          <w:right w:w="28" w:type="dxa"/>
        </w:tblCellMar>
      </w:tblPr>
      <w:tblGrid>
        <w:gridCol w:w="1992"/>
        <w:gridCol w:w="1746"/>
        <w:gridCol w:w="1766"/>
        <w:gridCol w:w="109"/>
        <w:gridCol w:w="109"/>
        <w:gridCol w:w="109"/>
        <w:gridCol w:w="211"/>
        <w:gridCol w:w="811"/>
        <w:gridCol w:w="109"/>
        <w:gridCol w:w="109"/>
        <w:gridCol w:w="109"/>
        <w:gridCol w:w="109"/>
        <w:gridCol w:w="211"/>
        <w:gridCol w:w="811"/>
        <w:gridCol w:w="154"/>
      </w:tblGrid>
      <w:tr>
        <w:trPr/>
        <w:tc>
          <w:tcPr>
            <w:tcW w:w="1992"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12/31/2022</w:t>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Discretionary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discretionary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seed capital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Investments used to hedge the supplemental savings plan liability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investments in T. Rowe Price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discretionary investment portfolio is comprised of short duration bond funds, which typically yield higher than money market rates, and asset allocation products. Cash and discretionary investments experienced market gains of $30.8 million in the three months ended March 31, 2023 compared to market losses of $23.8 million in the three months ended March 31, 2022. Our subsidiaries outside the United States held cash and discretionary investments of $792.4 million at March 31, 2023 and $809.1 million at December 31, 2022. Given the availability of our financial resources and cash expected to be generated through future operations, we do not maintain an available external source of additional liquidity.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310"/>
                <wp:effectExtent l="0" t="0" r="0" b="0"/>
                <wp:wrapNone/>
                <wp:docPr id="31" name="Frame3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March 31, 2023.</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142"/>
        <w:gridCol w:w="904"/>
        <w:gridCol w:w="918"/>
        <w:gridCol w:w="109"/>
        <w:gridCol w:w="109"/>
        <w:gridCol w:w="109"/>
        <w:gridCol w:w="265"/>
        <w:gridCol w:w="1020"/>
        <w:gridCol w:w="136"/>
        <w:gridCol w:w="109"/>
        <w:gridCol w:w="109"/>
        <w:gridCol w:w="109"/>
        <w:gridCol w:w="211"/>
        <w:gridCol w:w="811"/>
        <w:gridCol w:w="109"/>
        <w:gridCol w:w="109"/>
        <w:gridCol w:w="109"/>
        <w:gridCol w:w="109"/>
        <w:gridCol w:w="409"/>
        <w:gridCol w:w="1578"/>
        <w:gridCol w:w="214"/>
        <w:gridCol w:w="109"/>
        <w:gridCol w:w="109"/>
        <w:gridCol w:w="109"/>
        <w:gridCol w:w="211"/>
        <w:gridCol w:w="811"/>
        <w:gridCol w:w="158"/>
      </w:tblGrid>
      <w:tr>
        <w:trPr/>
        <w:tc>
          <w:tcPr>
            <w:tcW w:w="114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Net assets of consolidated T. Rowe Price investment products</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discretionary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Seed capital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used to hedge the supplemental savings plan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investments in T. Rowe Price products attributable to T. Rowe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Investments in affiliated private investment funds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CLOs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UTI and other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investments attributable to T. Rowe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 on unaudited condensed consolidated balance sheet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i/>
          <w:color w:val="000000"/>
          <w:sz w:val="10"/>
        </w:rPr>
        <w:t xml:space="preserve">(1) </w:t>
      </w:r>
      <w:r>
        <w:rPr>
          <w:rFonts w:ascii="Arial;sans-serif" w:hAnsi="Arial;sans-serif"/>
          <w:b w:val="false"/>
          <w:i/>
          <w:color w:val="000000"/>
          <w:sz w:val="16"/>
        </w:rPr>
        <w:t xml:space="preserve">The consolidated T. Rowe Price investment products are generally those products we provided seed capital at the time of their formation and we have a controlling interest. These products generally represent U.S. mutual funds as well as those funds regulated outside the U.S.     The $12.1 million and the $812.5 million represent the total value at March 31, 2023 of our interest in the consolidated T. Rowe Price investment products. The total net assets of the T. Rowe Price investment products at March 31, 2023 of $1,709.5 million includes assets of $1,820.9 million, less liabilities of $111.4 million as reflected in our unaudited condensed consolidated balance sheets. </w:t>
      </w:r>
    </w:p>
    <w:p>
      <w:pPr>
        <w:pStyle w:val="TextBody"/>
        <w:spacing w:lineRule="auto" w:line="288" w:before="0" w:after="0"/>
        <w:ind w:left="0" w:right="0" w:hanging="180"/>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Includes $194.4 million of non-controlling interests in consolidated entities and represents the portion of these investments, held by third parties, that we cannot sell in order to obtain cash for general operations.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unaudited condensed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pStyle w:val="TextBody"/>
        <w:spacing w:before="0" w:after="0"/>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Uses of Liquidity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We increased our quarterly recurring dividend per common share in February 2023 by 1.7% to $1.22 per common share from $1.20 per common share. Further, we expended $2.7 million in the first quarter of 2023 to repurchase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25 thousand shares of our outstanding common stock, at an average price of $109.83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310"/>
                <wp:effectExtent l="0" t="0" r="0" b="0"/>
                <wp:wrapNone/>
                <wp:docPr id="32" name="Frame3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Since the end of 2020, we have returned nearly $5.1 billion to stockholders through stock repurchases, regular quarterly dividends, and a special dividend, as follows: </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866"/>
        <w:gridCol w:w="741"/>
        <w:gridCol w:w="745"/>
        <w:gridCol w:w="281"/>
        <w:gridCol w:w="1082"/>
        <w:gridCol w:w="145"/>
        <w:gridCol w:w="109"/>
        <w:gridCol w:w="109"/>
        <w:gridCol w:w="109"/>
        <w:gridCol w:w="286"/>
        <w:gridCol w:w="875"/>
        <w:gridCol w:w="147"/>
        <w:gridCol w:w="109"/>
        <w:gridCol w:w="109"/>
        <w:gridCol w:w="109"/>
        <w:gridCol w:w="275"/>
        <w:gridCol w:w="1057"/>
        <w:gridCol w:w="141"/>
        <w:gridCol w:w="109"/>
        <w:gridCol w:w="109"/>
        <w:gridCol w:w="109"/>
        <w:gridCol w:w="460"/>
        <w:gridCol w:w="1775"/>
        <w:gridCol w:w="348"/>
      </w:tblGrid>
      <w:tr>
        <w:trPr/>
        <w:tc>
          <w:tcPr>
            <w:tcW w:w="866"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Recurring dividend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Special dividend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cash returned to stockholders</w:t>
            </w:r>
          </w:p>
        </w:tc>
      </w:tr>
      <w:tr>
        <w:trPr/>
        <w:tc>
          <w:tcPr>
            <w:tcW w:w="2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2021</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2,839.5 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1,964.1 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3/31/2023</w:t>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2,393.2 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5,087.0 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anticipate property, equipment, software and other capital expenditures, including internal labor capitalization, for the full-year 2023 to be about $370 million, of which approximately two-thirds is planned for technology initiatives. We expect to fund our anticipated capital expenditures with operating cash flows and other available resources.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310"/>
                <wp:effectExtent l="0" t="0" r="0" b="0"/>
                <wp:wrapNone/>
                <wp:docPr id="33" name="Frame3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Cash Flows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summarizes the cash flows for the three months ended March 31, 2023 and 2022, that are attributable to T. Rowe Price, our consolidated sponsored investment products, and the related eliminations required in preparing the statement.</w:t>
      </w:r>
    </w:p>
    <w:tbl>
      <w:tblPr>
        <w:tblW w:w="12558" w:type="dxa"/>
        <w:jc w:val="center"/>
        <w:tblInd w:w="0" w:type="dxa"/>
        <w:tblCellMar>
          <w:top w:w="28" w:type="dxa"/>
          <w:left w:w="28" w:type="dxa"/>
          <w:bottom w:w="28" w:type="dxa"/>
          <w:right w:w="28" w:type="dxa"/>
        </w:tblCellMar>
      </w:tblPr>
      <w:tblGrid>
        <w:gridCol w:w="1117"/>
        <w:gridCol w:w="295"/>
        <w:gridCol w:w="284"/>
        <w:gridCol w:w="211"/>
        <w:gridCol w:w="811"/>
        <w:gridCol w:w="109"/>
        <w:gridCol w:w="109"/>
        <w:gridCol w:w="109"/>
        <w:gridCol w:w="109"/>
        <w:gridCol w:w="279"/>
        <w:gridCol w:w="716"/>
        <w:gridCol w:w="146"/>
        <w:gridCol w:w="109"/>
        <w:gridCol w:w="109"/>
        <w:gridCol w:w="109"/>
        <w:gridCol w:w="211"/>
        <w:gridCol w:w="541"/>
        <w:gridCol w:w="109"/>
        <w:gridCol w:w="109"/>
        <w:gridCol w:w="109"/>
        <w:gridCol w:w="109"/>
        <w:gridCol w:w="211"/>
        <w:gridCol w:w="811"/>
        <w:gridCol w:w="109"/>
        <w:gridCol w:w="109"/>
        <w:gridCol w:w="109"/>
        <w:gridCol w:w="109"/>
        <w:gridCol w:w="211"/>
        <w:gridCol w:w="811"/>
        <w:gridCol w:w="109"/>
        <w:gridCol w:w="109"/>
        <w:gridCol w:w="109"/>
        <w:gridCol w:w="109"/>
        <w:gridCol w:w="249"/>
        <w:gridCol w:w="763"/>
        <w:gridCol w:w="129"/>
        <w:gridCol w:w="109"/>
        <w:gridCol w:w="109"/>
        <w:gridCol w:w="109"/>
        <w:gridCol w:w="211"/>
        <w:gridCol w:w="541"/>
        <w:gridCol w:w="109"/>
        <w:gridCol w:w="109"/>
        <w:gridCol w:w="109"/>
        <w:gridCol w:w="109"/>
        <w:gridCol w:w="211"/>
        <w:gridCol w:w="811"/>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2" w:type="dxa"/>
            <w:gridSpan w:val="45"/>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5"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90"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3/31/2022</w:t>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T. Rowe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consolidated sponsored investment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Elims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As reported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T. Rowe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consolidated sponsored investment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Elims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As reported </w:t>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(used in) operating activities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impairments of property, equipment and software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and impairment of acquisition-related assets and retention agreements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remeasurement of contingent liability</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recognized on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redemptions in sponsored investment products used to economically hedge supplemental savings plan liability</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trading securities held by consolidated sponsored investment products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of consolidated sponsored investment products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during period</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310"/>
                <wp:effectExtent l="0" t="0" r="0" b="0"/>
                <wp:wrapNone/>
                <wp:docPr id="34" name="Frame3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34</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20"/>
          <w:u w:val="single"/>
        </w:rPr>
      </w:pPr>
      <w:r>
        <w:rPr>
          <w:rFonts w:ascii="Arial;sans-serif" w:hAnsi="Arial;sans-serif"/>
          <w:b w:val="false"/>
          <w:i/>
          <w:color w:val="000000"/>
          <w:sz w:val="20"/>
          <w:u w:val="single"/>
        </w:rPr>
        <w:t>Operating Activities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Operating activities attributable to T. Rowe Price during the first quarter of 2023 provided cash flows of $672.7 million as compared to $1,018.2 million during the first quarter of 2022. Operating cash flows attributable to T. Rowe Price decreased $345.5 million, including a $146.4 million decrease in net income from the first quarter of 2022 and a lower add back of $222.9 million in non-cash adjustments, including unrealized investment gains/losses, depreciation, amortization of acquisition-related assets and retention arrangements, the fair value remeasurement of the contingent consideration liability, stock-based compensation expense, and other noncash items. These decreases were partially offset by an increase in timing differences primarily on the cash settlement of our assets and liabilities of $11.5 million. The non-cash adjustments were primarily driven by $123.9 million in net investment gains in the first quarter of 2023 compared with $88.7 million in net investment losses in the first quarter of 2022. Additionally, in 2023, we had net proceeds of $18.4 million from certain investment products that economically hedge our supplemental savings plan liability compared to net proceeds of $6.1 million in the same period of 2022.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 </w:t>
      </w:r>
    </w:p>
    <w:p>
      <w:pPr>
        <w:pStyle w:val="TextBody"/>
        <w:spacing w:before="0" w:after="0"/>
        <w:rPr/>
      </w:pPr>
      <w:r>
        <w:rPr/>
      </w:r>
    </w:p>
    <w:p>
      <w:pPr>
        <w:pStyle w:val="TextBody"/>
        <w:spacing w:lineRule="auto" w:line="288" w:before="0" w:after="0"/>
        <w:rPr>
          <w:rFonts w:ascii="Arial;sans-serif" w:hAnsi="Arial;sans-serif"/>
          <w:b w:val="false"/>
          <w:i/>
          <w:color w:val="000000"/>
          <w:sz w:val="20"/>
          <w:u w:val="single"/>
        </w:rPr>
      </w:pPr>
      <w:r>
        <w:rPr>
          <w:rFonts w:ascii="Arial;sans-serif" w:hAnsi="Arial;sans-serif"/>
          <w:b w:val="false"/>
          <w:i/>
          <w:color w:val="000000"/>
          <w:sz w:val="20"/>
          <w:u w:val="single"/>
        </w:rPr>
        <w:t>Investing Activities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Net cash used in investing activities that are attributable to T. Rowe Price totaled $52.0 million in the first quarter of 2023 compared with $44.4 million of cash provided by investing activities in the 2022 period. During 2023, net proceeds from the sale of certain of our discretionary investments of $6.3 million were lower compared to $58.9 million during 2022. We also increased the level of seed capital provided to the T. Rowe Price consolidated investment products by $31.7 million. We eliminate our seed capital in those T. Rowe Price investment products we consolidate in preparing our unaudited condensed consolidated statement of cash flows. In addition, we increased our property, equipment and software expenditures by $5.8 million. The remaining $3.4 million change in reported cash flows from investing activities is related to the net cash removed from our balance sheet from consolidating and deconsolidating investment products. </w:t>
      </w:r>
    </w:p>
    <w:p>
      <w:pPr>
        <w:pStyle w:val="TextBody"/>
        <w:spacing w:before="0" w:after="0"/>
        <w:rPr/>
      </w:pPr>
      <w:r>
        <w:rPr/>
      </w:r>
    </w:p>
    <w:p>
      <w:pPr>
        <w:pStyle w:val="TextBody"/>
        <w:spacing w:lineRule="auto" w:line="288" w:before="0" w:after="0"/>
        <w:rPr>
          <w:rFonts w:ascii="Arial;sans-serif" w:hAnsi="Arial;sans-serif"/>
          <w:b w:val="false"/>
          <w:i/>
          <w:color w:val="000000"/>
          <w:sz w:val="20"/>
          <w:u w:val="single"/>
        </w:rPr>
      </w:pPr>
      <w:r>
        <w:rPr>
          <w:rFonts w:ascii="Arial;sans-serif" w:hAnsi="Arial;sans-serif"/>
          <w:b w:val="false"/>
          <w:i/>
          <w:color w:val="000000"/>
          <w:sz w:val="20"/>
          <w:u w:val="single"/>
        </w:rPr>
        <w:t>Financing Activities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Net cash used in financing activities attributable to T. Rowe Price were $282.2 million in the first quarter of 2023 compared with $588.2 million in the 2022 period. During the first quarter of 2023, we repurchased 25 thousand shares ($2.7 million) compared to 2.1 million shares ($320.1 million) in the first quarter of 2022. The remaining decrease in reported cash flows used from financing activities is primarily attributable to $138.0 million in net subscriptions received from redeemable non-controlling interest holders of our consolidated investment products during the first quarter of 2023 as compared to $55.9 million in net redemptions from redeemable non-controlling interest holders of our consolidated investment products during the first quarter of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CRITICAL ACCOUNTING POLICIES.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There have been no material changes in the critical accounting policies previously identified in our 2022 Annual Report on Form 10-K.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NEWLY-ISSUED BUT NOT YET ADOPTED ACCOUNTING GUIDANCE.</w: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 xml:space="preserve">See </w:t>
      </w:r>
      <w:r>
        <w:rPr>
          <w:rFonts w:ascii="Arial;sans-serif" w:hAnsi="Arial;sans-serif"/>
          <w:b w:val="false"/>
          <w:i/>
          <w:color w:val="000000"/>
          <w:sz w:val="20"/>
        </w:rPr>
        <w:t>Note 1 - The Company and Basis of Preparation</w:t>
      </w:r>
      <w:r>
        <w:rPr>
          <w:color w:val="000000"/>
        </w:rPr>
        <w:t xml:space="preserve"> </w:t>
      </w:r>
      <w:r>
        <w:rPr>
          <w:rFonts w:ascii="Arial;sans-serif" w:hAnsi="Arial;sans-serif"/>
          <w:b w:val="false"/>
          <w:color w:val="000000"/>
          <w:sz w:val="20"/>
        </w:rPr>
        <w:t xml:space="preserve">note within </w:t>
      </w:r>
      <w:r>
        <w:rPr>
          <w:rFonts w:ascii="Arial;sans-serif" w:hAnsi="Arial;sans-serif"/>
          <w:b w:val="false"/>
          <w:i/>
          <w:color w:val="000000"/>
          <w:sz w:val="20"/>
        </w:rPr>
        <w:t xml:space="preserve">Item 1. Financial Statements </w:t>
      </w:r>
      <w:r>
        <w:rPr>
          <w:rFonts w:ascii="Arial;sans-serif" w:hAnsi="Arial;sans-serif"/>
          <w:b w:val="false"/>
          <w:color w:val="000000"/>
          <w:sz w:val="20"/>
        </w:rPr>
        <w:t>for a discussion of newly issued but not yet adopted accounting guidance.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5" name="Frame3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35</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i/>
          <w:color w:val="000000"/>
          <w:sz w:val="20"/>
          <w:u w:val="single"/>
        </w:rPr>
      </w:pPr>
      <w:r>
        <w:rPr>
          <w:rFonts w:ascii="Arial;sans-serif" w:hAnsi="Arial;sans-serif"/>
          <w:b/>
          <w:i/>
          <w:color w:val="000000"/>
          <w:sz w:val="20"/>
          <w:u w:val="single"/>
        </w:rPr>
        <w:t>FORWARD-LOOKING INFORMATION.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From time to time, information or statements provided by or on behalf of T. Rowe Price, including those within this report, may contain certain forward-looking information, including information or anticipated information relating to: our operations, revenues, net income, and earnings per share of common stock; changes in the amount and composition of our assets under management; our expense levels; our tax rate; the timing and expense related to the integration of OHA with and into our business;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36" name="Frame3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36</w:t>
                      </w:r>
                    </w:p>
                  </w:txbxContent>
                </v:textbox>
              </v:rect>
            </w:pict>
          </mc:Fallback>
        </mc:AlternateContent>
      </w:r>
    </w:p>
    <w:p>
      <w:pPr>
        <w:pStyle w:val="TextBody"/>
        <w:spacing w:before="0" w:after="0"/>
        <w:jc w:val="center"/>
        <w:rPr/>
      </w:pPr>
      <w:r>
        <w:rPr/>
      </w:r>
    </w:p>
    <w:p>
      <w:pPr>
        <w:pStyle w:val="TextBody"/>
        <w:spacing w:lineRule="auto" w:line="288" w:before="0" w:after="0"/>
        <w:ind w:left="0" w:right="0" w:hanging="360"/>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There has been no material change in our market risks from those provided in Item 7A of the Form 10-K Annual Report for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management, including our principal executive and principal financial officers, has evaluated the effectiveness of our disclosure controls and procedures as of March 31, 2023. Based on that evaluation, our principal executive and principal financial officers have concluded that our disclosure controls and procedures as of March 31, 2023,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management, including our principal executive and principal financial officers, has evaluated any change in our internal control over financial reporting that occurred during the first quarter of 2023, and has concluded that there was no change during the first quarter of 2023 that has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Legal Proceedings.</w:t>
      </w:r>
    </w:p>
    <w:p>
      <w:pPr>
        <w:pStyle w:val="TextBody"/>
        <w:spacing w:before="0" w:after="0"/>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For information about our legal proceedings, please see our Commitments and Contingencies footnote to our unaudited condensed consolidated financial statements in Part 1. of this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1A. Risk Factors.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There have been no material changes in the information provided in Item 1A of our Form 10-K Annual Report for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 Repurchase activity during the first quarter of 2023 is as follows: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0"/>
        <w:gridCol w:w="281"/>
        <w:gridCol w:w="285"/>
        <w:gridCol w:w="109"/>
        <w:gridCol w:w="109"/>
        <w:gridCol w:w="109"/>
        <w:gridCol w:w="510"/>
        <w:gridCol w:w="510"/>
        <w:gridCol w:w="511"/>
        <w:gridCol w:w="109"/>
        <w:gridCol w:w="109"/>
        <w:gridCol w:w="109"/>
        <w:gridCol w:w="245"/>
        <w:gridCol w:w="873"/>
        <w:gridCol w:w="128"/>
        <w:gridCol w:w="109"/>
        <w:gridCol w:w="109"/>
        <w:gridCol w:w="109"/>
        <w:gridCol w:w="585"/>
        <w:gridCol w:w="585"/>
        <w:gridCol w:w="586"/>
        <w:gridCol w:w="109"/>
        <w:gridCol w:w="109"/>
        <w:gridCol w:w="109"/>
        <w:gridCol w:w="1192"/>
        <w:gridCol w:w="945"/>
        <w:gridCol w:w="1341"/>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Month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Average Price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Paid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Shares Purchased as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Part of Publicly</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Announced Program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Maximum Number of Shares that May Yet Be Purchased Under the Program</w:t>
            </w:r>
          </w:p>
        </w:tc>
      </w:tr>
      <w:tr>
        <w:trPr/>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63,937 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8,750,217 </w:t>
            </w:r>
          </w:p>
        </w:tc>
        <w:tc>
          <w:tcPr>
            <w:tcW w:w="13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38,675 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8,750,217 </w:t>
            </w:r>
          </w:p>
        </w:tc>
        <w:tc>
          <w:tcPr>
            <w:tcW w:w="1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8,750,217 </w:t>
            </w:r>
          </w:p>
        </w:tc>
        <w:tc>
          <w:tcPr>
            <w:tcW w:w="1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105,078 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2023, 80,078 were related to shares surrendered in connection with employee stock option exercises and no shares were withheld to cover tax withholdings associated with the vesting of restricted stock awards.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37" name="Frame3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37</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details the changes in and status of the Board of Directors’ outstanding publicly announced board authorizations.</w:t>
      </w:r>
    </w:p>
    <w:tbl>
      <w:tblPr>
        <w:tblW w:w="10205" w:type="dxa"/>
        <w:jc w:val="left"/>
        <w:tblInd w:w="0" w:type="dxa"/>
        <w:tblCellMar>
          <w:top w:w="28" w:type="dxa"/>
          <w:left w:w="28" w:type="dxa"/>
          <w:bottom w:w="28" w:type="dxa"/>
          <w:right w:w="28" w:type="dxa"/>
        </w:tblCellMar>
      </w:tblPr>
      <w:tblGrid>
        <w:gridCol w:w="580"/>
        <w:gridCol w:w="510"/>
        <w:gridCol w:w="512"/>
        <w:gridCol w:w="109"/>
        <w:gridCol w:w="109"/>
        <w:gridCol w:w="109"/>
        <w:gridCol w:w="510"/>
        <w:gridCol w:w="511"/>
        <w:gridCol w:w="226"/>
        <w:gridCol w:w="109"/>
        <w:gridCol w:w="109"/>
        <w:gridCol w:w="109"/>
        <w:gridCol w:w="109"/>
        <w:gridCol w:w="109"/>
        <w:gridCol w:w="510"/>
        <w:gridCol w:w="510"/>
        <w:gridCol w:w="511"/>
        <w:gridCol w:w="109"/>
        <w:gridCol w:w="109"/>
        <w:gridCol w:w="109"/>
        <w:gridCol w:w="1420"/>
        <w:gridCol w:w="1325"/>
        <w:gridCol w:w="1881"/>
      </w:tblGrid>
      <w:tr>
        <w:trPr/>
        <w:tc>
          <w:tcPr>
            <w:tcW w:w="58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Authorization Dates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Maximum Number of Shares that May Yet Be Purchased at 3/31/2023</w:t>
            </w:r>
          </w:p>
        </w:tc>
      </w:tr>
      <w:tr>
        <w:trPr/>
        <w:tc>
          <w:tcPr>
            <w:tcW w:w="1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6" w:type="dxa"/>
            <w:gridSpan w:val="3"/>
            <w:tcBorders/>
            <w:shd w:fill="auto" w:val="clear"/>
            <w:vAlign w:val="center"/>
          </w:tcPr>
          <w:p>
            <w:pPr>
              <w:pStyle w:val="TableContents"/>
              <w:spacing w:before="0" w:after="283"/>
              <w:rPr>
                <w:sz w:val="4"/>
                <w:szCs w:val="4"/>
              </w:rPr>
            </w:pPr>
            <w:r>
              <w:rPr>
                <w:sz w:val="4"/>
                <w:szCs w:val="4"/>
              </w:rPr>
            </w:r>
          </w:p>
        </w:tc>
      </w:tr>
      <w:tr>
        <w:trPr/>
        <w:tc>
          <w:tcPr>
            <w:tcW w:w="1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6" w:type="dxa"/>
            <w:gridSpan w:val="3"/>
            <w:tcBorders/>
            <w:shd w:fill="auto" w:val="clear"/>
            <w:vAlign w:val="center"/>
          </w:tcPr>
          <w:p>
            <w:pPr>
              <w:pStyle w:val="TableContents"/>
              <w:spacing w:before="0" w:after="283"/>
              <w:rPr>
                <w:sz w:val="4"/>
                <w:szCs w:val="4"/>
              </w:rPr>
            </w:pPr>
            <w:r>
              <w:rPr>
                <w:sz w:val="4"/>
                <w:szCs w:val="4"/>
              </w:rPr>
            </w:r>
          </w:p>
        </w:tc>
      </w:tr>
      <w:tr>
        <w:trPr/>
        <w:tc>
          <w:tcPr>
            <w:tcW w:w="1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6" w:type="dxa"/>
            <w:gridSpan w:val="3"/>
            <w:tcBorders/>
            <w:shd w:fill="auto" w:val="clear"/>
            <w:vAlign w:val="center"/>
          </w:tcPr>
          <w:p>
            <w:pPr>
              <w:pStyle w:val="TableContents"/>
              <w:spacing w:before="0" w:after="283"/>
              <w:rPr>
                <w:sz w:val="4"/>
                <w:szCs w:val="4"/>
              </w:rPr>
            </w:pPr>
            <w:r>
              <w:rPr>
                <w:sz w:val="4"/>
                <w:szCs w:val="4"/>
              </w:rPr>
            </w:r>
          </w:p>
        </w:tc>
      </w:tr>
      <w:tr>
        <w:trPr/>
        <w:tc>
          <w:tcPr>
            <w:tcW w:w="16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8,775,217 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8,750,217 </w:t>
            </w:r>
          </w:p>
        </w:tc>
        <w:tc>
          <w:tcPr>
            <w:tcW w:w="1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4. Mine Safety Disclosures.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Arial;sans-serif" w:hAnsi="Arial;sans-serif"/>
          <w:b/>
          <w:color w:val="000000"/>
          <w:sz w:val="20"/>
        </w:rPr>
      </w:pPr>
      <w:r>
        <w:rPr>
          <w:rFonts w:ascii="Arial;sans-serif" w:hAnsi="Arial;sans-serif"/>
          <w:b/>
          <w:color w:val="000000"/>
          <w:sz w:val="20"/>
        </w:rPr>
        <w:t>Item 5.Other Information.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exhibits required by Item 601 of Regulation S-K are furnished herewith.</w:t>
      </w:r>
    </w:p>
    <w:tbl>
      <w:tblPr>
        <w:tblW w:w="10205" w:type="dxa"/>
        <w:jc w:val="left"/>
        <w:tblInd w:w="0" w:type="dxa"/>
        <w:tblCellMar>
          <w:top w:w="28" w:type="dxa"/>
          <w:left w:w="28" w:type="dxa"/>
          <w:bottom w:w="28" w:type="dxa"/>
          <w:right w:w="28" w:type="dxa"/>
        </w:tblCellMar>
      </w:tblPr>
      <w:tblGrid>
        <w:gridCol w:w="304"/>
        <w:gridCol w:w="175"/>
        <w:gridCol w:w="165"/>
        <w:gridCol w:w="109"/>
        <w:gridCol w:w="109"/>
        <w:gridCol w:w="109"/>
        <w:gridCol w:w="2826"/>
        <w:gridCol w:w="2652"/>
        <w:gridCol w:w="3756"/>
      </w:tblGrid>
      <w:tr>
        <w:trPr/>
        <w:tc>
          <w:tcPr>
            <w:tcW w:w="30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c>
          <w:tcPr>
            <w:tcW w:w="3756" w:type="dxa"/>
            <w:tcBorders/>
            <w:shd w:fill="auto" w:val="cle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Arial;sans-serif" w:hAnsi="Arial;sans-serif"/>
                  <w:b w:val="false"/>
                  <w:color w:val="000000"/>
                  <w:sz w:val="20"/>
                </w:rPr>
                <w:t>Charter of T. Rowe Price Group, Inc., as reflected by Articles of Restatement dated June 20, 2018. (Incorporated by reference from Form 10-Q Quarterly Report filed on July 25, 2018.)</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3(ii)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00"/>
                  <w:sz w:val="20"/>
                </w:rPr>
                <w:t>Amended and Restated By-Laws of T. Rowe Price Group, Inc. as of February 9, 2021. (Incorporated by reference from Form 10-K Annual Report filed on February 11, 2021.)</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row-ex15_q12023x10q.htm">
              <w:r>
                <w:rPr>
                  <w:rStyle w:val="InternetLink"/>
                  <w:rFonts w:ascii="Arial;sans-serif" w:hAnsi="Arial;sans-serif"/>
                  <w:b w:val="false"/>
                  <w:color w:val="000000"/>
                  <w:sz w:val="20"/>
                </w:rPr>
                <w:t>Report from KPMG LLP, independent registered public accounting firm, re unaudited interim financial information.</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31(i).1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row-ex31i1_q12023.htm">
              <w:r>
                <w:rPr>
                  <w:rStyle w:val="InternetLink"/>
                  <w:rFonts w:ascii="Arial;sans-serif" w:hAnsi="Arial;sans-serif"/>
                  <w:b w:val="false"/>
                  <w:color w:val="000000"/>
                  <w:sz w:val="20"/>
                </w:rPr>
                <w:t>Rule 13a-14(a) Certification of Principal Executive Officer.</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31(i).2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row-ex31i2_q12023.htm">
              <w:r>
                <w:rPr>
                  <w:rStyle w:val="InternetLink"/>
                  <w:rFonts w:ascii="Arial;sans-serif" w:hAnsi="Arial;sans-serif"/>
                  <w:b w:val="false"/>
                  <w:color w:val="000000"/>
                  <w:sz w:val="20"/>
                </w:rPr>
                <w:t>Rule 13a-14(a) Certification of Principal Financial Officer.</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row-ex32_q12023.htm">
              <w:r>
                <w:rPr>
                  <w:rStyle w:val="InternetLink"/>
                  <w:rFonts w:ascii="Arial;sans-serif" w:hAnsi="Arial;sans-serif"/>
                  <w:b w:val="false"/>
                  <w:color w:val="000000"/>
                  <w:sz w:val="20"/>
                </w:rPr>
                <w:t>Section 1350 Certifications.</w:t>
              </w:r>
            </w:hyperlink>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Calculation Linkbase Document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Label Linkbase Document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Presentation Linkbase Document</w:t>
            </w:r>
          </w:p>
        </w:tc>
      </w:tr>
      <w:tr>
        <w:trPr/>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Definition Linkbase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Page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Page 38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 on May 2, 2023.</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 Rowe Price Group, Inc.</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By:    /s/ Jennifer B. Dardis</w:t>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9" name="Frame3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39</w:t>
                      </w:r>
                    </w:p>
                  </w:txbxContent>
                </v:textbox>
              </v:rect>
            </w:pict>
          </mc:Fallback>
        </mc:AlternateContent>
      </w:r>
    </w:p>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15                 Letter from KPMG LLP, independent registered public accounting firm,</w:t>
      </w:r>
    </w:p>
    <w:p>
      <w:pPr>
        <w:pStyle w:val="TextBody"/>
        <w:spacing w:lineRule="auto" w:line="288" w:before="0" w:after="0"/>
        <w:ind w:left="0" w:right="0" w:hanging="1440"/>
        <w:jc w:val="right"/>
        <w:rPr>
          <w:color w:val="000000"/>
        </w:rPr>
      </w:pPr>
      <w:r>
        <w:rPr>
          <w:color w:val="000000"/>
        </w:rPr>
        <w:t xml:space="preserve">                                   </w:t>
      </w:r>
      <w:r>
        <w:rPr>
          <w:rFonts w:ascii="Arial;sans-serif" w:hAnsi="Arial;sans-serif"/>
          <w:b w:val="false"/>
          <w:color w:val="000000"/>
          <w:sz w:val="20"/>
        </w:rPr>
        <w:t>re unaudited interim financial information</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May 2, 2023</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 Rowe Price Group, Inc.</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Baltimore, Maryland </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Re: Registration Statements No. 33-7012, No. 333-59714, No. 333-120882, No. 333-120883, No. 333-142092, No. 333-167317, No. 333-180904, No. 333-199560, No. 333-212705 , No. 333-217483, and No. 333-238319.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With respect to the subject registration statements, we acknowledge our awareness of the use therein of our report dated May 2, 2023 related to our review of interim financial information.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KPMG LLP</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Baltimore, Maryland</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EXHIBIT 31(i).1                     Rule 13a-14(a) Certification of Principal Executive Officer</w:t>
      </w:r>
    </w:p>
    <w:p>
      <w:pPr>
        <w:pStyle w:val="TextBody"/>
        <w:spacing w:before="100" w:after="100"/>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I, Robert W. Sharps, certify that: </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1.I have reviewed this Form 10-Q Quarterly Report for the quarterly period ended March 31, 2023 of T. Rowe Price Group, Inc.;</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before="100" w:after="100"/>
        <w:rPr/>
      </w:pPr>
      <w:r>
        <w:rPr/>
      </w:r>
    </w:p>
    <w:p>
      <w:pPr>
        <w:pStyle w:val="TextBody"/>
        <w:spacing w:before="100" w:after="283"/>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May 2, 2023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Robert W. Sharps</w:t>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Chief Executive Officer and President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EXHIBIT 31(i).2                      Rule 13a-14(a) Certification of Principal Financial Officer</w:t>
      </w:r>
    </w:p>
    <w:p>
      <w:pPr>
        <w:pStyle w:val="TextBody"/>
        <w:spacing w:before="100" w:after="100"/>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I, Jennifer B. Dardis, certify that: </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1.I have reviewed this Form 10-Q Quarterly Report for the quarterly period ended March 31, 2023 of T. Rowe Price Group, Inc.;</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100"/>
        <w:ind w:left="0" w:right="0" w:hanging="18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100"/>
        <w:ind w:left="0" w:right="0" w:firstLine="9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before="100" w:after="100"/>
        <w:rPr/>
      </w:pPr>
      <w:r>
        <w:rPr/>
      </w:r>
    </w:p>
    <w:p>
      <w:pPr>
        <w:pStyle w:val="TextBody"/>
        <w:spacing w:before="100" w:after="283"/>
        <w:rPr/>
      </w:pPr>
      <w:r>
        <w:rPr/>
      </w:r>
    </w:p>
    <w:p>
      <w:pPr>
        <w:pStyle w:val="TextBody"/>
        <w:spacing w:lineRule="auto" w:line="288" w:before="100" w:after="100"/>
        <w:rPr/>
      </w:pPr>
      <w:r>
        <w:rPr>
          <w:rFonts w:ascii="Arial;sans-serif" w:hAnsi="Arial;sans-serif"/>
          <w:b w:val="false"/>
          <w:color w:val="000000"/>
          <w:sz w:val="20"/>
        </w:rPr>
        <w:t>May 2, 2023</w:t>
      </w:r>
      <w:r>
        <w:rPr>
          <w:color w:val="FFFFFF"/>
        </w:rPr>
        <w:t xml:space="preserve">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Jennifer B. Dardis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EXHIBIT 32                                     Section 1350 Certifications    </w:t>
      </w:r>
    </w:p>
    <w:p>
      <w:pPr>
        <w:pStyle w:val="TextBody"/>
        <w:spacing w:before="100" w:after="100"/>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We certify, to the best of our knowledge, based upon a review of the Form 10-Q Quarterly Report for the quarterly period ended March 31, 2023, of T. Rowe Price Group, Inc., that: </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(1) The Form 10-Q Quarterly Report fully complies with the requirements of Section 13(a) of the Securities Exchange Act of 1934, as amended; and </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(2) The information contained in the Form 10-Q Quarterly Report fairly presents, in all material respects, the financial condition and results of operations of T. Rowe Price Group, Inc. </w:t>
      </w:r>
    </w:p>
    <w:p>
      <w:pPr>
        <w:pStyle w:val="TextBody"/>
        <w:spacing w:before="100" w:after="100"/>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May 2, 2023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Robert W. Sharps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Chief Executive Officer and President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Jennifer B. Dardis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169/000111316918000018/articlesofrestatementfin.htm" TargetMode="External"/><Relationship Id="rId3" Type="http://schemas.openxmlformats.org/officeDocument/2006/relationships/hyperlink" Target="https://www.sec.gov/Archives/edgar/data/1113169/000111316921000006/exhibit3-1trpgamendedandr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18277</Words>
  <CharactersWithSpaces>120779</CharactersWithSpaces>
  <Paragraphs>3129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