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200660</wp:posOffset>
            </wp:positionH>
            <wp:positionV relativeFrom="page">
              <wp:posOffset>620395</wp:posOffset>
            </wp:positionV>
            <wp:extent cx="7169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534670</wp:posOffset>
            </wp:positionV>
            <wp:extent cx="71691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8890"/>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9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80" w:lineRule="exact"/>
        <w:rPr>
          <w:sz w:val="24"/>
          <w:szCs w:val="24"/>
          <w:color w:val="auto"/>
        </w:rPr>
      </w:pPr>
    </w:p>
    <w:p>
      <w:pPr>
        <w:jc w:val="center"/>
        <w:ind w:left="120" w:right="60"/>
        <w:spacing w:after="0" w:line="287" w:lineRule="auto"/>
        <w:rPr>
          <w:sz w:val="20"/>
          <w:szCs w:val="20"/>
          <w:color w:val="auto"/>
        </w:rPr>
      </w:pPr>
      <w:r>
        <w:rPr>
          <w:rFonts w:ascii="Times New Roman" w:cs="Times New Roman" w:eastAsia="Times New Roman" w:hAnsi="Times New Roman"/>
          <w:sz w:val="25"/>
          <w:szCs w:val="25"/>
          <w:b w:val="1"/>
          <w:bCs w:val="1"/>
          <w:color w:val="auto"/>
        </w:rPr>
        <w:t>QUARTERLY REPORT PURSUANT TO SECTION 13 OF THE SECURITIES EXCHANGE ACT OF 1934</w:t>
      </w:r>
    </w:p>
    <w:p>
      <w:pPr>
        <w:spacing w:after="0" w:line="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2017</w:t>
      </w:r>
    </w:p>
    <w:p>
      <w:pPr>
        <w:spacing w:after="0" w:line="1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000-32191</w:t>
      </w:r>
    </w:p>
    <w:p>
      <w:pPr>
        <w:spacing w:after="0" w:line="8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6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T. ROWE PRICE GROUP, INC.</w:t>
      </w:r>
    </w:p>
    <w:p>
      <w:pPr>
        <w:spacing w:after="0" w:line="5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360"/>
          </w:cols>
          <w:pgMar w:left="240" w:top="1006" w:right="299" w:bottom="1440" w:gutter="0" w:footer="0" w:header="0"/>
        </w:sectPr>
      </w:pPr>
    </w:p>
    <w:p>
      <w:pPr>
        <w:spacing w:after="0" w:line="147"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52-2264646</w:t>
      </w:r>
    </w:p>
    <w:p>
      <w:pPr>
        <w:spacing w:after="0" w:line="61" w:lineRule="exact"/>
        <w:rPr>
          <w:sz w:val="24"/>
          <w:szCs w:val="24"/>
          <w:color w:val="auto"/>
        </w:rPr>
      </w:pPr>
    </w:p>
    <w:p>
      <w:pPr>
        <w:sectPr>
          <w:pgSz w:w="11900" w:h="16838" w:orient="portrait"/>
          <w:cols w:equalWidth="0" w:num="2">
            <w:col w:w="7380" w:space="720"/>
            <w:col w:w="3260"/>
          </w:cols>
          <w:pgMar w:left="240" w:top="1006" w:right="29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79" w:lineRule="exact"/>
        <w:rPr>
          <w:sz w:val="24"/>
          <w:szCs w:val="24"/>
          <w:color w:val="auto"/>
        </w:rPr>
      </w:pPr>
    </w:p>
    <w:p>
      <w:pPr>
        <w:sectPr>
          <w:pgSz w:w="11900" w:h="16838" w:orient="portrait"/>
          <w:cols w:equalWidth="0" w:num="2">
            <w:col w:w="6720" w:space="720"/>
            <w:col w:w="3920"/>
          </w:cols>
          <w:pgMar w:left="240" w:top="1006" w:right="29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100 East Pratt Street, Baltimore, Maryland 21202</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including Zip Code, of principal executive offices)</w:t>
      </w:r>
    </w:p>
    <w:p>
      <w:pPr>
        <w:spacing w:after="0" w:line="14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(410) 345-2000</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53"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color w:val="auto"/>
        </w:rPr>
        <w:t>______________________________________</w:t>
      </w:r>
    </w:p>
    <w:p>
      <w:pPr>
        <w:spacing w:after="0" w:line="73" w:lineRule="exact"/>
        <w:rPr>
          <w:sz w:val="24"/>
          <w:szCs w:val="24"/>
          <w:color w:val="auto"/>
        </w:rPr>
      </w:pPr>
    </w:p>
    <w:p>
      <w:pPr>
        <w:ind w:right="26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x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2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x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25"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60"/>
          </w:cols>
          <w:pgMar w:left="240" w:top="1006" w:right="299" w:bottom="1440" w:gutter="0" w:footer="0" w:header="0"/>
          <w:type w:val="continuous"/>
        </w:sectPr>
      </w:pPr>
    </w:p>
    <w:p>
      <w:pPr>
        <w:spacing w:after="0" w:line="12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Large accelerated filer 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jc w:val="center"/>
        <w:ind w:right="402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87" w:lineRule="exact"/>
        <w:rPr>
          <w:sz w:val="24"/>
          <w:szCs w:val="24"/>
          <w:color w:val="auto"/>
        </w:rPr>
      </w:pPr>
    </w:p>
    <w:p>
      <w:pPr>
        <w:sectPr>
          <w:pgSz w:w="11900" w:h="16838" w:orient="portrait"/>
          <w:cols w:equalWidth="0" w:num="2">
            <w:col w:w="5200" w:space="720"/>
            <w:col w:w="5440"/>
          </w:cols>
          <w:pgMar w:left="240" w:top="1006" w:right="299" w:bottom="1440" w:gutter="0" w:footer="0" w:header="0"/>
          <w:type w:val="continuous"/>
        </w:sectPr>
      </w:pPr>
    </w:p>
    <w:p>
      <w:pPr>
        <w:ind w:left="592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ectPr>
          <w:pgSz w:w="11900" w:h="16838" w:orient="portrait"/>
          <w:cols w:equalWidth="0" w:num="1">
            <w:col w:w="11360"/>
          </w:cols>
          <w:pgMar w:left="240" w:top="1006" w:right="299" w:bottom="1440" w:gutter="0" w:footer="0" w:header="0"/>
          <w:type w:val="continuous"/>
        </w:sectPr>
      </w:pPr>
    </w:p>
    <w:p>
      <w:pPr>
        <w:spacing w:after="0" w:line="75" w:lineRule="exact"/>
        <w:rPr>
          <w:sz w:val="24"/>
          <w:szCs w:val="24"/>
          <w:color w:val="auto"/>
        </w:rPr>
      </w:pPr>
    </w:p>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5" w:lineRule="exact"/>
        <w:rPr>
          <w:sz w:val="24"/>
          <w:szCs w:val="24"/>
          <w:color w:val="auto"/>
        </w:rPr>
      </w:pPr>
    </w:p>
    <w:p>
      <w:pPr>
        <w:sectPr>
          <w:pgSz w:w="11900" w:h="16838" w:orient="portrait"/>
          <w:cols w:equalWidth="0" w:num="3">
            <w:col w:w="1760" w:space="60"/>
            <w:col w:w="3380" w:space="720"/>
            <w:col w:w="5440"/>
          </w:cols>
          <w:pgMar w:left="240" w:top="1006" w:right="299" w:bottom="1440" w:gutter="0" w:footer="0" w:header="0"/>
          <w:type w:val="continuous"/>
        </w:sect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90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tab/>
        <w:t>x No</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issuer’s common stock ($.20 par value), as of the latest practicable date, April 21, 2017, is 241,268,309.</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exhibit index is at Item 6 on page 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69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69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ectPr>
          <w:pgSz w:w="11900" w:h="16838" w:orient="portrait"/>
          <w:cols w:equalWidth="0" w:num="1">
            <w:col w:w="11360"/>
          </w:cols>
          <w:pgMar w:left="240" w:top="1006" w:right="2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12/31/2016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3/31/2017</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1,580.8</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receivable and accrued revenue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482.5</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1,299.5</w:t>
            </w:r>
          </w:p>
        </w:tc>
      </w:tr>
      <w:tr>
        <w:trPr>
          <w:trHeight w:val="225"/>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 of consolidated sponsored investment portfolios ($1,446.1 million at December 31, 2016 and</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$1,167.0 million at March 31, 2017, related to variable interest entities)</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1,680.5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1,347.6</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625.2</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665.7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346.2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274.3</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6,225.0</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6,275.6</w:t>
            </w:r>
          </w:p>
        </w:tc>
      </w:tr>
      <w:tr>
        <w:trPr>
          <w:trHeight w:val="311"/>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185.8</w:t>
            </w:r>
          </w:p>
        </w:tc>
      </w:tr>
      <w:tr>
        <w:trPr>
          <w:trHeight w:val="225"/>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 of consolidated sponsored investment portfolios ($56.8 million at December 31, 2016, and</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$26.2 million at March 31, 2017, related to variable interest entities)</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36.9</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and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165.0</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Supplemental savings plan liability</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167.2</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261.4</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529.2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816.3</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459.1</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undesignated, $.20 par value – authorized and unissued 20,000,000 shares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$.20 par value—authorized 750,000,000; issued 244,784,000 shares at December 31,</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2016, and 241,260,000 at March 31, 2017</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48.3</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capital in excess of par value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654.6</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4,293.6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4,302.7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permanent stockholders’ equity</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5,008.6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5,000.2</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redeemable non-controlling interests, and permanent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6,225.0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6,275.6</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w:t>
      </w:r>
    </w:p>
    <w:p>
      <w:pPr>
        <w:sectPr>
          <w:pgSz w:w="11900" w:h="16838" w:orient="portrait"/>
          <w:cols w:equalWidth="0" w:num="1">
            <w:col w:w="11420"/>
          </w:cols>
          <w:pgMar w:left="240" w:top="576" w:right="239" w:bottom="1440" w:gutter="0" w:footer="0" w:header="0"/>
        </w:sectPr>
      </w:pPr>
    </w:p>
    <w:bookmarkStart w:id="2" w:name="page3"/>
    <w:bookmarkEnd w:id="2"/>
    <w:p>
      <w:pPr>
        <w:ind w:right="5300"/>
        <w:spacing w:after="0" w:line="286" w:lineRule="auto"/>
        <w:rPr>
          <w:sz w:val="20"/>
          <w:szCs w:val="20"/>
          <w:color w:val="auto"/>
        </w:rPr>
      </w:pPr>
      <w:r>
        <w:rPr>
          <w:rFonts w:ascii="Times New Roman" w:cs="Times New Roman" w:eastAsia="Times New Roman" w:hAnsi="Times New Roman"/>
          <w:sz w:val="18"/>
          <w:szCs w:val="18"/>
          <w:b w:val="1"/>
          <w:bCs w:val="1"/>
          <w:color w:val="auto"/>
        </w:rPr>
        <w:t>UNAUDITED CONDENSED CONSOLIDATED STATEMENTS OF INCOME (in millions, except per-share amounts)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600" w:type="dxa"/>
            <w:vAlign w:val="bottom"/>
            <w:tcBorders>
              <w:bottom w:val="single" w:sz="8" w:color="auto"/>
            </w:tcBorders>
            <w:gridSpan w:val="4"/>
            <w:shd w:val="clear" w:color="auto" w:fill="CCEEFF"/>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59"/>
        </w:trPr>
        <w:tc>
          <w:tcPr>
            <w:tcW w:w="85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3/31/2016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3/31/2017</w:t>
            </w:r>
          </w:p>
        </w:tc>
        <w:tc>
          <w:tcPr>
            <w:tcW w:w="0" w:type="dxa"/>
            <w:vAlign w:val="bottom"/>
          </w:tcPr>
          <w:p>
            <w:pPr>
              <w:spacing w:after="0"/>
              <w:rPr>
                <w:sz w:val="1"/>
                <w:szCs w:val="1"/>
                <w:color w:val="auto"/>
              </w:rPr>
            </w:pP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advisory fees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870.8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991.1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 fees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 and servicing fees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994.1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1,113.6</w:t>
            </w:r>
          </w:p>
        </w:tc>
        <w:tc>
          <w:tcPr>
            <w:tcW w:w="0" w:type="dxa"/>
            <w:vAlign w:val="bottom"/>
          </w:tcPr>
          <w:p>
            <w:pPr>
              <w:spacing w:after="0"/>
              <w:rPr>
                <w:sz w:val="1"/>
                <w:szCs w:val="1"/>
                <w:color w:val="auto"/>
              </w:rPr>
            </w:pPr>
          </w:p>
        </w:tc>
      </w:tr>
      <w:tr>
        <w:trPr>
          <w:trHeight w:val="318"/>
        </w:trPr>
        <w:tc>
          <w:tcPr>
            <w:tcW w:w="85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related costs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397.4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 and promotion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 and servicing costs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and facility costs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recovery related to Dell appraisal rights matter</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583.2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591.9</w:t>
            </w:r>
          </w:p>
        </w:tc>
        <w:tc>
          <w:tcPr>
            <w:tcW w:w="0" w:type="dxa"/>
            <w:vAlign w:val="bottom"/>
          </w:tcPr>
          <w:p>
            <w:pPr>
              <w:spacing w:after="0"/>
              <w:rPr>
                <w:sz w:val="1"/>
                <w:szCs w:val="1"/>
                <w:color w:val="auto"/>
              </w:rPr>
            </w:pPr>
          </w:p>
        </w:tc>
      </w:tr>
      <w:tr>
        <w:trPr>
          <w:trHeight w:val="318"/>
        </w:trPr>
        <w:tc>
          <w:tcPr>
            <w:tcW w:w="85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521.7</w:t>
            </w:r>
          </w:p>
        </w:tc>
        <w:tc>
          <w:tcPr>
            <w:tcW w:w="0" w:type="dxa"/>
            <w:vAlign w:val="bottom"/>
          </w:tcPr>
          <w:p>
            <w:pPr>
              <w:spacing w:after="0"/>
              <w:rPr>
                <w:sz w:val="1"/>
                <w:szCs w:val="1"/>
                <w:color w:val="auto"/>
              </w:rPr>
            </w:pPr>
          </w:p>
        </w:tc>
      </w:tr>
      <w:tr>
        <w:trPr>
          <w:trHeight w:val="324"/>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income on investments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income on consolidated sponsored investment portfolios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non-operating income</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318"/>
        </w:trPr>
        <w:tc>
          <w:tcPr>
            <w:tcW w:w="85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636.7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236.3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400.4</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income attributable to redeemable non-controlling interests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T. Rowe Price Group</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304.1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385.9</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share on common stock of T. Rowe Price Group</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338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8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Page 3</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3" w:name="page4"/>
    <w:bookmarkEnd w:id="3"/>
    <w:p>
      <w:pPr>
        <w:ind w:right="3660"/>
        <w:spacing w:after="0" w:line="286" w:lineRule="auto"/>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600" w:type="dxa"/>
            <w:vAlign w:val="bottom"/>
            <w:tcBorders>
              <w:bottom w:val="single" w:sz="8" w:color="auto"/>
            </w:tcBorders>
            <w:gridSpan w:val="4"/>
            <w:shd w:val="clear" w:color="auto" w:fill="CCEEFF"/>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59"/>
        </w:trPr>
        <w:tc>
          <w:tcPr>
            <w:tcW w:w="85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3/31/2016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3/31/2017</w:t>
            </w: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313.3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400.4</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unrealized holding gains (losses) on available-for-sale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18.3</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adjustments recognized in non-operating income:</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gains realized on dispositions determined using average cost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unrealized holding losses recognized in other comprehensive income</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0"/>
        </w:trPr>
        <w:tc>
          <w:tcPr>
            <w:tcW w:w="8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Consolidated sponsored investment portfolios - variable interest entities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8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currency translation adjustments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85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deferred tax benefits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0"/>
        </w:trPr>
        <w:tc>
          <w:tcPr>
            <w:tcW w:w="85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385.6</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comprehensive income attributable to redeemable non-controlling interests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T. Rowe Price Group</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279.1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369.0</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w:t>
      </w:r>
    </w:p>
    <w:p>
      <w:pPr>
        <w:sectPr>
          <w:pgSz w:w="11900" w:h="16838" w:orient="portrait"/>
          <w:cols w:equalWidth="0" w:num="1">
            <w:col w:w="11420"/>
          </w:cols>
          <w:pgMar w:left="240" w:top="576"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r>
        <w:rPr>
          <w:rFonts w:ascii="Times New Roman" w:cs="Times New Roman" w:eastAsia="Times New Roman" w:hAnsi="Times New Roman"/>
          <w:sz w:val="25"/>
          <w:szCs w:val="25"/>
          <w:b w:val="1"/>
          <w:bCs w:val="1"/>
          <w:color w:val="auto"/>
          <w:vertAlign w:val="superscript"/>
        </w:rPr>
        <w:t>(1)</w:t>
      </w:r>
    </w:p>
    <w:p>
      <w:pP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580" w:type="dxa"/>
            <w:vAlign w:val="bottom"/>
            <w:tcBorders>
              <w:bottom w:val="single" w:sz="8" w:color="auto"/>
            </w:tcBorders>
            <w:gridSpan w:val="4"/>
            <w:shd w:val="clear" w:color="auto" w:fill="CCEEFF"/>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59"/>
        </w:trPr>
        <w:tc>
          <w:tcPr>
            <w:tcW w:w="85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3/31/2016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3/31/2017</w:t>
            </w:r>
          </w:p>
        </w:tc>
        <w:tc>
          <w:tcPr>
            <w:tcW w:w="0" w:type="dxa"/>
            <w:vAlign w:val="bottom"/>
          </w:tcPr>
          <w:p>
            <w:pPr>
              <w:spacing w:after="0"/>
              <w:rPr>
                <w:sz w:val="1"/>
                <w:szCs w:val="1"/>
                <w:color w:val="auto"/>
              </w:rPr>
            </w:pPr>
          </w:p>
        </w:tc>
      </w:tr>
      <w:tr>
        <w:trPr>
          <w:trHeight w:val="249"/>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313.3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400.4</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43"/>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Realized gains on dispositions of available-for-sale sponsored investment portfolios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gains recognized on other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43"/>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change in trading securities held by consolidated sponsored investment portfolios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changes in assets and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188.5</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available-for-sale sponsored investment portfolios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Dispositions of available-for-sale sponsored investment portfolios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of sponsored investment portfolios on consolidation (deconsolidation)</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investing activity</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share issuances under stock-based compensation plans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paid to common stockholders of T. Rowe Price Group</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subscriptions received from redeemable non-controlling interest holders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551.1</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318"/>
        </w:trPr>
        <w:tc>
          <w:tcPr>
            <w:tcW w:w="85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of consolidated sponsored investment portfolios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18"/>
        </w:trPr>
        <w:tc>
          <w:tcPr>
            <w:tcW w:w="85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change in cash and cash equivalents during period</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360.5</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1,270.5</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56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Cash and cash equivalents at end of period, including $77.5 million at March 31, 2016 and $50.2 million at March</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1,400.4</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1,631.0</w:t>
            </w:r>
          </w:p>
        </w:tc>
        <w:tc>
          <w:tcPr>
            <w:tcW w:w="0" w:type="dxa"/>
            <w:vAlign w:val="bottom"/>
          </w:tcPr>
          <w:p>
            <w:pPr>
              <w:spacing w:after="0"/>
              <w:rPr>
                <w:sz w:val="1"/>
                <w:szCs w:val="1"/>
                <w:color w:val="auto"/>
              </w:rPr>
            </w:pPr>
          </w:p>
        </w:tc>
      </w:tr>
      <w:tr>
        <w:trPr>
          <w:trHeight w:val="241"/>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 2017 held by consolidated sponsored investment portfolios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 xml:space="preserve"> See note 11 for a supplementary consolidating cash flow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-179070</wp:posOffset>
            </wp:positionV>
            <wp:extent cx="1800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5</w:t>
      </w:r>
    </w:p>
    <w:p>
      <w:pPr>
        <w:sectPr>
          <w:pgSz w:w="11900" w:h="16838" w:orient="portrait"/>
          <w:cols w:equalWidth="0" w:num="1">
            <w:col w:w="11400"/>
          </w:cols>
          <w:pgMar w:left="240" w:top="529" w:right="259" w:bottom="1440" w:gutter="0" w:footer="0" w:header="0"/>
        </w:sectPr>
      </w:pPr>
    </w:p>
    <w:bookmarkStart w:id="5" w:name="page6"/>
    <w:bookmarkEnd w:id="5"/>
    <w:p>
      <w:pPr>
        <w:ind w:right="3840"/>
        <w:spacing w:after="0" w:line="286" w:lineRule="auto"/>
        <w:rPr>
          <w:sz w:val="20"/>
          <w:szCs w:val="20"/>
          <w:color w:val="auto"/>
        </w:rPr>
      </w:pPr>
      <w:r>
        <w:rPr>
          <w:rFonts w:ascii="Times New Roman" w:cs="Times New Roman" w:eastAsia="Times New Roman" w:hAnsi="Times New Roman"/>
          <w:sz w:val="18"/>
          <w:szCs w:val="18"/>
          <w:b w:val="1"/>
          <w:bCs w:val="1"/>
          <w:color w:val="auto"/>
        </w:rPr>
        <w:t>UNAUDITED CONDENSED CONSOLIDATED STATEMENT OF STOCKHOLDERS’ EQUITY (shares in thousands; dollars in millions)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35"/>
        </w:trPr>
        <w:tc>
          <w:tcPr>
            <w:tcW w:w="33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capital in</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3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35"/>
        </w:trPr>
        <w:tc>
          <w:tcPr>
            <w:tcW w:w="33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excess of</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1140" w:type="dxa"/>
            <w:vAlign w:val="bottom"/>
            <w:gridSpan w:val="2"/>
            <w:shd w:val="clear" w:color="auto" w:fill="CCEEFF"/>
          </w:tcPr>
          <w:p>
            <w:pPr>
              <w:jc w:val="right"/>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Redeemable non-</w:t>
            </w:r>
          </w:p>
        </w:tc>
      </w:tr>
      <w:tr>
        <w:trPr>
          <w:trHeight w:val="176"/>
        </w:trPr>
        <w:tc>
          <w:tcPr>
            <w:tcW w:w="33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outstanding</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par value</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1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controlling interests</w:t>
            </w: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Balances at December 31, 2016</w:t>
            </w:r>
          </w:p>
        </w:tc>
        <w:tc>
          <w:tcPr>
            <w:tcW w:w="104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244,784</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654.5</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4,293.6</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5,008.6</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687.2</w:t>
            </w: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385.9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r>
      <w:tr>
        <w:trPr>
          <w:trHeight w:val="225"/>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4"/>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declared</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25"/>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stock-based compensation plans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4"/>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activity</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upon option exercises</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upon vesting of restricted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4"/>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units, net of shares withheld for taxes</w:t>
            </w: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Forfeiture of restricted awards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 issued as dividend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41"/>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shares repurchased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subscriptions into sponsored investment</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41"/>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portfolios</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523.0</w:t>
            </w:r>
          </w:p>
        </w:tc>
      </w:tr>
      <w:tr>
        <w:trPr>
          <w:trHeight w:val="225"/>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deconsolidations of sponsored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4"/>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portfolios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(767.7)</w:t>
            </w:r>
          </w:p>
        </w:tc>
      </w:tr>
      <w:tr>
        <w:trPr>
          <w:trHeight w:val="27"/>
        </w:trPr>
        <w:tc>
          <w:tcPr>
            <w:tcW w:w="3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at March 31, 2017</w:t>
            </w: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241,260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654.6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4,302.7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5,000.2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459.1</w:t>
            </w:r>
          </w:p>
        </w:tc>
      </w:tr>
      <w:tr>
        <w:trPr>
          <w:trHeight w:val="20"/>
        </w:trPr>
        <w:tc>
          <w:tcPr>
            <w:tcW w:w="3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w:t>
      </w:r>
    </w:p>
    <w:p>
      <w:pPr>
        <w:sectPr>
          <w:pgSz w:w="11900" w:h="16838" w:orient="portrait"/>
          <w:cols w:equalWidth="0" w:num="1">
            <w:col w:w="11420"/>
          </w:cols>
          <w:pgMar w:left="240" w:top="576"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COMPANY AND BASIS OF PREPARATION.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 Rowe Price Group (Price Group) derives its consolidated revenues and net income primarily from investment advisory services that its subsidiaries provide to individual and institutional investors in the sponsored T. Rowe Price U.S. mutual funds and other investment portfolios, including separately managed accounts, subadvised funds, and other sponsored investment portfolios. We also provide our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18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are prepared in accordance with accounting principles generally accepted in the United States, which require the use of estimates and reflect all adjustments that are, in the opinion of management, necessary to a fair statement of our results for the interim periods presented. All such adjustments are of a normal recurring nature. Actual results may vary from our estimates. Certain prior year amounts have been reclassified to conform to the 2017 presentation.</w:t>
      </w:r>
    </w:p>
    <w:p>
      <w:pPr>
        <w:spacing w:after="0" w:line="180"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 unaudited interim financial information contained in these condensed consolidated financial statements should be read in conjunction with the consolidated financial statements contained in our 2016 Annual Report.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ACCOUNTING GUIDANCE</w:t>
      </w:r>
    </w:p>
    <w:p>
      <w:pPr>
        <w:spacing w:after="0" w:line="9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early adopted Accounting Standards Update No. 2016-09 — Compensation-Stock Compensation (Topic 718): Improvements to Employee Share-Based Payment Accounting on July 1, 2016, which changed the accounting for certain aspects of stock-based compensation awards, including the accounting for income taxes upon settlement of awards, the classification of cash flows associated with awards, the accounting for award forfeitures, and the treatment of hypothetical tax benefits when calculating weighted-average shares outstanding assuming dilution. The guidance required adjustments to be reflected as of January 1, 2016, so we recognized adjustments related to the first and second quarter of 2016 in our condensed consolidated financial statement results for the nine months ended September 30, 2016. As such, we have revised the first quarter of 2016 financial statements reported in these statements to reflect the impact of the new guidance.</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the first quarter of 2016, the recognition of net tax benefits on exercised options and vested restricted stock relative to the stock-based compensation expense reduced our previously reported income tax provision by $8.9 million. The impact (in millions) on our condensed consolidated statement of income and earnings per share on common stock data for the three months ended March 31, 2016,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8340" w:type="dxa"/>
            <w:vAlign w:val="bottom"/>
            <w:shd w:val="clear" w:color="auto" w:fill="CCEEFF"/>
          </w:tcPr>
          <w:p>
            <w:pPr>
              <w:spacing w:after="0"/>
              <w:rPr>
                <w:sz w:val="23"/>
                <w:szCs w:val="23"/>
                <w:color w:val="auto"/>
              </w:rPr>
            </w:pPr>
          </w:p>
        </w:tc>
        <w:tc>
          <w:tcPr>
            <w:tcW w:w="16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As reported</w:t>
            </w:r>
          </w:p>
        </w:tc>
      </w:tr>
      <w:tr>
        <w:trPr>
          <w:trHeight w:val="242"/>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496.0</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496.0</w:t>
            </w: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182.7</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304.4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313.3</w:t>
            </w: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net income attributable to redeemable non-controlling interests</w:t>
            </w:r>
          </w:p>
        </w:tc>
        <w:tc>
          <w:tcPr>
            <w:tcW w:w="5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T. Rowe Price Group</w:t>
            </w:r>
          </w:p>
        </w:tc>
        <w:tc>
          <w:tcPr>
            <w:tcW w:w="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295.2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304.1</w:t>
            </w: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net income allocated to outstanding restricted stock and stock unit holders</w:t>
            </w:r>
          </w:p>
        </w:tc>
        <w:tc>
          <w:tcPr>
            <w:tcW w:w="5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allocated to common stockholders</w:t>
            </w: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289.6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298.3</w:t>
            </w:r>
          </w:p>
        </w:tc>
      </w:tr>
      <w:tr>
        <w:trPr>
          <w:trHeight w:val="271"/>
        </w:trPr>
        <w:tc>
          <w:tcPr>
            <w:tcW w:w="83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share on common stock of T. Rowe Price Group</w:t>
            </w: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8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91"/>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1.18</w:t>
            </w:r>
          </w:p>
        </w:tc>
      </w:tr>
      <w:tr>
        <w:trPr>
          <w:trHeight w:val="217"/>
        </w:trPr>
        <w:tc>
          <w:tcPr>
            <w:tcW w:w="8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w:t>
      </w:r>
    </w:p>
    <w:p>
      <w:pPr>
        <w:sectPr>
          <w:pgSz w:w="11900" w:h="16838" w:orient="portrait"/>
          <w:cols w:equalWidth="0" w:num="1">
            <w:col w:w="11420"/>
          </w:cols>
          <w:pgMar w:left="240" w:top="576"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246.7</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246.7</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51"/>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assuming dilution</w:t>
            </w: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251.5</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251.9</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impact (in millions) of reporting excess tax benefits from stock-based compensation as operating activities rather than financing activities in the consolidated statements of cash flows for the three months ended March 31, 2016,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8340" w:type="dxa"/>
            <w:vAlign w:val="bottom"/>
            <w:shd w:val="clear" w:color="auto" w:fill="CCEEFF"/>
          </w:tcPr>
          <w:p>
            <w:pPr>
              <w:spacing w:after="0"/>
              <w:rPr>
                <w:sz w:val="23"/>
                <w:szCs w:val="23"/>
                <w:color w:val="auto"/>
              </w:rPr>
            </w:pPr>
          </w:p>
        </w:tc>
        <w:tc>
          <w:tcPr>
            <w:tcW w:w="16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As reported</w:t>
            </w:r>
          </w:p>
        </w:tc>
      </w:tr>
      <w:tr>
        <w:trPr>
          <w:trHeight w:val="302"/>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72.5</w:t>
            </w:r>
          </w:p>
        </w:tc>
      </w:tr>
      <w:tr>
        <w:trPr>
          <w:trHeight w:val="251"/>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0"/>
        </w:trPr>
        <w:tc>
          <w:tcPr>
            <w:tcW w:w="8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INFORMATION ABOUT RECEIVABLES, REVENUES, AND SERVICES.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Accounts receivable from our sponsored investment portfolios, including our U.S. mutual funds, for advisory fees and advisory-related administrative services aggregate $303.1 million at December 31, 2016, and $318.6 million at March 31, 2017.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(in millions) from advisory services provided under agreements with our sponsored U.S. mutual funds and other investment clients include: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800" w:type="dxa"/>
            <w:vAlign w:val="bottom"/>
            <w:tcBorders>
              <w:bottom w:val="single" w:sz="8" w:color="auto"/>
            </w:tcBorders>
            <w:gridSpan w:val="4"/>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59"/>
        </w:trPr>
        <w:tc>
          <w:tcPr>
            <w:tcW w:w="83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3/31/2016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3/31/2017</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Sponsored U.S. mutual funds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and blended asset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519.5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594.1</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Bond and money market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121.7</w:t>
            </w:r>
          </w:p>
        </w:tc>
      </w:tr>
      <w:tr>
        <w:trPr>
          <w:trHeight w:val="237"/>
        </w:trPr>
        <w:tc>
          <w:tcPr>
            <w:tcW w:w="8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632.1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715.8</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investment portfolios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and blended asset</w:t>
            </w: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227.9</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Bond, money market, and stable value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47.4</w:t>
            </w:r>
          </w:p>
        </w:tc>
      </w:tr>
      <w:tr>
        <w:trPr>
          <w:trHeight w:val="237"/>
        </w:trPr>
        <w:tc>
          <w:tcPr>
            <w:tcW w:w="8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275.3</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991.1</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Other investment portfolios include advisory revenues earned from other sponsored investment portfolios of $88.2 million and $106.1 million for the three months ended March 31, 2016 and 2017, respectively.</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voluntarily waived $4.0 million in money market related fees, including advisory fees and fund expenses, in the first quarter of 2016 in order to maintain a positive yield for investors. We did not waive any money market related fees during the first quarter of 2017.</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w:t>
      </w:r>
    </w:p>
    <w:p>
      <w:pPr>
        <w:sectPr>
          <w:pgSz w:w="11900" w:h="16838" w:orient="portrait"/>
          <w:cols w:equalWidth="0" w:num="1">
            <w:col w:w="11420"/>
          </w:cols>
          <w:pgMar w:left="240" w:top="526"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The following table summarizes the investment portfolios and assets under management (in billions) on which we earn advisory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3773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1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b w:val="1"/>
          <w:bCs w:val="1"/>
          <w:color w:val="auto"/>
        </w:rPr>
        <w:t>Average during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the first quarter of</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r>
      <w:tr>
        <w:trPr>
          <w:trHeight w:val="269"/>
        </w:trPr>
        <w:tc>
          <w:tcPr>
            <w:tcW w:w="51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12/31/2016</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3/31/2017</w:t>
            </w:r>
          </w:p>
        </w:tc>
      </w:tr>
      <w:tr>
        <w:trPr>
          <w:trHeight w:val="237"/>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Sponsored U.S. mutual funds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and blended asset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361.3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500" w:type="dxa"/>
            <w:vAlign w:val="bottom"/>
            <w:tcBorders>
              <w:bottom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430.8</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Bond and money market</w:t>
            </w: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117.5</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465.6</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536.5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548.3</w:t>
            </w:r>
          </w:p>
        </w:tc>
      </w:tr>
      <w:tr>
        <w:trPr>
          <w:trHeight w:val="237"/>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investment portfolios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and blended asset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196.3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235.1</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Bond, money market, and stable value</w:t>
            </w: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78.2</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262.5</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308.9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313.3</w:t>
            </w:r>
          </w:p>
        </w:tc>
      </w:tr>
      <w:tr>
        <w:trPr>
          <w:trHeight w:val="257"/>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728.1</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845.4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861.6</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Investors that we serve are primarily domiciled in the U.S.; investment advisory clients outside the U.S. account for 4.7% and 4.8% of our assets under management at December 31, 2016, and March 31, 2017,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other fees (in millions) we earn from our sponsored U.S. mutual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2"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24765</wp:posOffset>
            </wp:positionV>
            <wp:extent cx="1955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p>
      <w:pPr>
        <w:ind w:left="8800"/>
        <w:spacing w:after="0"/>
        <w:tabs>
          <w:tab w:leader="none" w:pos="10380" w:val="left"/>
        </w:tabs>
        <w:rPr>
          <w:sz w:val="20"/>
          <w:szCs w:val="20"/>
          <w:color w:val="auto"/>
        </w:rPr>
      </w:pPr>
      <w:r>
        <w:rPr>
          <w:rFonts w:ascii="Times New Roman" w:cs="Times New Roman" w:eastAsia="Times New Roman" w:hAnsi="Times New Roman"/>
          <w:sz w:val="14"/>
          <w:szCs w:val="14"/>
          <w:b w:val="1"/>
          <w:bCs w:val="1"/>
          <w:color w:val="auto"/>
        </w:rPr>
        <w:t>3/31/2016</w:t>
      </w:r>
      <w:r>
        <w:rPr>
          <w:sz w:val="20"/>
          <w:szCs w:val="20"/>
          <w:color w:val="auto"/>
        </w:rPr>
        <w:tab/>
      </w:r>
      <w:r>
        <w:rPr>
          <w:rFonts w:ascii="Times New Roman" w:cs="Times New Roman" w:eastAsia="Times New Roman" w:hAnsi="Times New Roman"/>
          <w:sz w:val="14"/>
          <w:szCs w:val="14"/>
          <w:b w:val="1"/>
          <w:bCs w:val="1"/>
          <w:color w:val="auto"/>
        </w:rPr>
        <w:t>3/31/2017</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Administrative fees</w:t>
            </w:r>
          </w:p>
        </w:tc>
        <w:tc>
          <w:tcPr>
            <w:tcW w:w="60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 and servicing fees</w:t>
            </w: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values of investments (in millions) we do not consolidate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83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12/31/2016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3/31/2017</w:t>
            </w:r>
          </w:p>
        </w:tc>
      </w:tr>
      <w:tr>
        <w:trPr>
          <w:trHeight w:val="242"/>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Available-for-sale sponsored investment portfolios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709.0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706.3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Sponsored investment portfolios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290.3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26% interest in UTI Asset Management Company Limited (India)</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142.3</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partnerships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Sponsored investment portfolios held as trading</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81.1</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method investments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note</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r>
      <w:tr>
        <w:trPr>
          <w:trHeight w:val="25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1,257.5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1,299.5</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w:t>
      </w:r>
    </w:p>
    <w:p>
      <w:pPr>
        <w:sectPr>
          <w:pgSz w:w="11900" w:h="16838" w:orient="portrait"/>
          <w:cols w:equalWidth="0" w:num="1">
            <w:col w:w="11420"/>
          </w:cols>
          <w:pgMar w:left="240" w:top="580" w:right="239" w:bottom="1440" w:gutter="0" w:footer="0" w:header="0"/>
        </w:sectPr>
      </w:pPr>
    </w:p>
    <w:bookmarkStart w:id="9" w:name="page10"/>
    <w:bookmarkEnd w:id="9"/>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first three months of 2016 and 2017, certain sponsored investment portfolios in which we provided initial seed capital at the time of formation were deconsolidated, as we no longer had a controlling interest. Additionally, during 2017 a sponsored investment portfolio that was being accounted for as an equity method investment was consolidated, as we regained a controlling interest. The net impact of these changes on our condensed consolidated balance sheets and income statements as of the dates the portfolios were deconsolidated or reconsolidated is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177165</wp:posOffset>
            </wp:positionV>
            <wp:extent cx="72377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62"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67945</wp:posOffset>
            </wp:positionV>
            <wp:extent cx="1663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7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3/31/2016</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3/31/2017</w:t>
            </w:r>
          </w:p>
        </w:tc>
      </w:tr>
      <w:tr>
        <w:trPr>
          <w:trHeight w:val="249"/>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assets of consolidated sponsored investment portfolios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w:t>
            </w:r>
          </w:p>
        </w:tc>
      </w:tr>
      <w:tr>
        <w:trPr>
          <w:trHeight w:val="24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liabilities of consolidated sponsored investment portfolios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7"/>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redeemable non-controlling interests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w:t>
            </w:r>
          </w:p>
        </w:tc>
      </w:tr>
      <w:tr>
        <w:trPr>
          <w:trHeight w:val="324"/>
        </w:trPr>
        <w:tc>
          <w:tcPr>
            <w:tcW w:w="8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recognized upon deconsolidation</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did not recognize any additional gain or loss in our consolidated statement of income upon deconsolidation as the sponsored investment portfolios’ functional currencies were U.S. dollars and were carried at fair value. Depending on our ownership interest, we are now reporting our residual interests in these sponsored investment portfolios as either equity method or available-for-sale investments.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AVAILABLE-FOR-SALE SPONSORED INVESTMENT PORTFOLIOS.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available-for-sale sponsored investment portfolios (in millions) include: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7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6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Unrealized holding</w:t>
            </w: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7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Aggregate cost</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196"/>
        </w:trPr>
        <w:tc>
          <w:tcPr>
            <w:tcW w:w="5160" w:type="dxa"/>
            <w:vAlign w:val="bottom"/>
            <w:gridSpan w:val="4"/>
          </w:tcPr>
          <w:p>
            <w:pPr>
              <w:ind w:left="40"/>
              <w:spacing w:after="0" w:line="196" w:lineRule="exact"/>
              <w:rPr>
                <w:sz w:val="20"/>
                <w:szCs w:val="20"/>
                <w:color w:val="auto"/>
              </w:rPr>
            </w:pPr>
            <w:r>
              <w:rPr>
                <w:rFonts w:ascii="Times New Roman" w:cs="Times New Roman" w:eastAsia="Times New Roman" w:hAnsi="Times New Roman"/>
                <w:sz w:val="18"/>
                <w:szCs w:val="18"/>
                <w:color w:val="auto"/>
              </w:rPr>
              <w:t>December 31, 2016</w:t>
            </w: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3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and blended asset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162.9</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249.0</w:t>
            </w:r>
          </w:p>
        </w:tc>
      </w:tr>
      <w:tr>
        <w:trPr>
          <w:trHeight w:val="243"/>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Bond funds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460.0</w:t>
            </w:r>
          </w:p>
        </w:tc>
      </w:tr>
      <w:tr>
        <w:trPr>
          <w:trHeight w:val="27"/>
        </w:trPr>
        <w:tc>
          <w:tcPr>
            <w:tcW w:w="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1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626.2</w:t>
            </w:r>
          </w:p>
        </w:tc>
        <w:tc>
          <w:tcPr>
            <w:tcW w:w="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709.0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3"/>
        </w:trPr>
        <w:tc>
          <w:tcPr>
            <w:tcW w:w="516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March 31, 2017</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7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r>
      <w:tr>
        <w:trPr>
          <w:trHeight w:val="243"/>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Stock and blended asset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131.3</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21"/>
                <w:szCs w:val="21"/>
                <w:color w:val="auto"/>
              </w:rPr>
            </w:pP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186.0</w:t>
            </w: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Bond funds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521.8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520.3</w:t>
            </w:r>
          </w:p>
        </w:tc>
      </w:tr>
      <w:tr>
        <w:trPr>
          <w:trHeight w:val="257"/>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653.1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706.3</w:t>
            </w:r>
          </w:p>
        </w:tc>
      </w:tr>
      <w:tr>
        <w:trPr>
          <w:trHeight w:val="20"/>
        </w:trPr>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details the number of holdings, the unrealized holding losses, and the aggregate fair value of available-for-sale sponsored investment portfolios with unrealized losses categorized by the length of time they have been in a continuous unrealized loss position:</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65"/>
        </w:trPr>
        <w:tc>
          <w:tcPr>
            <w:tcW w:w="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holdings</w:t>
            </w: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196"/>
        </w:trPr>
        <w:tc>
          <w:tcPr>
            <w:tcW w:w="672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color w:val="auto"/>
              </w:rPr>
              <w:t>December 31, 2016</w:t>
            </w:r>
          </w:p>
        </w:tc>
        <w:tc>
          <w:tcPr>
            <w:tcW w:w="12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5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79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than 12 months</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328.1</w:t>
            </w:r>
          </w:p>
        </w:tc>
      </w:tr>
      <w:tr>
        <w:trPr>
          <w:trHeight w:val="243"/>
        </w:trPr>
        <w:tc>
          <w:tcPr>
            <w:tcW w:w="79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12 months or more</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169.5</w:t>
            </w:r>
          </w:p>
        </w:tc>
      </w:tr>
      <w:tr>
        <w:trPr>
          <w:trHeight w:val="27"/>
        </w:trPr>
        <w:tc>
          <w:tcPr>
            <w:tcW w:w="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79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497.6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3"/>
        </w:trPr>
        <w:tc>
          <w:tcPr>
            <w:tcW w:w="20" w:type="dxa"/>
            <w:vAlign w:val="bottom"/>
            <w:shd w:val="clear" w:color="auto" w:fill="CCEEFF"/>
          </w:tcPr>
          <w:p>
            <w:pPr>
              <w:spacing w:after="0"/>
              <w:rPr>
                <w:sz w:val="17"/>
                <w:szCs w:val="17"/>
                <w:color w:val="auto"/>
              </w:rPr>
            </w:pPr>
          </w:p>
        </w:tc>
        <w:tc>
          <w:tcPr>
            <w:tcW w:w="792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March 31, 2017</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52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7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than 12 months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140.0</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7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 months or more</w:t>
            </w:r>
          </w:p>
        </w:tc>
        <w:tc>
          <w:tcPr>
            <w:tcW w:w="1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170.0</w:t>
            </w:r>
          </w:p>
        </w:tc>
      </w:tr>
      <w:tr>
        <w:trPr>
          <w:trHeight w:val="257"/>
        </w:trPr>
        <w:tc>
          <w:tcPr>
            <w:tcW w:w="6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310.0</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61"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10</w:t>
      </w:r>
    </w:p>
    <w:p>
      <w:pPr>
        <w:sectPr>
          <w:pgSz w:w="11900" w:h="16838" w:orient="portrait"/>
          <w:cols w:equalWidth="0" w:num="1">
            <w:col w:w="11420"/>
          </w:cols>
          <w:pgMar w:left="240" w:top="661" w:right="239" w:bottom="1440" w:gutter="0" w:footer="0" w:header="0"/>
          <w:type w:val="continuous"/>
        </w:sectPr>
      </w:pPr>
    </w:p>
    <w:bookmarkStart w:id="10" w:name="page11"/>
    <w:bookmarkEnd w:id="10"/>
    <w:p>
      <w:pPr>
        <w:spacing w:after="0" w:line="266" w:lineRule="auto"/>
        <w:rPr>
          <w:sz w:val="20"/>
          <w:szCs w:val="20"/>
          <w:color w:val="auto"/>
        </w:rPr>
      </w:pPr>
      <w:r>
        <w:rPr>
          <w:rFonts w:ascii="Times New Roman" w:cs="Times New Roman" w:eastAsia="Times New Roman" w:hAnsi="Times New Roman"/>
          <w:sz w:val="18"/>
          <w:szCs w:val="18"/>
          <w:color w:val="auto"/>
        </w:rPr>
        <w:t>In addition to the duration of the impairments, we reviewed the severity of the impairment as well as our intent and ability to hold the investments for a period of time sufficient for an anticipated recovery in fair value. Accordingly, impairment of these investment holdings is considered temporary at December 31, 2016 and March 31, 2017.</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INTEREST ENTITIES.</w:t>
      </w:r>
    </w:p>
    <w:p>
      <w:pPr>
        <w:spacing w:after="0" w:line="9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investments at December 31, 2016 and March 31, 2017, include interests in variable interest entities that we do not consolidate as we are not deemed the primary beneficiary. Our maximum risk of loss (in millions) related to our involvement with these entities is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83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12/31/2016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3/31/2017</w:t>
            </w:r>
          </w:p>
        </w:tc>
      </w:tr>
      <w:tr>
        <w:trPr>
          <w:trHeight w:val="242"/>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carrying values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149.2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208.3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Unfunded capital commitments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51.1</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Uncollected investment advisory and administrative fees</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265.8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The unfunded capital commitments totaling $51.1 million relate primarily to investment partnerships in which we have an existing investment. In addition to such amounts, a percentage of prior distributions may be called under certain circumstances.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determine the fair value of our cash equivalents and certain investments using the following broad levels of inputs as defined by related accounting standards: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securities.</w:t>
      </w:r>
    </w:p>
    <w:p>
      <w:pPr>
        <w:spacing w:after="0" w:line="27" w:lineRule="exact"/>
        <w:rPr>
          <w:sz w:val="20"/>
          <w:szCs w:val="20"/>
          <w:color w:val="auto"/>
        </w:rPr>
      </w:pPr>
    </w:p>
    <w:p>
      <w:pPr>
        <w:ind w:left="740" w:right="460" w:hanging="728"/>
        <w:spacing w:after="0" w:line="250" w:lineRule="auto"/>
        <w:rPr>
          <w:sz w:val="20"/>
          <w:szCs w:val="20"/>
          <w:color w:val="auto"/>
        </w:rPr>
      </w:pPr>
      <w:r>
        <w:rPr>
          <w:rFonts w:ascii="Times New Roman" w:cs="Times New Roman" w:eastAsia="Times New Roman" w:hAnsi="Times New Roman"/>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reflecting our own assumptions based on the best information available. We do not value any investments using Level 3 inputs.</w:t>
      </w:r>
    </w:p>
    <w:p>
      <w:pPr>
        <w:spacing w:after="0" w:line="153"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These levels are not necessarily an indication of the risk or liquidity associated with our investments. There have been no transfers between the levels. The following table summarizes our investments (in millions) that are recognized in our condensed consolidated balance sheets using fair value measurements determined based on the differing levels of inputs.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9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Level 2</w:t>
            </w:r>
          </w:p>
        </w:tc>
      </w:tr>
      <w:tr>
        <w:trPr>
          <w:trHeight w:val="196"/>
        </w:trPr>
        <w:tc>
          <w:tcPr>
            <w:tcW w:w="8340" w:type="dxa"/>
            <w:vAlign w:val="bottom"/>
            <w:gridSpan w:val="4"/>
          </w:tcPr>
          <w:p>
            <w:pPr>
              <w:ind w:left="40"/>
              <w:spacing w:after="0" w:line="196" w:lineRule="exact"/>
              <w:rPr>
                <w:sz w:val="20"/>
                <w:szCs w:val="20"/>
                <w:color w:val="auto"/>
              </w:rPr>
            </w:pPr>
            <w:r>
              <w:rPr>
                <w:rFonts w:ascii="Times New Roman" w:cs="Times New Roman" w:eastAsia="Times New Roman" w:hAnsi="Times New Roman"/>
                <w:sz w:val="18"/>
                <w:szCs w:val="18"/>
                <w:color w:val="auto"/>
              </w:rPr>
              <w:t>December 31, 2016</w:t>
            </w: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6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Available-for-sale sponsored investment portfolios</w:t>
            </w:r>
          </w:p>
        </w:tc>
        <w:tc>
          <w:tcPr>
            <w:tcW w:w="3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Sponsored investment portfolios held as trading</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15.1</w:t>
            </w:r>
          </w:p>
        </w:tc>
      </w:tr>
      <w:tr>
        <w:trPr>
          <w:trHeight w:val="297"/>
        </w:trPr>
        <w:tc>
          <w:tcPr>
            <w:tcW w:w="8340" w:type="dxa"/>
            <w:vAlign w:val="bottom"/>
            <w:tcBorders>
              <w:bottom w:val="single" w:sz="8" w:color="CCEEFF"/>
            </w:tcBorders>
            <w:gridSpan w:val="4"/>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1,821.6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15.1</w:t>
            </w:r>
          </w:p>
        </w:tc>
      </w:tr>
      <w:tr>
        <w:trPr>
          <w:trHeight w:val="284"/>
        </w:trPr>
        <w:tc>
          <w:tcPr>
            <w:tcW w:w="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03"/>
        </w:trPr>
        <w:tc>
          <w:tcPr>
            <w:tcW w:w="834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color w:val="auto"/>
              </w:rPr>
              <w:t>March 31, 2017</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6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1,408.8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Available-for-sale sponsored investment portfolios</w:t>
            </w:r>
          </w:p>
        </w:tc>
        <w:tc>
          <w:tcPr>
            <w:tcW w:w="3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Sponsored investment portfolios held as trading</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16.9</w:t>
            </w:r>
          </w:p>
        </w:tc>
      </w:tr>
      <w:tr>
        <w:trPr>
          <w:trHeight w:val="257"/>
        </w:trPr>
        <w:tc>
          <w:tcPr>
            <w:tcW w:w="83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2,179.3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16.9</w:t>
            </w:r>
          </w:p>
        </w:tc>
      </w:tr>
      <w:tr>
        <w:trPr>
          <w:trHeight w:val="20"/>
        </w:trPr>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table above excludes investments held by consolidated sponsored investment portfolios which are presented separately on our condensed consolidated balance sheets and are detailed in Note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11</w:t>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5 - CONSOLIDATED SPONSORED INVESTMENT PORTFOLIOS.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sponsored investment portfolios that we consolidate in our condensed consolidated financial statements are generally those products we provided initial seed capital at the time of their formation and have a controlling interest. Our U.S. sponsored investment portfolios are considered voting interest entities, while those regulated outside the U.S. are considered variable interest entities.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net assets of the consolidated sponsored investment portfolios: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4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232"/>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Variable</w:t>
            </w:r>
          </w:p>
        </w:tc>
        <w:tc>
          <w:tcPr>
            <w:tcW w:w="220" w:type="dxa"/>
            <w:vAlign w:val="bottom"/>
          </w:tcPr>
          <w:p>
            <w:pPr>
              <w:spacing w:after="0"/>
              <w:rPr>
                <w:sz w:val="12"/>
                <w:szCs w:val="12"/>
                <w:color w:val="auto"/>
              </w:rPr>
            </w:pPr>
          </w:p>
        </w:tc>
        <w:tc>
          <w:tcPr>
            <w:tcW w:w="78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180" w:type="dxa"/>
            <w:vAlign w:val="bottom"/>
          </w:tcPr>
          <w:p>
            <w:pPr>
              <w:spacing w:after="0"/>
              <w:rPr>
                <w:sz w:val="12"/>
                <w:szCs w:val="12"/>
                <w:color w:val="auto"/>
              </w:rPr>
            </w:pPr>
          </w:p>
        </w:tc>
        <w:tc>
          <w:tcPr>
            <w:tcW w:w="9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240" w:type="dxa"/>
            <w:vAlign w:val="bottom"/>
          </w:tcPr>
          <w:p>
            <w:pPr>
              <w:spacing w:after="0"/>
              <w:rPr>
                <w:sz w:val="12"/>
                <w:szCs w:val="12"/>
                <w:color w:val="auto"/>
              </w:rPr>
            </w:pPr>
          </w:p>
        </w:tc>
        <w:tc>
          <w:tcPr>
            <w:tcW w:w="76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4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interest entities</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entities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entities</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interest entities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1,559.9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1,106.5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1,274.3</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37"/>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234.4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1,446.1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1,680.5</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1,167.0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1,347.6</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65.6</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97"/>
        </w:trPr>
        <w:tc>
          <w:tcPr>
            <w:tcW w:w="44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assets</w:t>
            </w:r>
          </w:p>
        </w:tc>
        <w:tc>
          <w:tcPr>
            <w:tcW w:w="2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225.6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1,389.3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1,614.9</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1,140.8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1,310.7</w:t>
            </w:r>
          </w:p>
        </w:tc>
        <w:tc>
          <w:tcPr>
            <w:tcW w:w="0" w:type="dxa"/>
            <w:vAlign w:val="bottom"/>
          </w:tcPr>
          <w:p>
            <w:pPr>
              <w:spacing w:after="0"/>
              <w:rPr>
                <w:sz w:val="1"/>
                <w:szCs w:val="1"/>
                <w:color w:val="auto"/>
              </w:rPr>
            </w:pPr>
          </w:p>
        </w:tc>
      </w:tr>
      <w:tr>
        <w:trPr>
          <w:trHeight w:val="311"/>
        </w:trPr>
        <w:tc>
          <w:tcPr>
            <w:tcW w:w="4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Attributable to redeemable non-controlling interests</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69.5</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617.7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687.2</w:t>
            </w:r>
          </w:p>
        </w:tc>
        <w:tc>
          <w:tcPr>
            <w:tcW w:w="2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415.8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459.1</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Attributable to T. Rowe Price Group</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771.6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927.7</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851.6</w:t>
            </w:r>
          </w:p>
        </w:tc>
        <w:tc>
          <w:tcPr>
            <w:tcW w:w="0" w:type="dxa"/>
            <w:vAlign w:val="bottom"/>
          </w:tcPr>
          <w:p>
            <w:pPr>
              <w:spacing w:after="0"/>
              <w:rPr>
                <w:sz w:val="1"/>
                <w:szCs w:val="1"/>
                <w:color w:val="auto"/>
              </w:rPr>
            </w:pPr>
          </w:p>
        </w:tc>
      </w:tr>
      <w:tr>
        <w:trPr>
          <w:trHeight w:val="237"/>
        </w:trPr>
        <w:tc>
          <w:tcPr>
            <w:tcW w:w="4420" w:type="dxa"/>
            <w:vAlign w:val="bottom"/>
          </w:tcPr>
          <w:p>
            <w:pPr>
              <w:spacing w:after="0"/>
              <w:rPr>
                <w:sz w:val="20"/>
                <w:szCs w:val="20"/>
                <w:color w:val="auto"/>
              </w:rPr>
            </w:pPr>
          </w:p>
        </w:tc>
        <w:tc>
          <w:tcPr>
            <w:tcW w:w="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225.6</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1,389.3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1,614.9</w:t>
            </w:r>
          </w:p>
        </w:tc>
        <w:tc>
          <w:tcPr>
            <w:tcW w:w="22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1,140.8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1,310.7</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Although we can redeem our net interest in these sponsored investment portfolios at any time, we cannot directly access or sell the assets held by the portfolios to obtain cash for general operations. Additionally, the assets of these investment portfolios are not available to our general creditors.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Since third party investors in these investment funds have no recourse to our credit, our overall risk related to the net assets of consolidated sponsored investment portfolios is limited to valuation changes associated with our net interest. We, however, are required to recognize the valuation changes associated with all underlying investments held by these portfolios in our condensed consolidated statements of income, and disclose the portion attributable to third party investors as net income attributable to redeemable non-controlling interests.</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operating results (in millions) of the consolidated sponsored investment portfolios for the three months ended March 31, 2016 and 2017, are reflected in our condensed consolidated statements of income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24765</wp:posOffset>
            </wp:positionV>
            <wp:extent cx="43395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3/31/2016</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3/31/2017</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2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2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58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 entities</w:t>
            </w:r>
          </w:p>
        </w:tc>
        <w:tc>
          <w:tcPr>
            <w:tcW w:w="11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interest entities</w:t>
            </w:r>
          </w:p>
        </w:tc>
        <w:tc>
          <w:tcPr>
            <w:tcW w:w="2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1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interest entities</w:t>
            </w:r>
          </w:p>
        </w:tc>
        <w:tc>
          <w:tcPr>
            <w:tcW w:w="11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interest entities</w:t>
            </w:r>
          </w:p>
        </w:tc>
        <w:tc>
          <w:tcPr>
            <w:tcW w:w="2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 reflected in net operating income</w:t>
            </w:r>
          </w:p>
        </w:tc>
        <w:tc>
          <w:tcPr>
            <w:tcW w:w="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1"/>
                <w:szCs w:val="21"/>
                <w:color w:val="auto"/>
              </w:rPr>
            </w:pP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investment income reflected in non-operating income</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97"/>
        </w:trPr>
        <w:tc>
          <w:tcPr>
            <w:tcW w:w="4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Impact on income before taxes</w:t>
            </w: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365"/>
        </w:trPr>
        <w:tc>
          <w:tcPr>
            <w:tcW w:w="4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T. Rowe Price Group</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redeemable non-controlling</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interests</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12</w:t>
      </w:r>
    </w:p>
    <w:p>
      <w:pPr>
        <w:sectPr>
          <w:pgSz w:w="11900" w:h="16838" w:orient="portrait"/>
          <w:cols w:equalWidth="0" w:num="1">
            <w:col w:w="11420"/>
          </w:cols>
          <w:pgMar w:left="240" w:top="576" w:right="239" w:bottom="1440" w:gutter="0" w:footer="0" w:header="0"/>
        </w:sectPr>
      </w:pPr>
    </w:p>
    <w:bookmarkStart w:id="12" w:name="page13"/>
    <w:bookmarkEnd w:id="12"/>
    <w:p>
      <w:pPr>
        <w:ind w:right="180"/>
        <w:spacing w:after="0" w:line="261" w:lineRule="auto"/>
        <w:rPr>
          <w:sz w:val="20"/>
          <w:szCs w:val="20"/>
          <w:color w:val="auto"/>
        </w:rPr>
      </w:pPr>
      <w:r>
        <w:rPr>
          <w:rFonts w:ascii="Times New Roman" w:cs="Times New Roman" w:eastAsia="Times New Roman" w:hAnsi="Times New Roman"/>
          <w:sz w:val="18"/>
          <w:szCs w:val="18"/>
          <w:color w:val="auto"/>
        </w:rPr>
        <w:t>The operating expenses of these consolidated portfolios are reflected in other operating expenses. For the three months ended March 31, 2016 and 2017, we eliminated $1.3 million and $.8 million, respectively, of these expenses against our investment advisory and administrative fees earned in preparing our condensed consolidated financial statements. The net investment income reflected in non-operating income includes dividend and interest income and realized and unrealized gains and losses on the underlying securities held by the consolidated sponsored investment portfolios.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table below details the impact of these consolidated investment portfolios on the individual lines of our condensed consolidated statements of cash flows (in millions) for the three months ended March 31, 2016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114300</wp:posOffset>
            </wp:positionV>
            <wp:extent cx="72377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30"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24765</wp:posOffset>
            </wp:positionV>
            <wp:extent cx="43395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2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Variable</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56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 entities</w:t>
            </w:r>
          </w:p>
        </w:tc>
        <w:tc>
          <w:tcPr>
            <w:tcW w:w="11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interest entities</w:t>
            </w:r>
          </w:p>
        </w:tc>
        <w:tc>
          <w:tcPr>
            <w:tcW w:w="2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1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interest entities</w:t>
            </w:r>
          </w:p>
        </w:tc>
        <w:tc>
          <w:tcPr>
            <w:tcW w:w="11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interest entities</w:t>
            </w: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220" w:type="dxa"/>
            <w:vAlign w:val="bottom"/>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443.3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573.3</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consolidated sponsored investment portfolios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7"/>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 during period</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57"/>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80"/>
        <w:spacing w:after="0" w:line="313" w:lineRule="auto"/>
        <w:rPr>
          <w:sz w:val="20"/>
          <w:szCs w:val="20"/>
          <w:color w:val="auto"/>
        </w:rPr>
      </w:pPr>
      <w:r>
        <w:rPr>
          <w:rFonts w:ascii="Times New Roman" w:cs="Times New Roman" w:eastAsia="Times New Roman" w:hAnsi="Times New Roman"/>
          <w:sz w:val="17"/>
          <w:szCs w:val="17"/>
          <w:color w:val="auto"/>
        </w:rPr>
        <w:t>The net cash provided by (used in) financing activities during the first quarter of 2016 and 2017 includes 172.5 million and $22.2 million, respectively, of net subscriptions we made into the consolidated sponsored investment portfolios, net of dividends received. These cash flows were eliminated in consolidation.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MEASUREMENTS.</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determine the fair value of investments held by consolidated sponsored investment portfolios using the following broad levels of inputs as defined by related accounting standards: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securities.</w:t>
      </w:r>
    </w:p>
    <w:p>
      <w:pPr>
        <w:spacing w:after="0" w:line="27" w:lineRule="exact"/>
        <w:rPr>
          <w:sz w:val="20"/>
          <w:szCs w:val="20"/>
          <w:color w:val="auto"/>
        </w:rPr>
      </w:pPr>
    </w:p>
    <w:p>
      <w:pPr>
        <w:ind w:left="740" w:right="460" w:hanging="728"/>
        <w:spacing w:after="0" w:line="250" w:lineRule="auto"/>
        <w:rPr>
          <w:sz w:val="20"/>
          <w:szCs w:val="20"/>
          <w:color w:val="auto"/>
        </w:rPr>
      </w:pPr>
      <w:r>
        <w:rPr>
          <w:rFonts w:ascii="Times New Roman" w:cs="Times New Roman" w:eastAsia="Times New Roman" w:hAnsi="Times New Roman"/>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740" w:right="2500" w:hanging="728"/>
        <w:spacing w:after="0" w:line="261" w:lineRule="auto"/>
        <w:rPr>
          <w:sz w:val="20"/>
          <w:szCs w:val="20"/>
          <w:color w:val="auto"/>
        </w:rPr>
      </w:pPr>
      <w:r>
        <w:rPr>
          <w:rFonts w:ascii="Times New Roman" w:cs="Times New Roman" w:eastAsia="Times New Roman" w:hAnsi="Times New Roman"/>
          <w:sz w:val="18"/>
          <w:szCs w:val="18"/>
          <w:color w:val="auto"/>
        </w:rPr>
        <w:t>Level 3 – unobservable inputs reflecting our own assumptions based on the best information available. We do not value any investments using Level 3 inputs.</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These levels are not necessarily an indication of the risk or liquidity associated with these investment holdings. There have been no material transfers between the levels. The following table summarizes the investment holdings held by our consolidated sponsored investment portfolios (in millions) using fair value measurements determined based on the differing levels of inputs.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2220" w:type="dxa"/>
            <w:vAlign w:val="bottom"/>
            <w:shd w:val="clear" w:color="auto" w:fill="CCEEFF"/>
          </w:tcPr>
          <w:p>
            <w:pPr>
              <w:spacing w:after="0"/>
              <w:rPr>
                <w:sz w:val="23"/>
                <w:szCs w:val="23"/>
                <w:color w:val="auto"/>
              </w:rPr>
            </w:pPr>
          </w:p>
        </w:tc>
        <w:tc>
          <w:tcPr>
            <w:tcW w:w="53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Level 2</w:t>
            </w:r>
          </w:p>
        </w:tc>
      </w:tr>
      <w:tr>
        <w:trPr>
          <w:trHeight w:val="196"/>
        </w:trPr>
        <w:tc>
          <w:tcPr>
            <w:tcW w:w="366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8"/>
                <w:szCs w:val="18"/>
                <w:color w:val="auto"/>
              </w:rPr>
              <w:t>December 31, 2016</w:t>
            </w:r>
          </w:p>
        </w:tc>
        <w:tc>
          <w:tcPr>
            <w:tcW w:w="53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2220" w:type="dxa"/>
            <w:vAlign w:val="bottom"/>
          </w:tcPr>
          <w:p>
            <w:pPr>
              <w:spacing w:after="0"/>
              <w:rPr>
                <w:sz w:val="4"/>
                <w:szCs w:val="4"/>
                <w:color w:val="auto"/>
              </w:rPr>
            </w:pPr>
          </w:p>
        </w:tc>
        <w:tc>
          <w:tcPr>
            <w:tcW w:w="5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3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5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Cash equivalents</w:t>
            </w:r>
          </w:p>
        </w:tc>
        <w:tc>
          <w:tcPr>
            <w:tcW w:w="5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56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325.3</w:t>
            </w:r>
          </w:p>
        </w:tc>
      </w:tr>
      <w:tr>
        <w:trPr>
          <w:trHeight w:val="243"/>
        </w:trPr>
        <w:tc>
          <w:tcPr>
            <w:tcW w:w="40" w:type="dxa"/>
            <w:vAlign w:val="bottom"/>
          </w:tcPr>
          <w:p>
            <w:pPr>
              <w:spacing w:after="0"/>
              <w:rPr>
                <w:sz w:val="21"/>
                <w:szCs w:val="21"/>
                <w:color w:val="auto"/>
              </w:rPr>
            </w:pPr>
          </w:p>
        </w:tc>
        <w:tc>
          <w:tcPr>
            <w:tcW w:w="3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Fixed income securities</w:t>
            </w:r>
          </w:p>
        </w:tc>
        <w:tc>
          <w:tcPr>
            <w:tcW w:w="5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918.1</w:t>
            </w: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investments</w:t>
            </w:r>
          </w:p>
        </w:tc>
        <w:tc>
          <w:tcPr>
            <w:tcW w:w="5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34.3</w:t>
            </w:r>
          </w:p>
        </w:tc>
      </w:tr>
      <w:tr>
        <w:trPr>
          <w:trHeight w:val="237"/>
        </w:trPr>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291.0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1,278.5</w:t>
            </w:r>
          </w:p>
        </w:tc>
      </w:tr>
      <w:tr>
        <w:trPr>
          <w:trHeight w:val="67"/>
        </w:trPr>
        <w:tc>
          <w:tcPr>
            <w:tcW w:w="40" w:type="dxa"/>
            <w:vAlign w:val="bottom"/>
            <w:tcBorders>
              <w:bottom w:val="single" w:sz="8" w:color="CCEEFF"/>
            </w:tcBorders>
          </w:tcPr>
          <w:p>
            <w:pPr>
              <w:spacing w:after="0"/>
              <w:rPr>
                <w:sz w:val="5"/>
                <w:szCs w:val="5"/>
                <w:color w:val="auto"/>
              </w:rPr>
            </w:pPr>
          </w:p>
        </w:tc>
        <w:tc>
          <w:tcPr>
            <w:tcW w:w="1400" w:type="dxa"/>
            <w:vAlign w:val="bottom"/>
            <w:tcBorders>
              <w:bottom w:val="single" w:sz="8" w:color="CCEEFF"/>
            </w:tcBorders>
          </w:tcPr>
          <w:p>
            <w:pPr>
              <w:spacing w:after="0"/>
              <w:rPr>
                <w:sz w:val="5"/>
                <w:szCs w:val="5"/>
                <w:color w:val="auto"/>
              </w:rPr>
            </w:pPr>
          </w:p>
        </w:tc>
        <w:tc>
          <w:tcPr>
            <w:tcW w:w="2220" w:type="dxa"/>
            <w:vAlign w:val="bottom"/>
            <w:tcBorders>
              <w:bottom w:val="single" w:sz="8" w:color="CCEEFF"/>
            </w:tcBorders>
          </w:tcPr>
          <w:p>
            <w:pPr>
              <w:spacing w:after="0"/>
              <w:rPr>
                <w:sz w:val="5"/>
                <w:szCs w:val="5"/>
                <w:color w:val="auto"/>
              </w:rPr>
            </w:pPr>
          </w:p>
        </w:tc>
        <w:tc>
          <w:tcPr>
            <w:tcW w:w="53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78"/>
        </w:trPr>
        <w:tc>
          <w:tcPr>
            <w:tcW w:w="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220" w:type="dxa"/>
            <w:vAlign w:val="bottom"/>
            <w:shd w:val="clear" w:color="auto" w:fill="CCEEFF"/>
          </w:tcPr>
          <w:p>
            <w:pPr>
              <w:spacing w:after="0"/>
              <w:rPr>
                <w:sz w:val="24"/>
                <w:szCs w:val="24"/>
                <w:color w:val="auto"/>
              </w:rPr>
            </w:pPr>
          </w:p>
        </w:tc>
        <w:tc>
          <w:tcPr>
            <w:tcW w:w="53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36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5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600" w:type="dxa"/>
            <w:vAlign w:val="bottom"/>
            <w:gridSpan w:val="2"/>
          </w:tcPr>
          <w:p>
            <w:pPr>
              <w:jc w:val="right"/>
              <w:ind w:right="3170"/>
              <w:spacing w:after="0"/>
              <w:rPr>
                <w:sz w:val="20"/>
                <w:szCs w:val="20"/>
                <w:color w:val="auto"/>
              </w:rPr>
            </w:pPr>
            <w:r>
              <w:rPr>
                <w:rFonts w:ascii="Times New Roman" w:cs="Times New Roman" w:eastAsia="Times New Roman" w:hAnsi="Times New Roman"/>
                <w:sz w:val="18"/>
                <w:szCs w:val="18"/>
                <w:color w:val="auto"/>
              </w:rPr>
              <w:t>Page 13</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78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Level 2</w:t>
            </w:r>
          </w:p>
        </w:tc>
      </w:tr>
      <w:tr>
        <w:trPr>
          <w:trHeight w:val="296"/>
        </w:trPr>
        <w:tc>
          <w:tcPr>
            <w:tcW w:w="40" w:type="dxa"/>
            <w:vAlign w:val="bottom"/>
            <w:tcBorders>
              <w:top w:val="single" w:sz="8" w:color="CCEEFF"/>
            </w:tcBorders>
            <w:shd w:val="clear" w:color="auto" w:fill="CCEEFF"/>
          </w:tcPr>
          <w:p>
            <w:pPr>
              <w:spacing w:after="0"/>
              <w:rPr>
                <w:sz w:val="24"/>
                <w:szCs w:val="24"/>
                <w:color w:val="auto"/>
              </w:rPr>
            </w:pPr>
          </w:p>
        </w:tc>
        <w:tc>
          <w:tcPr>
            <w:tcW w:w="1140" w:type="dxa"/>
            <w:vAlign w:val="bottom"/>
            <w:tcBorders>
              <w:top w:val="single" w:sz="8" w:color="CCEEFF"/>
            </w:tcBorders>
            <w:shd w:val="clear" w:color="auto" w:fill="CCEEFF"/>
          </w:tcPr>
          <w:p>
            <w:pPr>
              <w:spacing w:after="0"/>
              <w:rPr>
                <w:sz w:val="24"/>
                <w:szCs w:val="24"/>
                <w:color w:val="auto"/>
              </w:rPr>
            </w:pPr>
          </w:p>
        </w:tc>
        <w:tc>
          <w:tcPr>
            <w:tcW w:w="784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r>
      <w:tr>
        <w:trPr>
          <w:trHeight w:val="203"/>
        </w:trPr>
        <w:tc>
          <w:tcPr>
            <w:tcW w:w="902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March 31, 2017</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7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318.0</w:t>
            </w:r>
          </w:p>
        </w:tc>
      </w:tr>
      <w:tr>
        <w:trPr>
          <w:trHeight w:val="243"/>
        </w:trPr>
        <w:tc>
          <w:tcPr>
            <w:tcW w:w="40" w:type="dxa"/>
            <w:vAlign w:val="bottom"/>
          </w:tcPr>
          <w:p>
            <w:pPr>
              <w:spacing w:after="0"/>
              <w:rPr>
                <w:sz w:val="21"/>
                <w:szCs w:val="21"/>
                <w:color w:val="auto"/>
              </w:rPr>
            </w:pPr>
          </w:p>
        </w:tc>
        <w:tc>
          <w:tcPr>
            <w:tcW w:w="8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Fixed income securities</w:t>
            </w: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651.9</w:t>
            </w: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9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investments</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10.9</w:t>
            </w: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299.2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981.8</w:t>
            </w:r>
          </w:p>
        </w:tc>
      </w:tr>
      <w:tr>
        <w:trPr>
          <w:trHeight w:val="67"/>
        </w:trPr>
        <w:tc>
          <w:tcPr>
            <w:tcW w:w="40" w:type="dxa"/>
            <w:vAlign w:val="bottom"/>
            <w:tcBorders>
              <w:bottom w:val="single" w:sz="8" w:color="CCEEFF"/>
            </w:tcBorders>
          </w:tcPr>
          <w:p>
            <w:pPr>
              <w:spacing w:after="0"/>
              <w:rPr>
                <w:sz w:val="5"/>
                <w:szCs w:val="5"/>
                <w:color w:val="auto"/>
              </w:rPr>
            </w:pPr>
          </w:p>
        </w:tc>
        <w:tc>
          <w:tcPr>
            <w:tcW w:w="1140" w:type="dxa"/>
            <w:vAlign w:val="bottom"/>
            <w:tcBorders>
              <w:bottom w:val="single" w:sz="8" w:color="CCEEFF"/>
            </w:tcBorders>
          </w:tcPr>
          <w:p>
            <w:pPr>
              <w:spacing w:after="0"/>
              <w:rPr>
                <w:sz w:val="5"/>
                <w:szCs w:val="5"/>
                <w:color w:val="auto"/>
              </w:rPr>
            </w:pPr>
          </w:p>
        </w:tc>
        <w:tc>
          <w:tcPr>
            <w:tcW w:w="78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78"/>
        </w:trPr>
        <w:tc>
          <w:tcPr>
            <w:tcW w:w="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78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9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Regular cash dividends declared per share during the first three months of 2016 and 2017 were $.54 and $.57, respectively.</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At March 31, 2017, a liability of $10.2 million is included in accounts payable and accrued expenses for common stock repurchases that settled by April 5, 2017.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status of, and changes in, our stock options during the first quarter of 2017.</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83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834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5"/>
        </w:trPr>
        <w:tc>
          <w:tcPr>
            <w:tcW w:w="8340" w:type="dxa"/>
            <w:vAlign w:val="bottom"/>
            <w:shd w:val="clear" w:color="auto" w:fill="CCEEFF"/>
          </w:tcPr>
          <w:p>
            <w:pPr>
              <w:spacing w:after="0"/>
              <w:rPr>
                <w:sz w:val="16"/>
                <w:szCs w:val="16"/>
                <w:color w:val="auto"/>
              </w:rPr>
            </w:pPr>
          </w:p>
        </w:tc>
        <w:tc>
          <w:tcPr>
            <w:tcW w:w="15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42"/>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24,364,322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61.90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(1,552,287)</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49.11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74.51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(32,437)</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75.84</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Outstanding at March 31, 2017</w:t>
            </w:r>
          </w:p>
        </w:tc>
        <w:tc>
          <w:tcPr>
            <w:tcW w:w="15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22,765,833</w:t>
            </w:r>
          </w:p>
        </w:tc>
        <w:tc>
          <w:tcPr>
            <w:tcW w:w="3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tcPr>
          <w:p>
            <w:pPr>
              <w:jc w:val="right"/>
              <w:ind w:right="17"/>
              <w:spacing w:after="0"/>
              <w:rPr>
                <w:sz w:val="20"/>
                <w:szCs w:val="20"/>
                <w:color w:val="auto"/>
              </w:rPr>
            </w:pPr>
            <w:r>
              <w:rPr>
                <w:rFonts w:ascii="Times New Roman" w:cs="Times New Roman" w:eastAsia="Times New Roman" w:hAnsi="Times New Roman"/>
                <w:sz w:val="18"/>
                <w:szCs w:val="18"/>
                <w:color w:val="auto"/>
              </w:rPr>
              <w:t>62.75</w:t>
            </w:r>
          </w:p>
        </w:tc>
        <w:tc>
          <w:tcPr>
            <w:tcW w:w="0" w:type="dxa"/>
            <w:vAlign w:val="bottom"/>
          </w:tcPr>
          <w:p>
            <w:pPr>
              <w:spacing w:after="0"/>
              <w:rPr>
                <w:sz w:val="1"/>
                <w:szCs w:val="1"/>
                <w:color w:val="auto"/>
              </w:rPr>
            </w:pPr>
          </w:p>
        </w:tc>
      </w:tr>
      <w:tr>
        <w:trPr>
          <w:trHeight w:val="251"/>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Exercisable at March 31, 2017</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15,947,980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57.92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SHARES AND STOCK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status of, and changes in, our nonvested restricted shares and restricted stock units during the first quarter of 2017.</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shd w:val="clear" w:color="auto" w:fill="CCEEFF"/>
          </w:tcPr>
          <w:p>
            <w:pPr>
              <w:spacing w:after="0"/>
              <w:rPr>
                <w:sz w:val="13"/>
                <w:szCs w:val="13"/>
                <w:color w:val="auto"/>
              </w:rPr>
            </w:pPr>
          </w:p>
        </w:tc>
        <w:tc>
          <w:tcPr>
            <w:tcW w:w="16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spacing w:after="0"/>
              <w:rPr>
                <w:sz w:val="12"/>
                <w:szCs w:val="12"/>
                <w:color w:val="auto"/>
              </w:rPr>
            </w:pPr>
          </w:p>
        </w:tc>
        <w:tc>
          <w:tcPr>
            <w:tcW w:w="1620" w:type="dxa"/>
            <w:vAlign w:val="bottom"/>
            <w:gridSpan w:val="2"/>
            <w:vMerge w:val="continue"/>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740" w:type="dxa"/>
            <w:vAlign w:val="bottom"/>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2"/>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Nonvested at December 31, 2016</w:t>
            </w: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931,508</w:t>
            </w:r>
          </w:p>
        </w:tc>
        <w:tc>
          <w:tcPr>
            <w:tcW w:w="12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4,634,461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72.19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Time-based grants</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39,558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66.77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78.67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72.92</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Nonvested at March 31, 2017</w:t>
            </w:r>
          </w:p>
        </w:tc>
        <w:tc>
          <w:tcPr>
            <w:tcW w:w="15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926,462</w:t>
            </w: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4,652,920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72.14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Nonvested at March 31, 2017, includes 14,400 performance-based restricted shares and 401,138 performance-based restricted stock units. These performance-based restricted shares and units include 14,400 restricted shares and 342,049 restricted stock units for which the performance period has lapsed and the performance threshold has been met.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14</w:t>
      </w:r>
    </w:p>
    <w:p>
      <w:pPr>
        <w:sectPr>
          <w:pgSz w:w="11900" w:h="16838" w:orient="portrait"/>
          <w:cols w:equalWidth="0" w:num="1">
            <w:col w:w="11420"/>
          </w:cols>
          <w:pgMar w:left="240" w:top="734"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FUTURE STOCK-BASED COMPENSATION EXPENSE.</w:t>
      </w:r>
    </w:p>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compensation expense (in millions) to be recognized over the remaining vesting periods of the stock-based awards outstanding at March 31, 2017. Estimated future compensation expense will change to reflect future option grants, future awards of unrestricted shares and restricted stock units, changes in the probability of performance thresholds being met, and adjustments for actual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3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Second quarter 2017</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Third quarter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Fourth quarter 2017</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2019 through 2022</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1025" w:hanging="1025"/>
        <w:spacing w:after="0"/>
        <w:tabs>
          <w:tab w:leader="none" w:pos="102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37.6</w:t>
      </w:r>
    </w:p>
    <w:p>
      <w:pPr>
        <w:spacing w:after="0" w:line="63" w:lineRule="exact"/>
        <w:rPr>
          <w:rFonts w:ascii="Times New Roman" w:cs="Times New Roman" w:eastAsia="Times New Roman" w:hAnsi="Times New Roman"/>
          <w:sz w:val="18"/>
          <w:szCs w:val="18"/>
          <w:color w:val="auto"/>
        </w:rPr>
      </w:pPr>
    </w:p>
    <w:p>
      <w:pPr>
        <w:ind w:left="102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37.8</w:t>
      </w:r>
    </w:p>
    <w:p>
      <w:pPr>
        <w:spacing w:after="0" w:line="63" w:lineRule="exact"/>
        <w:rPr>
          <w:rFonts w:ascii="Times New Roman" w:cs="Times New Roman" w:eastAsia="Times New Roman" w:hAnsi="Times New Roman"/>
          <w:sz w:val="18"/>
          <w:szCs w:val="18"/>
          <w:color w:val="auto"/>
        </w:rPr>
      </w:pPr>
    </w:p>
    <w:p>
      <w:pPr>
        <w:ind w:left="102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33.8</w:t>
      </w:r>
    </w:p>
    <w:p>
      <w:pPr>
        <w:spacing w:after="0" w:line="63" w:lineRule="exact"/>
        <w:rPr>
          <w:rFonts w:ascii="Times New Roman" w:cs="Times New Roman" w:eastAsia="Times New Roman" w:hAnsi="Times New Roman"/>
          <w:sz w:val="18"/>
          <w:szCs w:val="18"/>
          <w:color w:val="auto"/>
        </w:rPr>
      </w:pPr>
    </w:p>
    <w:p>
      <w:pPr>
        <w:ind w:left="102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85.7</w:t>
      </w:r>
    </w:p>
    <w:p>
      <w:pPr>
        <w:spacing w:after="0" w:line="63" w:lineRule="exact"/>
        <w:rPr>
          <w:rFonts w:ascii="Times New Roman" w:cs="Times New Roman" w:eastAsia="Times New Roman" w:hAnsi="Times New Roman"/>
          <w:sz w:val="18"/>
          <w:szCs w:val="18"/>
          <w:color w:val="auto"/>
        </w:rPr>
      </w:pPr>
    </w:p>
    <w:p>
      <w:pPr>
        <w:ind w:left="102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9347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7" w:lineRule="exact"/>
        <w:rPr>
          <w:sz w:val="20"/>
          <w:szCs w:val="20"/>
          <w:color w:val="auto"/>
        </w:rPr>
      </w:pPr>
    </w:p>
    <w:p>
      <w:pPr>
        <w:ind w:left="925" w:hanging="925"/>
        <w:spacing w:after="0"/>
        <w:tabs>
          <w:tab w:leader="none" w:pos="92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9347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51435</wp:posOffset>
            </wp:positionV>
            <wp:extent cx="9347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255" w:space="720"/>
            <w:col w:w="1445"/>
          </w:cols>
          <w:pgMar w:left="240" w:top="580" w:right="2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EARNINGS PER SHARE CALCULATIONS.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reconciliation (in millions) of net income attributable to T. Rowe Price Group to net income allocated to our common stockholders and the weighted-average shares (in millions) that are used in calculating the basic and diluted earnings per share on our common stock. Weighted-average common shares outstanding assuming dilution reflect the potential dilution, determined using the treasury stock method, that could occur if outstanding stock options were exercised and non-participating stock awards vested.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800" w:type="dxa"/>
            <w:vAlign w:val="bottom"/>
            <w:tcBorders>
              <w:bottom w:val="single" w:sz="8" w:color="auto"/>
            </w:tcBorders>
            <w:gridSpan w:val="4"/>
            <w:shd w:val="clear" w:color="auto" w:fill="CCEEFF"/>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59"/>
        </w:trPr>
        <w:tc>
          <w:tcPr>
            <w:tcW w:w="83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3/31/2016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3/31/2017</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T. Rowe Price Group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385.9</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income allocated to outstanding restricted stock and stock unit holders</w:t>
            </w:r>
          </w:p>
        </w:tc>
        <w:tc>
          <w:tcPr>
            <w:tcW w:w="2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8.7</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allocated to common stockholders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377.2</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304"/>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246.7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242.1</w:t>
            </w:r>
          </w:p>
        </w:tc>
      </w:tr>
      <w:tr>
        <w:trPr>
          <w:trHeight w:val="251"/>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assuming dilution</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245.5</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following table shows the weighted-average outstanding stock options (in millions) that are excluded from the calculation of diluted earnings per common share as the inclusion of such shares would be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81"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24765</wp:posOffset>
            </wp:positionV>
            <wp:extent cx="19551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3/31/2016</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3/31/2017</w:t>
            </w:r>
          </w:p>
        </w:tc>
      </w:tr>
      <w:tr>
        <w:trPr>
          <w:trHeight w:val="262"/>
        </w:trPr>
        <w:tc>
          <w:tcPr>
            <w:tcW w:w="9400" w:type="dxa"/>
            <w:vAlign w:val="bottom"/>
            <w:gridSpan w:val="2"/>
            <w:shd w:val="clear" w:color="auto" w:fill="CCEEFF"/>
          </w:tcPr>
          <w:p>
            <w:pPr>
              <w:jc w:val="right"/>
              <w:ind w:right="5408"/>
              <w:spacing w:after="0"/>
              <w:rPr>
                <w:sz w:val="20"/>
                <w:szCs w:val="20"/>
                <w:color w:val="auto"/>
              </w:rPr>
            </w:pPr>
            <w:r>
              <w:rPr>
                <w:rFonts w:ascii="Times New Roman" w:cs="Times New Roman" w:eastAsia="Times New Roman" w:hAnsi="Times New Roman"/>
                <w:sz w:val="18"/>
                <w:szCs w:val="18"/>
                <w:color w:val="auto"/>
              </w:rPr>
              <w:t>Weighted-average outstanding stock options excluded</w:t>
            </w:r>
          </w:p>
        </w:tc>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10.8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15</w:t>
      </w:r>
    </w:p>
    <w:p>
      <w:pPr>
        <w:sectPr>
          <w:pgSz w:w="11900" w:h="16838" w:orient="portrait"/>
          <w:cols w:equalWidth="0" w:num="1">
            <w:col w:w="11420"/>
          </w:cols>
          <w:pgMar w:left="240" w:top="580" w:right="2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9 - OTHER COMPREHENSIVE INCOME AND ACCUMULATED OTHER COMPREHENSIVE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impact of the components (in millions) of other comprehensive income or loss on deferred tax benefits (income taxes).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shd w:val="clear" w:color="auto" w:fill="CCEEFF"/>
          </w:tcPr>
          <w:p>
            <w:pPr>
              <w:spacing w:after="0"/>
              <w:rPr>
                <w:sz w:val="17"/>
                <w:szCs w:val="17"/>
                <w:color w:val="auto"/>
              </w:rPr>
            </w:pPr>
          </w:p>
        </w:tc>
        <w:tc>
          <w:tcPr>
            <w:tcW w:w="2640" w:type="dxa"/>
            <w:vAlign w:val="bottom"/>
            <w:tcBorders>
              <w:bottom w:val="single" w:sz="8" w:color="auto"/>
            </w:tcBorders>
            <w:gridSpan w:val="4"/>
            <w:shd w:val="clear" w:color="auto" w:fill="CCEEFF"/>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Borders>
              <w:bottom w:val="single" w:sz="8" w:color="auto"/>
            </w:tcBorders>
            <w:shd w:val="clear" w:color="auto" w:fill="CCEEFF"/>
          </w:tcPr>
          <w:p>
            <w:pPr>
              <w:spacing w:after="0"/>
              <w:rPr>
                <w:sz w:val="17"/>
                <w:szCs w:val="17"/>
                <w:color w:val="auto"/>
              </w:rPr>
            </w:pPr>
          </w:p>
        </w:tc>
      </w:tr>
      <w:tr>
        <w:trPr>
          <w:trHeight w:val="259"/>
        </w:trPr>
        <w:tc>
          <w:tcPr>
            <w:tcW w:w="83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3/31/2016</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3/31/2017</w:t>
            </w:r>
          </w:p>
        </w:tc>
        <w:tc>
          <w:tcPr>
            <w:tcW w:w="440" w:type="dxa"/>
            <w:vAlign w:val="bottom"/>
            <w:tcBorders>
              <w:bottom w:val="single" w:sz="8" w:color="auto"/>
            </w:tcBorders>
          </w:tcPr>
          <w:p>
            <w:pPr>
              <w:spacing w:after="0"/>
              <w:rPr>
                <w:sz w:val="22"/>
                <w:szCs w:val="22"/>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deferred tax benefits (income taxes) on:</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unrealized holding gains or losses</w:t>
            </w:r>
          </w:p>
        </w:tc>
        <w:tc>
          <w:tcPr>
            <w:tcW w:w="106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04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7"/>
        </w:trPr>
        <w:tc>
          <w:tcPr>
            <w:tcW w:w="8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adjustments recognized in the provision for income taxes:</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gains realized on dispositions</w:t>
            </w:r>
          </w:p>
        </w:tc>
        <w:tc>
          <w:tcPr>
            <w:tcW w:w="10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r>
      <w:tr>
        <w:trPr>
          <w:trHeight w:val="27"/>
        </w:trPr>
        <w:tc>
          <w:tcPr>
            <w:tcW w:w="83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deferred tax benefits on net unrealized holding gains or losses</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deferred income taxes on currency translation adjustments</w:t>
            </w:r>
          </w:p>
        </w:tc>
        <w:tc>
          <w:tcPr>
            <w:tcW w:w="10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83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deferred tax benefits (income taxes)</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8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changes (in millions) in each component of accumulated other comprehensive income, including reclassification adjustments for the first quarter of 2017 are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3"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4"/>
          <w:szCs w:val="14"/>
          <w:b w:val="1"/>
          <w:bCs w:val="1"/>
          <w:color w:val="auto"/>
        </w:rPr>
        <w:t>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24765</wp:posOffset>
            </wp:positionV>
            <wp:extent cx="25298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sponsored</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Total currency</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 method</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portfolios -</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variable interest</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at December 31, 2016</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5"/>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income taxes</w:t>
            </w:r>
          </w:p>
        </w:tc>
        <w:tc>
          <w:tcPr>
            <w:tcW w:w="16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 adjustments recognized in non-operating</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deferred tax benefits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at March 31, 2017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DELL APPRAISAL RIGHTS MATTER.</w:t>
      </w:r>
    </w:p>
    <w:p>
      <w:pPr>
        <w:spacing w:after="0" w:line="229" w:lineRule="exact"/>
        <w:rPr>
          <w:sz w:val="20"/>
          <w:szCs w:val="20"/>
          <w:color w:val="auto"/>
        </w:rPr>
      </w:pPr>
    </w:p>
    <w:p>
      <w:pPr>
        <w:ind w:right="80"/>
        <w:spacing w:after="0" w:line="313" w:lineRule="auto"/>
        <w:rPr>
          <w:sz w:val="20"/>
          <w:szCs w:val="20"/>
          <w:color w:val="auto"/>
        </w:rPr>
      </w:pPr>
      <w:r>
        <w:rPr>
          <w:rFonts w:ascii="Times New Roman" w:cs="Times New Roman" w:eastAsia="Times New Roman" w:hAnsi="Times New Roman"/>
          <w:sz w:val="17"/>
          <w:szCs w:val="17"/>
          <w:color w:val="auto"/>
        </w:rPr>
        <w:t>In 2016, we paid $166.2 million to compensate certain T. Rowe Price mutual funds, trusts, separately managed accounts, and subadvised clients (collectively, Clients) for the denial of their appraisal rights by the Delaware Chancery Court (Court) in connection with the 2013 leveraged buyout of Dell, Inc. (Dell).</w:t>
      </w:r>
    </w:p>
    <w:p>
      <w:pPr>
        <w:spacing w:after="0" w:line="13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Court ruled on May 11, 2016, that the Clients could not pursue an appraisal of any shares they held that were voted in favor of the Dell merger. The appraisal statute governing the transaction required the record holder to vote against or abstain from voting on the transaction in order to assert appraisal rights. After previously voting against prior transaction proposals, the voting instructions submitted on behalf of the Clients in connection with voting on the final proposed transaction were incorrectly submitted in favor of the transaction. On May 31, 2016, the Court determined that the fair value of Dell at the time of the merger was $17.62 per share, as opposed to the $13.75 price offered in the transaction. As a result, any shareholder perfecting appraisal rights is entitled to a payment at $17.62 per share plus statutory interest from the date the Dell transaction closed. The compensation to Clients was intended to make them whole for the voting discrepancy that resulted in the denial of their appraisal rights.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December 30, 2016, we signed a settlement agreement with our insurance carrier for insurance proceeds totaling $100.0 million related to this matter. We recognized the proceeds as a reduction to the $166.2 million nonrecurring charge that we recognized in the second quarter of 2016 and as a receivable in other assets at December 31, 2016. We received the insurance proceeds on January 24, 2017. In the first quarter of 2017, we recognized a reduction in operating expenses from insurance recoveries from other insurance carriers totaling an additional $50 million, of which $40 million was paid during the quarter and $10 million is recorded as a receivable in other assets at March 31, 2017.</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16</w:t>
      </w:r>
    </w:p>
    <w:p>
      <w:pPr>
        <w:sectPr>
          <w:pgSz w:w="11900" w:h="16838" w:orient="portrait"/>
          <w:cols w:equalWidth="0" w:num="1">
            <w:col w:w="11420"/>
          </w:cols>
          <w:pgMar w:left="240" w:top="630"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11 - SUPPLEMENTARY CONSOLIDATING CASH FLOW STATEMENT.</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cash flows (in millions) for the three months ended March 31, 2016 and 2017, that are attributable to T. Rowe Price Group, our consolidated sponsored investment portfolios and the related eliminations required in preparing the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24765</wp:posOffset>
            </wp:positionV>
            <wp:extent cx="54286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114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114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114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114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14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sponsored</w:t>
            </w: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14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sponsored</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 Rowe Price</w:t>
            </w:r>
          </w:p>
        </w:tc>
        <w:tc>
          <w:tcPr>
            <w:tcW w:w="114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0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vMerge w:val="restart"/>
            <w:shd w:val="clear" w:color="auto" w:fill="CCEEFF"/>
          </w:tcPr>
          <w:p>
            <w:pPr>
              <w:spacing w:after="0"/>
              <w:rPr>
                <w:sz w:val="12"/>
                <w:szCs w:val="12"/>
                <w:color w:val="auto"/>
              </w:rPr>
            </w:pPr>
          </w:p>
        </w:tc>
        <w:tc>
          <w:tcPr>
            <w:tcW w:w="8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20" w:type="dxa"/>
            <w:vAlign w:val="bottom"/>
            <w:vMerge w:val="restart"/>
            <w:shd w:val="clear" w:color="auto" w:fill="CCEEFF"/>
          </w:tcPr>
          <w:p>
            <w:pPr>
              <w:spacing w:after="0"/>
              <w:rPr>
                <w:sz w:val="12"/>
                <w:szCs w:val="12"/>
                <w:color w:val="auto"/>
              </w:rPr>
            </w:pPr>
          </w:p>
        </w:tc>
        <w:tc>
          <w:tcPr>
            <w:tcW w:w="114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 Rowe Price</w:t>
            </w:r>
          </w:p>
        </w:tc>
        <w:tc>
          <w:tcPr>
            <w:tcW w:w="114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80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   As reported</w:t>
            </w:r>
          </w:p>
        </w:tc>
        <w:tc>
          <w:tcPr>
            <w:tcW w:w="0" w:type="dxa"/>
            <w:vAlign w:val="bottom"/>
          </w:tcPr>
          <w:p>
            <w:pPr>
              <w:spacing w:after="0"/>
              <w:rPr>
                <w:sz w:val="1"/>
                <w:szCs w:val="1"/>
                <w:color w:val="auto"/>
              </w:rPr>
            </w:pPr>
          </w:p>
        </w:tc>
      </w:tr>
      <w:tr>
        <w:trPr>
          <w:trHeight w:val="195"/>
        </w:trPr>
        <w:tc>
          <w:tcPr>
            <w:tcW w:w="2880" w:type="dxa"/>
            <w:vAlign w:val="bottom"/>
            <w:shd w:val="clear" w:color="auto" w:fill="CCEEFF"/>
          </w:tcPr>
          <w:p>
            <w:pPr>
              <w:spacing w:after="0"/>
              <w:rPr>
                <w:sz w:val="16"/>
                <w:szCs w:val="16"/>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portfolios</w:t>
            </w: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portfolios</w:t>
            </w:r>
          </w:p>
        </w:tc>
        <w:tc>
          <w:tcPr>
            <w:tcW w:w="120" w:type="dxa"/>
            <w:vAlign w:val="bottom"/>
            <w:shd w:val="clear" w:color="auto" w:fill="CCEEFF"/>
          </w:tcPr>
          <w:p>
            <w:pPr>
              <w:spacing w:after="0"/>
              <w:rPr>
                <w:sz w:val="16"/>
                <w:szCs w:val="16"/>
                <w:color w:val="auto"/>
              </w:rPr>
            </w:pPr>
          </w:p>
        </w:tc>
        <w:tc>
          <w:tcPr>
            <w:tcW w:w="180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sectPr>
          <w:pgSz w:w="11900" w:h="16838" w:orient="portrait"/>
          <w:cols w:equalWidth="0" w:num="1">
            <w:col w:w="11420"/>
          </w:cols>
          <w:pgMar w:left="240" w:top="576" w:right="239" w:bottom="1440" w:gutter="0" w:footer="0" w:header="0"/>
        </w:sectPr>
      </w:pPr>
    </w:p>
    <w:tbl>
      <w:tblPr>
        <w:tblLayout w:type="fixed"/>
        <w:tblInd w:w="4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304.1</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52"/>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net cash provided by (used in)</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of</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w:t>
            </w:r>
          </w:p>
        </w:tc>
        <w:tc>
          <w:tcPr>
            <w:tcW w:w="2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2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Realized gains on dispositions of</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available-for-sale sponsored</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portfolios</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2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gains recognized on</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52"/>
        </w:trPr>
        <w:tc>
          <w:tcPr>
            <w:tcW w:w="2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change in trading securities</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held by consolidated sponsored</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portfolios</w:t>
            </w:r>
          </w:p>
        </w:tc>
        <w:tc>
          <w:tcPr>
            <w:tcW w:w="2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2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changes in assets and</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2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provided by operating</w:t>
            </w: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activities</w:t>
            </w:r>
          </w:p>
        </w:tc>
        <w:tc>
          <w:tcPr>
            <w:tcW w:w="2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507.4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5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activities</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173.9</w:t>
            </w:r>
          </w:p>
        </w:tc>
        <w:tc>
          <w:tcPr>
            <w:tcW w:w="0" w:type="dxa"/>
            <w:vAlign w:val="bottom"/>
          </w:tcPr>
          <w:p>
            <w:pPr>
              <w:spacing w:after="0"/>
              <w:rPr>
                <w:sz w:val="1"/>
                <w:szCs w:val="1"/>
                <w:color w:val="auto"/>
              </w:rPr>
            </w:pPr>
          </w:p>
        </w:tc>
      </w:tr>
      <w:tr>
        <w:trPr>
          <w:trHeight w:val="25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5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of</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sponsored investment</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portfolios</w:t>
            </w:r>
          </w:p>
        </w:tc>
        <w:tc>
          <w:tcPr>
            <w:tcW w:w="2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change in cash and cash</w:t>
            </w: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equivalents during period</w:t>
            </w:r>
          </w:p>
        </w:tc>
        <w:tc>
          <w:tcPr>
            <w:tcW w:w="2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year</w:t>
            </w:r>
          </w:p>
        </w:tc>
        <w:tc>
          <w:tcPr>
            <w:tcW w:w="2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and cash equivalents at end of</w:t>
            </w: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840" w:type="dxa"/>
            <w:vAlign w:val="bottom"/>
            <w:vMerge w:val="continue"/>
          </w:tcPr>
          <w:p>
            <w:pPr>
              <w:spacing w:after="0"/>
              <w:rPr>
                <w:sz w:val="17"/>
                <w:szCs w:val="17"/>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1,322.9</w:t>
            </w:r>
          </w:p>
        </w:tc>
        <w:tc>
          <w:tcPr>
            <w:tcW w:w="120" w:type="dxa"/>
            <w:vAlign w:val="bottom"/>
          </w:tcPr>
          <w:p>
            <w:pPr>
              <w:spacing w:after="0"/>
              <w:rPr>
                <w:sz w:val="17"/>
                <w:szCs w:val="17"/>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tcPr>
          <w:p>
            <w:pPr>
              <w:spacing w:after="0"/>
              <w:rPr>
                <w:sz w:val="17"/>
                <w:szCs w:val="17"/>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26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-5059045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-4441825</wp:posOffset>
            </wp:positionV>
            <wp:extent cx="7246620"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-3961130</wp:posOffset>
            </wp:positionV>
            <wp:extent cx="7246620" cy="445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-3206750</wp:posOffset>
            </wp:positionV>
            <wp:extent cx="7246620" cy="445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-2451735</wp:posOffset>
            </wp:positionV>
            <wp:extent cx="7246620"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-1834515</wp:posOffset>
            </wp:positionV>
            <wp:extent cx="7246620" cy="308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-942975</wp:posOffset>
            </wp:positionV>
            <wp:extent cx="7246620"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313.3</w:t>
            </w:r>
          </w:p>
        </w:tc>
        <w:tc>
          <w:tcPr>
            <w:tcW w:w="2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385.9</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400.4</w:t>
            </w:r>
          </w:p>
        </w:tc>
      </w:tr>
      <w:tr>
        <w:trPr>
          <w:trHeight w:val="1188"/>
        </w:trPr>
        <w:tc>
          <w:tcPr>
            <w:tcW w:w="14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r>
      <w:tr>
        <w:trPr>
          <w:trHeight w:val="270"/>
        </w:trPr>
        <w:tc>
          <w:tcPr>
            <w:tcW w:w="14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w:t>
            </w:r>
          </w:p>
        </w:tc>
      </w:tr>
      <w:tr>
        <w:trPr>
          <w:trHeight w:val="702"/>
        </w:trPr>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486"/>
        </w:trPr>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702"/>
        </w:trPr>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w:t>
            </w:r>
          </w:p>
        </w:tc>
      </w:tr>
      <w:tr>
        <w:trPr>
          <w:trHeight w:val="486"/>
        </w:trPr>
        <w:tc>
          <w:tcPr>
            <w:tcW w:w="14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344.0</w:t>
            </w:r>
          </w:p>
        </w:tc>
      </w:tr>
      <w:tr>
        <w:trPr>
          <w:trHeight w:val="27"/>
        </w:trPr>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439"/>
        </w:trPr>
        <w:tc>
          <w:tcPr>
            <w:tcW w:w="14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728.1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188.5</w:t>
            </w:r>
          </w:p>
        </w:tc>
      </w:tr>
      <w:tr>
        <w:trPr>
          <w:trHeight w:val="486"/>
        </w:trPr>
        <w:tc>
          <w:tcPr>
            <w:tcW w:w="14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207.8</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r>
      <w:tr>
        <w:trPr>
          <w:trHeight w:val="486"/>
        </w:trPr>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573.3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146.0</w:t>
            </w:r>
          </w:p>
        </w:tc>
      </w:tr>
      <w:tr>
        <w:trPr>
          <w:trHeight w:val="918"/>
        </w:trPr>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439"/>
        </w:trPr>
        <w:tc>
          <w:tcPr>
            <w:tcW w:w="14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360.5</w:t>
            </w:r>
          </w:p>
        </w:tc>
      </w:tr>
      <w:tr>
        <w:trPr>
          <w:trHeight w:val="486"/>
        </w:trPr>
        <w:tc>
          <w:tcPr>
            <w:tcW w:w="14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1,172.3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1,204.9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1,270.5</w:t>
            </w:r>
          </w:p>
        </w:tc>
      </w:tr>
      <w:tr>
        <w:trPr>
          <w:trHeight w:val="27"/>
        </w:trPr>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426"/>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1,400.4</w:t>
            </w:r>
          </w:p>
        </w:tc>
        <w:tc>
          <w:tcPr>
            <w:tcW w:w="2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1,580.8</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1,631.0</w:t>
            </w:r>
          </w:p>
        </w:tc>
      </w:tr>
      <w:tr>
        <w:trPr>
          <w:trHeight w:val="27"/>
        </w:trPr>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20" w:space="100"/>
            <w:col w:w="5100"/>
          </w:cols>
          <w:pgMar w:left="240" w:top="576" w:right="2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17</w:t>
      </w:r>
    </w:p>
    <w:p>
      <w:pPr>
        <w:sectPr>
          <w:pgSz w:w="11900" w:h="16838" w:orient="portrait"/>
          <w:cols w:equalWidth="0" w:num="1">
            <w:col w:w="11420"/>
          </w:cols>
          <w:pgMar w:left="240" w:top="576" w:right="2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Rowe Price Group, Inc.:</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reviewed the condensed consolidated balance sheet of T. Rowe Price Group, Inc. and subsidiaries (“the Company”) as of March 31, 2017, the related condensed consolidated statements of income, comprehensive income and cash flows for the three month periods ended March 31, 2017 and 2016, and the related condensed consolidated statement of stockholders’ equity for the three-month period ended March 31, 2017. These condensed consolidated financial statements are the responsibility of the Company’s management.</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previously audited, in accordance with standards of the Public Company Accounting Oversight Board (United States), the consolidated balance sheet of T. Rowe Price Group, Inc. and subsidiaries as of December 31, 2016, and the related consolidated statements of income, comprehensive income, stockholders’ equity, and cash flows for the year then ended (not presented herein); and in our report dated February 7, 2017, we expressed an unqualified opinion on those consolidated financial statements. In our opinion, the information set forth in the accompanying condensed consolidated balance sheet as of December 31, 2016, is fairly stated, in all material respects, in relation to the consolidated balance sheet from which it has been derived.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25, 2017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18</w:t>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revenues and net income are derived primarily from investment advisory services provided to individual and institutional investors in our sponsored U.S. mutual funds and other investment portfolios. The other investment portfolios include: separately managed accounts, subadvised funds, and other sponsored investment portfolios including collective investment trusts, target-date retirement trusts, open-ended investment products offered to investors outside the U.S., and portfolios offered through variable annuity life insurance plans in the U.S. Investment advisory clients domiciled outside the U.S. account for nearly 5% of our assets under management at March 31, 2017.</w:t>
      </w:r>
    </w:p>
    <w:p>
      <w:pPr>
        <w:spacing w:after="0" w:line="1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manage a broad range of U.S., international and global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 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remain debt-free with ample liquidity and resources that allow us to take advantage of attractive growth opportunities; invest in key capabilities, including investment professionals, technologies, and new product offerings; and, most importantly, provide our clients with strong investment management expertise and service both now and in the future. We expect to continue our investment in long-term initiatives to sustain and deepen our investment talent, add investment capabilities both in terms of new strategies and new investment vehicles, expand capabilities through enhanced technology, and broaden our distribution reach globally.</w:t>
      </w:r>
    </w:p>
    <w:p>
      <w:pPr>
        <w:spacing w:after="0" w:line="18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expect to increase our pace of spending on a series of key strategic priorities to address evolving client needs and to grow and further diversify our business. Based on these planned initiatives, we currently expect that our planned operating expenses, excluding the operating expense impact of the Dell appraisal rights matter, will grow about 10% in 2017 versus 2016. We could elect to moderate the pace of spending on our planned initiatives should markets decline significantly. In addition, other events not currently planned or expected could impact our expense levels.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BACKGROUND.</w:t>
      </w:r>
    </w:p>
    <w:p>
      <w:pPr>
        <w:spacing w:after="0" w:line="225"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U.S. stocks rose in the first quarter of 2017, continuing their post-election rally, helped by positive domestic economic data and signs of stronger growth around the world. Large-cap stocks outperformed their smaller peers. For much of the period, investors were optimistic that the new president and a Republican-controlled Congress would quickly pass legislation that would reduce tax rates, increase infrastructure spending, and ultimately contribute to stronger U.S. growth and corporate profits. Stocks struggled a bit in March, however, as the Federal Reserve raised short-term interest rates on March 15. Also, the failure of the House of Representatives to pass legislation replacing the Affordable Care Act raised some concerns that the president’s legislative agenda would have more difficulty passing through Congress than previously believed.</w:t>
      </w:r>
    </w:p>
    <w:p>
      <w:pPr>
        <w:spacing w:after="0" w:line="18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Stocks in developed non-U.S. markets performed better than U.S. shares, as a weaker dollar versus major non-U.S. currencies lifted returns in dollar terms. Japanese shares were flat in yen terms but rose more than 4% in U.S. dollar terms due to a stronger yen versus the dollar. In Europe, equity markets were buoyed by improving macroeconomic trends and produced good returns. UK shares returned about 5%, as the government formally began the two-year process of leaving the European Union in March.</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Emerging markets equities outperformed stocks in developed markets, helped in part by stronger currencies versus the dollar. Asian markets were led by India and South Korea. Latin American markets rose broadly. In emerging Europe, Russian shares fell more than 4% in dollar terms, as the economy remained sluggish, oil prices sagged, and hopes faded for U.S. sanctions to be lifted.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19</w:t>
      </w:r>
    </w:p>
    <w:p>
      <w:pPr>
        <w:sectPr>
          <w:pgSz w:w="11900" w:h="16838" w:orient="portrait"/>
          <w:cols w:equalWidth="0" w:num="1">
            <w:col w:w="11420"/>
          </w:cols>
          <w:pgMar w:left="240" w:top="576"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Returns of several major equity market indexes for the first quarter of 2017,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5"/>
        </w:trPr>
        <w:tc>
          <w:tcPr>
            <w:tcW w:w="9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120" w:type="dxa"/>
            <w:vAlign w:val="bottom"/>
            <w:tcBorders>
              <w:bottom w:val="single" w:sz="8" w:color="CCEEFF"/>
            </w:tcBorders>
          </w:tcPr>
          <w:p>
            <w:pPr>
              <w:spacing w:after="0"/>
              <w:rPr>
                <w:sz w:val="23"/>
                <w:szCs w:val="23"/>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3/31/2017</w:t>
            </w:r>
          </w:p>
        </w:tc>
      </w:tr>
      <w:tr>
        <w:trPr>
          <w:trHeight w:val="249"/>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S&amp;P 500 Index</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w:t>
            </w:r>
          </w:p>
        </w:tc>
      </w:tr>
      <w:tr>
        <w:trPr>
          <w:trHeight w:val="270"/>
        </w:trPr>
        <w:tc>
          <w:tcPr>
            <w:tcW w:w="972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NASDAQ Composite Index </w:t>
            </w:r>
            <w:r>
              <w:rPr>
                <w:rFonts w:ascii="Times New Roman" w:cs="Times New Roman" w:eastAsia="Times New Roman" w:hAnsi="Times New Roman"/>
                <w:sz w:val="25"/>
                <w:szCs w:val="25"/>
                <w:color w:val="auto"/>
                <w:vertAlign w:val="superscript"/>
              </w:rPr>
              <w:t>(1)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9.8%</w:t>
            </w: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Russell 2000 Index</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9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MSCI EAFE (Europe, Australasia, and Far East) Index</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MSCI Emerging Markets Index</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11.5%</w:t>
            </w:r>
          </w:p>
        </w:tc>
      </w:tr>
      <w:tr>
        <w:trPr>
          <w:trHeight w:val="333"/>
        </w:trPr>
        <w:tc>
          <w:tcPr>
            <w:tcW w:w="9720" w:type="dxa"/>
            <w:vAlign w:val="bottom"/>
            <w:gridSpan w:val="2"/>
          </w:tcPr>
          <w:p>
            <w:pPr>
              <w:ind w:left="60"/>
              <w:spacing w:after="0"/>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i w:val="1"/>
                <w:iCs w:val="1"/>
                <w:color w:val="auto"/>
              </w:rPr>
              <w:t xml:space="preserve"> returns exclude dividends</w:t>
            </w:r>
          </w:p>
        </w:tc>
        <w:tc>
          <w:tcPr>
            <w:tcW w:w="1700" w:type="dxa"/>
            <w:vAlign w:val="bottom"/>
          </w:tcPr>
          <w:p>
            <w:pPr>
              <w:spacing w:after="0"/>
              <w:rPr>
                <w:sz w:val="24"/>
                <w:szCs w:val="24"/>
                <w:color w:val="auto"/>
              </w:rPr>
            </w:pPr>
          </w:p>
        </w:tc>
      </w:tr>
    </w:tbl>
    <w:p>
      <w:pPr>
        <w:spacing w:after="0" w:line="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Global bond returns were mostly positive in the first quarter of 2017. In the U.S., investment-grade bond prices rose as long-term interest rates edged lower, even though the Fed raised short-term rates in March and Fed officials projected two more rate increases this year. The 10-year Treasury note yield slipped from 2.45% to 2.40% during the quarter. Municipal bonds outperformed taxable bonds, helped by limited issuance and a pickup in demand. High yield bonds struggled in March but outperformed high-quality bonds for the quarter, as investors continued to seek securities with attractive yields.</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Bonds in developed international markets produced solid returns, as stronger international currencies boosted returns in dollar terms. In Europe, increasing inflation and anticipation of rising U.S. interest rates pressured some bond yields higher. In Japan, the central bank continued pursuing its policy of keeping the 10-year government bond yield near 0%. Bonds in emerging markets outpaced bonds in developed markets, helped by investors’ demand for higher-yielding securities. In general, bonds denominated in local currencies did better than dollar-denominated debt.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Returns for several major bond market indexes for the first quarter of 2017,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5"/>
        </w:trPr>
        <w:tc>
          <w:tcPr>
            <w:tcW w:w="9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120" w:type="dxa"/>
            <w:vAlign w:val="bottom"/>
            <w:tcBorders>
              <w:bottom w:val="single" w:sz="8" w:color="CCEEFF"/>
            </w:tcBorders>
          </w:tcPr>
          <w:p>
            <w:pPr>
              <w:spacing w:after="0"/>
              <w:rPr>
                <w:sz w:val="23"/>
                <w:szCs w:val="23"/>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3/31/2017</w:t>
            </w:r>
          </w:p>
        </w:tc>
      </w:tr>
      <w:tr>
        <w:trPr>
          <w:trHeight w:val="249"/>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Bloomberg Barclays U.S. Aggregate Bond Index</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9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JPMorgan Global High Yield Index</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Bloomberg Barclays Municipal Bond Index</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9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Bloomberg Barclays Global Aggregate Ex-U.S. Dollar Bond Index</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97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JPMorgan Emerging Markets Bond Index Plus</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9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UNDER MANAGEMENT.</w:t>
      </w:r>
    </w:p>
    <w:p>
      <w:pPr>
        <w:spacing w:after="0" w:line="17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Assets under management ended the first quarter of 2017 at $861.6 billion, an increase of $50.8 billion from December 31, 2016. We had net cash inflows of $.7 billion in the first quarter of 2017. The following table presents our assets under management (in billions) at December 31, 2016, and March 31, 2017, by investment portfolio and asset class.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8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280" w:type="dxa"/>
            <w:vAlign w:val="bottom"/>
            <w:tcBorders>
              <w:bottom w:val="single" w:sz="8" w:color="auto"/>
            </w:tcBorders>
            <w:shd w:val="clear" w:color="auto" w:fill="CCEEFF"/>
          </w:tcPr>
          <w:p>
            <w:pPr>
              <w:spacing w:after="0"/>
              <w:rPr>
                <w:sz w:val="23"/>
                <w:szCs w:val="23"/>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12/31/2016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3/31/2017</w:t>
            </w: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Sponsored U.S. mutual funds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5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548.3</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investment portfolios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313.3</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 under management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861.6</w:t>
            </w: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22"/>
        </w:trPr>
        <w:tc>
          <w:tcPr>
            <w:tcW w:w="8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20" w:type="dxa"/>
            <w:vAlign w:val="bottom"/>
            <w:gridSpan w:val="3"/>
          </w:tcPr>
          <w:p>
            <w:pPr>
              <w:spacing w:after="0"/>
              <w:rPr>
                <w:sz w:val="10"/>
                <w:szCs w:val="10"/>
                <w:color w:val="auto"/>
              </w:rPr>
            </w:pPr>
          </w:p>
        </w:tc>
        <w:tc>
          <w:tcPr>
            <w:tcW w:w="1280" w:type="dxa"/>
            <w:vAlign w:val="bottom"/>
          </w:tcPr>
          <w:p>
            <w:pPr>
              <w:spacing w:after="0"/>
              <w:rPr>
                <w:sz w:val="10"/>
                <w:szCs w:val="10"/>
                <w:color w:val="auto"/>
              </w:rPr>
            </w:pPr>
          </w:p>
        </w:tc>
      </w:tr>
      <w:tr>
        <w:trPr>
          <w:trHeight w:val="265"/>
        </w:trPr>
        <w:tc>
          <w:tcPr>
            <w:tcW w:w="8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280" w:type="dxa"/>
            <w:vAlign w:val="bottom"/>
            <w:tcBorders>
              <w:bottom w:val="single" w:sz="8" w:color="auto"/>
            </w:tcBorders>
            <w:shd w:val="clear" w:color="auto" w:fill="CCEEFF"/>
          </w:tcPr>
          <w:p>
            <w:pPr>
              <w:spacing w:after="0"/>
              <w:rPr>
                <w:sz w:val="23"/>
                <w:szCs w:val="23"/>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12/31/2016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3/31/2017</w:t>
            </w: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5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482.9</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income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123.5</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allocation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255.2</w:t>
            </w:r>
          </w:p>
        </w:tc>
      </w:tr>
      <w:tr>
        <w:trPr>
          <w:trHeight w:val="25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 under management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861.6</w:t>
            </w: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20</w:t>
      </w:r>
    </w:p>
    <w:p>
      <w:pPr>
        <w:sectPr>
          <w:pgSz w:w="11900" w:h="16838" w:orient="portrait"/>
          <w:cols w:equalWidth="0" w:num="1">
            <w:col w:w="11420"/>
          </w:cols>
          <w:pgMar w:left="240" w:top="580" w:right="239" w:bottom="1440" w:gutter="0" w:footer="0" w:header="0"/>
          <w:type w:val="continuous"/>
        </w:sectPr>
      </w:pPr>
    </w:p>
    <w:bookmarkStart w:id="20" w:name="page21"/>
    <w:bookmarkEnd w:id="20"/>
    <w:p>
      <w:pPr>
        <w:spacing w:after="0" w:line="261" w:lineRule="auto"/>
        <w:rPr>
          <w:sz w:val="20"/>
          <w:szCs w:val="20"/>
          <w:color w:val="auto"/>
        </w:rPr>
      </w:pPr>
      <w:r>
        <w:rPr>
          <w:rFonts w:ascii="Times New Roman" w:cs="Times New Roman" w:eastAsia="Times New Roman" w:hAnsi="Times New Roman"/>
          <w:sz w:val="18"/>
          <w:szCs w:val="18"/>
          <w:color w:val="auto"/>
        </w:rPr>
        <w:t>Our target date retirement portfolios, which invest in a broadly diversified portfolio of other T. Rowe Price funds or T. Rowe Price collective investment trusts and automatically rebalance to maintain their specific asset allocation weightings, continue to be a significant part of our assets under management. Assets under management at March 31, 2017, in these target date portfolios totaled $202.6 billion, including $163.4 billion in target date retirement funds and $39.2 billion in target date retirement trusts.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changes in our assets under management (in billions) during the first quarter of 2017:</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shd w:val="clear" w:color="auto" w:fill="CCEEFF"/>
          </w:tcPr>
          <w:p>
            <w:pPr>
              <w:spacing w:after="0"/>
              <w:rPr>
                <w:sz w:val="13"/>
                <w:szCs w:val="13"/>
                <w:color w:val="auto"/>
              </w:rPr>
            </w:pPr>
          </w:p>
        </w:tc>
        <w:tc>
          <w:tcPr>
            <w:tcW w:w="114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Sponsored U.S.</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240" w:type="dxa"/>
            <w:vAlign w:val="bottom"/>
            <w:shd w:val="clear" w:color="auto" w:fill="CCEEFF"/>
          </w:tcPr>
          <w:p>
            <w:pPr>
              <w:spacing w:after="0"/>
              <w:rPr>
                <w:sz w:val="12"/>
                <w:szCs w:val="12"/>
                <w:color w:val="auto"/>
              </w:rPr>
            </w:pPr>
          </w:p>
        </w:tc>
        <w:tc>
          <w:tcPr>
            <w:tcW w:w="114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mutual funds</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portfolios</w:t>
            </w:r>
          </w:p>
        </w:tc>
        <w:tc>
          <w:tcPr>
            <w:tcW w:w="2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 under management at beginning of period</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514.2</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296.6</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810.8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flows before client transfers</w:t>
            </w:r>
          </w:p>
        </w:tc>
        <w:tc>
          <w:tcPr>
            <w:tcW w:w="1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Client transfers from mutual funds to other portfolios</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flows after client transfers</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market appreciation and income</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during the period</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 under management at March 31, 2017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548.3</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313.3</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861.6</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client transfers from mutual funds to other investment portfolios noted in the table above were primarily transfers from mutual funds to subadvised accounts.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cash flows after client transfers (in billions) during the first quarter of 2017, include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0"/>
        </w:trPr>
        <w:tc>
          <w:tcPr>
            <w:tcW w:w="99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3/31/2017</w:t>
            </w:r>
          </w:p>
        </w:tc>
      </w:tr>
      <w:tr>
        <w:trPr>
          <w:trHeight w:val="237"/>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Sponsored U.S. mutual funds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9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Stock and blended asset funds</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9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Bond funds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9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99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9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investment portfolios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 and blended assets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9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Fixed income, money market, and stable value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r>
      <w:tr>
        <w:trPr>
          <w:trHeight w:val="237"/>
        </w:trPr>
        <w:tc>
          <w:tcPr>
            <w:tcW w:w="99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9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cash flows after client transfers</w:t>
            </w: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9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net cash flows continue to be impacted in the first quarter of 2017 by clients reallocating to passive investments. Net cash inflows into our target date retirement portfolios were $2.3 billion in the first quarter of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21</w:t>
      </w:r>
    </w:p>
    <w:p>
      <w:pPr>
        <w:sectPr>
          <w:pgSz w:w="11900" w:h="16838" w:orient="portrait"/>
          <w:cols w:equalWidth="0" w:num="1">
            <w:col w:w="11420"/>
          </w:cols>
          <w:pgMar w:left="240" w:top="580"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RESULTS OF OPERATIONS.</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table below presents financial results on a U.S. GAAP basis as well as a non-GAAP basis to adjust for the impact of the consolidated sponsored investment portfolios and other non-operating income as well as the additional insurance recovery related to the Dell appraisal rights matter. We believe the non-GAAP financial measures below provide relevant and meaningful information to investors about our core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24765</wp:posOffset>
            </wp:positionV>
            <wp:extent cx="21609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9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 millions, except per-share data)</w:t>
            </w:r>
          </w:p>
        </w:tc>
        <w:tc>
          <w:tcPr>
            <w:tcW w:w="300" w:type="dxa"/>
            <w:vAlign w:val="bottom"/>
          </w:tcPr>
          <w:p>
            <w:pPr>
              <w:spacing w:after="0"/>
              <w:rPr>
                <w:sz w:val="22"/>
                <w:szCs w:val="22"/>
                <w:color w:val="auto"/>
              </w:rPr>
            </w:pPr>
          </w:p>
        </w:tc>
        <w:tc>
          <w:tcPr>
            <w:tcW w:w="12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3/31/2016</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3/31/2017</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Percentage change</w:t>
            </w:r>
          </w:p>
        </w:tc>
      </w:tr>
      <w:tr>
        <w:trPr>
          <w:trHeight w:val="323"/>
        </w:trPr>
        <w:tc>
          <w:tcPr>
            <w:tcW w:w="4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CCEEFF"/>
            </w:tcBorders>
            <w:shd w:val="clear" w:color="auto" w:fill="CCEEFF"/>
          </w:tcPr>
          <w:p>
            <w:pPr>
              <w:spacing w:after="0"/>
              <w:rPr>
                <w:sz w:val="24"/>
                <w:szCs w:val="24"/>
                <w:color w:val="auto"/>
              </w:rPr>
            </w:pPr>
          </w:p>
        </w:tc>
        <w:tc>
          <w:tcPr>
            <w:tcW w:w="1620" w:type="dxa"/>
            <w:vAlign w:val="bottom"/>
            <w:tcBorders>
              <w:top w:val="single" w:sz="8" w:color="CCEEFF"/>
            </w:tcBorders>
            <w:shd w:val="clear" w:color="auto" w:fill="CCEEFF"/>
          </w:tcPr>
          <w:p>
            <w:pPr>
              <w:spacing w:after="0"/>
              <w:rPr>
                <w:sz w:val="24"/>
                <w:szCs w:val="24"/>
                <w:color w:val="auto"/>
              </w:rPr>
            </w:pPr>
          </w:p>
        </w:tc>
        <w:tc>
          <w:tcPr>
            <w:tcW w:w="198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28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28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380" w:type="dxa"/>
            <w:vAlign w:val="bottom"/>
            <w:tcBorders>
              <w:top w:val="single" w:sz="8" w:color="auto"/>
            </w:tcBorders>
            <w:shd w:val="clear" w:color="auto" w:fill="CCEEFF"/>
          </w:tcPr>
          <w:p>
            <w:pPr>
              <w:spacing w:after="0"/>
              <w:rPr>
                <w:sz w:val="24"/>
                <w:szCs w:val="24"/>
                <w:color w:val="auto"/>
              </w:rPr>
            </w:pPr>
          </w:p>
        </w:tc>
      </w:tr>
      <w:tr>
        <w:trPr>
          <w:trHeight w:val="203"/>
        </w:trPr>
        <w:tc>
          <w:tcPr>
            <w:tcW w:w="4960" w:type="dxa"/>
            <w:vAlign w:val="bottom"/>
            <w:gridSpan w:val="5"/>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U.S. GAAP Basis</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6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496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advisory fees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870.8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991.1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120.3</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r>
      <w:tr>
        <w:trPr>
          <w:trHeight w:val="243"/>
        </w:trPr>
        <w:tc>
          <w:tcPr>
            <w:tcW w:w="49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994.1</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1,113.6</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119.5</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6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583.2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591.9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3"/>
        </w:trPr>
        <w:tc>
          <w:tcPr>
            <w:tcW w:w="49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Net operating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410.9</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521.7</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110.8</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27.0 %</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6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Non-operating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35.1 %</w:t>
            </w:r>
          </w:p>
        </w:tc>
      </w:tr>
      <w:tr>
        <w:trPr>
          <w:trHeight w:val="243"/>
        </w:trPr>
        <w:tc>
          <w:tcPr>
            <w:tcW w:w="49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Net income attributable to T. Rowe Price Group</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304.1</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385.9</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81.8</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5"/>
        </w:trPr>
        <w:tc>
          <w:tcPr>
            <w:tcW w:w="496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 on common stock of T. Rowe Price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1"/>
        </w:trPr>
        <w:tc>
          <w:tcPr>
            <w:tcW w:w="496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Group</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30.5 %</w:t>
            </w:r>
          </w:p>
        </w:tc>
      </w:tr>
      <w:tr>
        <w:trPr>
          <w:trHeight w:val="243"/>
        </w:trPr>
        <w:tc>
          <w:tcPr>
            <w:tcW w:w="49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 assuming dilution</w:t>
            </w:r>
          </w:p>
        </w:tc>
        <w:tc>
          <w:tcPr>
            <w:tcW w:w="3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251.9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245.5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03"/>
        </w:trPr>
        <w:tc>
          <w:tcPr>
            <w:tcW w:w="4960" w:type="dxa"/>
            <w:vAlign w:val="bottom"/>
            <w:gridSpan w:val="5"/>
          </w:tcPr>
          <w:p>
            <w:pPr>
              <w:ind w:left="40"/>
              <w:spacing w:after="0" w:line="202" w:lineRule="exact"/>
              <w:rPr>
                <w:sz w:val="20"/>
                <w:szCs w:val="20"/>
                <w:color w:val="auto"/>
              </w:rPr>
            </w:pPr>
            <w:r>
              <w:rPr>
                <w:rFonts w:ascii="Times New Roman" w:cs="Times New Roman" w:eastAsia="Times New Roman" w:hAnsi="Times New Roman"/>
                <w:sz w:val="17"/>
                <w:szCs w:val="17"/>
                <w:b w:val="1"/>
                <w:bCs w:val="1"/>
                <w:color w:val="auto"/>
              </w:rPr>
              <w:t>Adjusted</w:t>
            </w:r>
            <w:r>
              <w:rPr>
                <w:rFonts w:ascii="Times New Roman" w:cs="Times New Roman" w:eastAsia="Times New Roman" w:hAnsi="Times New Roman"/>
                <w:sz w:val="23"/>
                <w:szCs w:val="23"/>
                <w:b w:val="1"/>
                <w:bCs w:val="1"/>
                <w:color w:val="auto"/>
                <w:vertAlign w:val="superscript"/>
              </w:rPr>
              <w:t>(1)</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496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581.9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640.1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58.2</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49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Net income attributable to T. Rowe Price Group</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260.1</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297.2</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37.1</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5"/>
        </w:trPr>
        <w:tc>
          <w:tcPr>
            <w:tcW w:w="496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 on common stock of T. Rowe Price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1"/>
        </w:trPr>
        <w:tc>
          <w:tcPr>
            <w:tcW w:w="496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Group</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r>
      <w:tr>
        <w:trPr>
          <w:trHeight w:val="324"/>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960" w:type="dxa"/>
            <w:vAlign w:val="bottom"/>
            <w:gridSpan w:val="5"/>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Assets under management (in billions)</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1620" w:type="dxa"/>
            <w:vAlign w:val="bottom"/>
            <w:tcBorders>
              <w:top w:val="single" w:sz="8" w:color="auto"/>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r>
      <w:tr>
        <w:trPr>
          <w:trHeight w:val="243"/>
        </w:trPr>
        <w:tc>
          <w:tcPr>
            <w:tcW w:w="49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Average assets under management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728.1</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845.4</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117.3</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r>
      <w:tr>
        <w:trPr>
          <w:trHeight w:val="270"/>
        </w:trPr>
        <w:tc>
          <w:tcPr>
            <w:tcW w:w="49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Ending assets under management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764.6</w:t>
            </w:r>
          </w:p>
        </w:tc>
        <w:tc>
          <w:tcPr>
            <w:tcW w:w="2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861.6</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97.0</w:t>
            </w: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9"/>
          <w:szCs w:val="9"/>
          <w:i w:val="1"/>
          <w:iCs w:val="1"/>
          <w:color w:val="auto"/>
        </w:rPr>
        <w:t xml:space="preserve">(1 </w:t>
      </w:r>
      <w:r>
        <w:rPr>
          <w:rFonts w:ascii="Times New Roman" w:cs="Times New Roman" w:eastAsia="Times New Roman" w:hAnsi="Times New Roman"/>
          <w:sz w:val="14"/>
          <w:szCs w:val="14"/>
          <w:i w:val="1"/>
          <w:iCs w:val="1"/>
          <w:color w:val="auto"/>
        </w:rPr>
        <w:t>See the reconciliation to the comparable U.S. GAAP measures at the end of the results of operations sections of this management discussion and analysis.</w:t>
      </w:r>
    </w:p>
    <w:p>
      <w:pPr>
        <w:spacing w:after="0" w:line="17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Investment advisory fees earned in the first quarter of 2017 increased over the comparable 2016 quarter as average assets under our management increased $117.3 billion, or 16.1%, to $845.4 billion. The average annualized effective fee rate earned on our assets under management during the first quarter of 2017 was 47.5 basis points, compared with 48.1 basis points earned during the first quarter of 2016. Our effective fee rate has declined in part due to fee reductions we made to certain mutual funds and other portfolios in 2016. We regularly assess the competitiveness of such fees and will continue to make adjustments as deemed appropriate. Recent increases in money market fund yields have resulted in no fee waivers in the first quarter of 2017. Comparably, we waived $4.0 million in advisory fees and fund expenses from certain of our money market mutual funds in the first quarter of 2016 quarter.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22</w:t>
      </w:r>
    </w:p>
    <w:p>
      <w:pPr>
        <w:sectPr>
          <w:pgSz w:w="11900" w:h="16838" w:orient="portrait"/>
          <w:cols w:equalWidth="0" w:num="1">
            <w:col w:w="11420"/>
          </w:cols>
          <w:pgMar w:left="240" w:top="580" w:right="239" w:bottom="1440" w:gutter="0" w:footer="0" w:header="0"/>
        </w:sectPr>
      </w:pPr>
    </w:p>
    <w:bookmarkStart w:id="22" w:name="page23"/>
    <w:bookmarkEnd w:id="22"/>
    <w:p>
      <w:pPr>
        <w:ind w:right="260"/>
        <w:spacing w:after="0" w:line="266" w:lineRule="auto"/>
        <w:rPr>
          <w:sz w:val="20"/>
          <w:szCs w:val="20"/>
          <w:color w:val="auto"/>
        </w:rPr>
      </w:pPr>
      <w:r>
        <w:rPr>
          <w:rFonts w:ascii="Times New Roman" w:cs="Times New Roman" w:eastAsia="Times New Roman" w:hAnsi="Times New Roman"/>
          <w:sz w:val="18"/>
          <w:szCs w:val="18"/>
          <w:color w:val="auto"/>
        </w:rPr>
        <w:t>In the first quarter of 2017, we recognized a $50.0 million reduction in pre-tax operating expenses from successful insurance claims made in relation to the Dell appraisal rights matter. A quarterly summary of the financial impact of the Dell matter on our pre-tax operating expenses and pre-tax operating cash flows (in millions) since the matter arose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Pre-tax operating</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Pre-tax operating</w:t>
            </w:r>
          </w:p>
        </w:tc>
      </w:tr>
      <w:tr>
        <w:trPr>
          <w:trHeight w:val="261"/>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expense</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cash flow</w:t>
            </w:r>
          </w:p>
        </w:tc>
      </w:tr>
      <w:tr>
        <w:trPr>
          <w:trHeight w:val="237"/>
        </w:trPr>
        <w:tc>
          <w:tcPr>
            <w:tcW w:w="79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June 30, 2016</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30, 2016</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2016</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- 2016</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March 31, 2017</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2017 (expected)</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57"/>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impact from Dell appraisal rights matter</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0"/>
        </w:trPr>
        <w:tc>
          <w:tcPr>
            <w:tcW w:w="7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Our operating margin in the first quarter of 2017 was 46.8%, compared to 41.3% earned in the 2016 quarter. The insurance recovery related to the Dell appraisal rights matter we recognized in the first quarter of 2017 increased our operating margin by about 4.5%.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22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Investment advisory revenues earned in the first quarter of 2017 from the T. Rowe Price mutual funds distributed in the U.S. were $715.8 million, an increase of $83.7 million, or 13.2%, from the comparable 2016 quarter. Average mutual fund assets under management in the first quarter of 2017 were $536.5 billion, an increase of 15.2% from the average in the first quarter of 2016.</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Investment advisory revenues earned in the first quarter of 2017 from the other investment portfolios were $275.3 million, an increase of $36.6 million, or 15.3%, from the comparable 2016 quarter. Average assets under management for these portfolios in the first quarter of 2017 were $308.9 billion, an increase of 17.7% from the average in the first quarter of 2016.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Compensation and related costs was $397.4 million in the first quarter of 2017, an increase of $42.2 million, or 11.9%, compared to the first quarter of 2016. Our base salaries and related benefits have increased $21.0 million as a result of modest increases in base salaries at the beginning of 2017, combined with a 5.5% increase in our average staff size from the first quarter of 2016. Our interim accrual for annual variable compensation increased $18.4 million from the 2016 quarter. Our interim accrual for annual variable compensation program is recognized ratably over the year using the ratio of recognized quarterly net operating income to forecasted annual net operating income. Higher market valuations on a larger supplemental savings plan liability resulted in $6.7 million in additional compensation expense in the first quarter of 2017 compared with the 2016 period. The remainder of the change from the first quarter of 2016 is related to increases in our recruiting and relocation costs as we hired a number of key positions, increases in other employee-related costs, decreases in temporary personnel, and higher labor capitalization related to internally developed software as we continue to invest in its technology capabilities. We employed 6,474 associates at March 31, 2017.</w:t>
      </w:r>
    </w:p>
    <w:p>
      <w:pPr>
        <w:spacing w:after="0" w:line="18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Advertising and promotion costs were $25.6 million in the first quarter of 2017, compared with $23.1 million in the 2016 quarter. We currently expect advertising and promotion costs for 2017 to be up to 10% higher than the 2016 year as we execute on a number of strategic initiatives.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Occupancy and facility costs together with depreciation expense were $81.0 million in the first quarter of 2017, an increase of $7.4 million, or 10.1%, compared to the first quarter of 2016. The increase is primarily attributable to the added costs to update and enhance technology capabilities, including related maintenance programs.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Other operating expenses in the first quarter of 2017 were up $5.3 million from the comparable 2016 quarter. The increase is due to higher business demands and the firm's continued investment in its operating capabilities.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23</w:t>
      </w:r>
    </w:p>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Non-operating income</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Net non-operating income in the first quarter of 2017 was $115.0 million, an increase of $29.9 million from the 2016 quarter. The following table details the components of non-operating income (in millions) during the first quarter of 2016 and 2017 and the related change.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72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3/31/2016</w:t>
            </w:r>
          </w:p>
        </w:tc>
        <w:tc>
          <w:tcPr>
            <w:tcW w:w="2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3/31/2017</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Dollar change</w:t>
            </w:r>
          </w:p>
        </w:tc>
      </w:tr>
      <w:tr>
        <w:trPr>
          <w:trHeight w:val="323"/>
        </w:trPr>
        <w:tc>
          <w:tcPr>
            <w:tcW w:w="7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gains realized on dispositions of available-for-sale investments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52.3</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47.6</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gain and ordinary dividend distributions from sponsored fund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gains on sponsored equity method and trading investments</w:t>
            </w:r>
          </w:p>
        </w:tc>
        <w:tc>
          <w:tcPr>
            <w:tcW w:w="2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investment income on sponsored fund investments not consolidated</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investment income</w:t>
            </w:r>
          </w:p>
        </w:tc>
        <w:tc>
          <w:tcPr>
            <w:tcW w:w="2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earned from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61.3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investment income of consolidated sponsored investment portfolios</w:t>
            </w:r>
          </w:p>
        </w:tc>
        <w:tc>
          <w:tcPr>
            <w:tcW w:w="2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25.1</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non-operating income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r>
      <w:tr>
        <w:trPr>
          <w:trHeight w:val="257"/>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Non-operating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85.1</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29.9</w:t>
            </w: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For the first quarter of 2017, the impact (in millions) of consolidating certain sponsored investment portfolios on the individual lines of our condensed consolidated statements of income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5"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24765</wp:posOffset>
            </wp:positionV>
            <wp:extent cx="21012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3/31/2016</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3/31/2017</w:t>
            </w: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 reflected in net operating income</w:t>
            </w:r>
          </w:p>
        </w:tc>
        <w:tc>
          <w:tcPr>
            <w:tcW w:w="1140" w:type="dxa"/>
            <w:vAlign w:val="bottom"/>
            <w:tcBorders>
              <w:bottom w:val="single" w:sz="8" w:color="CCEEFF"/>
            </w:tcBorders>
            <w:shd w:val="clear" w:color="auto" w:fill="CCEEFF"/>
          </w:tcPr>
          <w:p>
            <w:pPr>
              <w:jc w:val="right"/>
              <w:ind w:right="95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investment income reflected in non-operating income</w:t>
            </w:r>
          </w:p>
        </w:tc>
        <w:tc>
          <w:tcPr>
            <w:tcW w:w="11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48.9</w:t>
            </w:r>
          </w:p>
        </w:tc>
      </w:tr>
      <w:tr>
        <w:trPr>
          <w:trHeight w:val="27"/>
        </w:trPr>
        <w:tc>
          <w:tcPr>
            <w:tcW w:w="8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on income before taxes</w:t>
            </w:r>
          </w:p>
        </w:tc>
        <w:tc>
          <w:tcPr>
            <w:tcW w:w="1140" w:type="dxa"/>
            <w:vAlign w:val="bottom"/>
            <w:tcBorders>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46.3</w:t>
            </w:r>
          </w:p>
        </w:tc>
      </w:tr>
      <w:tr>
        <w:trPr>
          <w:trHeight w:val="20"/>
        </w:trPr>
        <w:tc>
          <w:tcPr>
            <w:tcW w:w="8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the firm's interest in the consolidated sponsored investment portfolios</w:t>
            </w:r>
          </w:p>
        </w:tc>
        <w:tc>
          <w:tcPr>
            <w:tcW w:w="1140" w:type="dxa"/>
            <w:vAlign w:val="bottom"/>
            <w:tcBorders>
              <w:bottom w:val="single" w:sz="8" w:color="CCEEFF"/>
            </w:tcBorders>
            <w:shd w:val="clear" w:color="auto" w:fill="CCEEFF"/>
          </w:tcPr>
          <w:p>
            <w:pPr>
              <w:jc w:val="right"/>
              <w:ind w:right="95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31.8</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interests (unrelated third party investors)</w:t>
            </w:r>
          </w:p>
        </w:tc>
        <w:tc>
          <w:tcPr>
            <w:tcW w:w="11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14.5</w:t>
            </w:r>
          </w:p>
        </w:tc>
      </w:tr>
      <w:tr>
        <w:trPr>
          <w:trHeight w:val="27"/>
        </w:trPr>
        <w:tc>
          <w:tcPr>
            <w:tcW w:w="8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on income before taxes</w:t>
            </w:r>
          </w:p>
        </w:tc>
        <w:tc>
          <w:tcPr>
            <w:tcW w:w="1140" w:type="dxa"/>
            <w:vAlign w:val="bottom"/>
            <w:tcBorders>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46.3</w:t>
            </w:r>
          </w:p>
        </w:tc>
      </w:tr>
      <w:tr>
        <w:trPr>
          <w:trHeight w:val="20"/>
        </w:trPr>
        <w:tc>
          <w:tcPr>
            <w:tcW w:w="8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effective tax rate for the first quarter of 2017 was 37.1%. This exceeded the previously forecasted 2017 annual effective tax rate of 36.5% as a result of lower tax benefits earned from stock-based compensation. We currently estimate our effective tax rate for the full-year 2017 will be 37.7%. We expect there to be volatility in our effective tax rate in future periods as the stock-based compensation benefits now recognized in our tax provision are impacted by market fluctuations in our stock price and the timing of when option holders exercise their awards. Our effective income tax rate also reflects the relative contribution of pre-tax income generated by our foreign subsidiaries that are subject to tax rates lower than our U.S. rates. Changes in the relative contribution of pre-tax income from U.S. and foreign sources or changes in tax rates in relevant jurisdictions may affect our effective income tax rate and overall net income in the future.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24</w:t>
      </w:r>
    </w:p>
    <w:p>
      <w:pPr>
        <w:sectPr>
          <w:pgSz w:w="11900" w:h="16838" w:orient="portrait"/>
          <w:cols w:equalWidth="0" w:num="1">
            <w:col w:w="11420"/>
          </w:cols>
          <w:pgMar w:left="240" w:top="578"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auto"/>
        </w:rPr>
        <w:t>Non-GAAP information and reconciliation</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 The following schedule reconciles (in millions, except for per-share amounts) U.S. GAAP financial measures to non-GAAP measures for the first quarter of 2016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3773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171"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24765</wp:posOffset>
            </wp:positionV>
            <wp:extent cx="1517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3/31/2016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3/31/2017</w:t>
            </w:r>
          </w:p>
        </w:tc>
      </w:tr>
      <w:tr>
        <w:trPr>
          <w:trHeight w:val="249"/>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 GAAP basis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591.9</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Non-GAAP adjustments: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02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Expenses of consolidated sponsored investment portfolios, net of elimination of its related management fee</w:t>
            </w:r>
            <w:r>
              <w:rPr>
                <w:rFonts w:ascii="Times New Roman" w:cs="Times New Roman" w:eastAsia="Times New Roman" w:hAnsi="Times New Roman"/>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902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Insurance recovery related to Dell appraisal rights matter </w:t>
            </w:r>
            <w:r>
              <w:rPr>
                <w:rFonts w:ascii="Times New Roman" w:cs="Times New Roman" w:eastAsia="Times New Roman" w:hAnsi="Times New Roman"/>
                <w:sz w:val="25"/>
                <w:szCs w:val="25"/>
                <w:color w:val="auto"/>
                <w:vertAlign w:val="superscript"/>
              </w:rPr>
              <w:t>(3)</w:t>
            </w:r>
          </w:p>
        </w:tc>
        <w:tc>
          <w:tcPr>
            <w:tcW w:w="2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w:t>
            </w:r>
          </w:p>
        </w:tc>
      </w:tr>
      <w:tr>
        <w:trPr>
          <w:trHeight w:val="257"/>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operating expenses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640.1</w:t>
            </w: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11"/>
        </w:trPr>
        <w:tc>
          <w:tcPr>
            <w:tcW w:w="9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T. Rowe Price Group, GAAP basis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385.9</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Non-GAAP adjustments: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020" w:type="dxa"/>
            <w:vAlign w:val="bottom"/>
            <w:shd w:val="clear" w:color="auto" w:fill="CCEEFF"/>
          </w:tcPr>
          <w:p>
            <w:pPr>
              <w:ind w:left="120"/>
              <w:spacing w:after="0" w:line="270" w:lineRule="exact"/>
              <w:rPr>
                <w:sz w:val="20"/>
                <w:szCs w:val="20"/>
                <w:color w:val="auto"/>
              </w:rPr>
            </w:pPr>
            <w:r>
              <w:rPr>
                <w:rFonts w:ascii="Times New Roman" w:cs="Times New Roman" w:eastAsia="Times New Roman" w:hAnsi="Times New Roman"/>
                <w:sz w:val="18"/>
                <w:szCs w:val="18"/>
                <w:color w:val="auto"/>
              </w:rPr>
              <w:t xml:space="preserve">Net income of consolidated sponsored investment portfolios, net of redeemable non-controlling interests </w:t>
            </w:r>
            <w:r>
              <w:rPr>
                <w:rFonts w:ascii="Times New Roman" w:cs="Times New Roman" w:eastAsia="Times New Roman" w:hAnsi="Times New Roman"/>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70"/>
        </w:trPr>
        <w:tc>
          <w:tcPr>
            <w:tcW w:w="9020" w:type="dxa"/>
            <w:vAlign w:val="bottom"/>
          </w:tcPr>
          <w:p>
            <w:pPr>
              <w:ind w:left="120"/>
              <w:spacing w:after="0" w:line="270" w:lineRule="exact"/>
              <w:rPr>
                <w:sz w:val="20"/>
                <w:szCs w:val="20"/>
                <w:color w:val="auto"/>
              </w:rPr>
            </w:pPr>
            <w:r>
              <w:rPr>
                <w:rFonts w:ascii="Times New Roman" w:cs="Times New Roman" w:eastAsia="Times New Roman" w:hAnsi="Times New Roman"/>
                <w:sz w:val="18"/>
                <w:szCs w:val="18"/>
                <w:color w:val="auto"/>
              </w:rPr>
              <w:t>Non-operating income, excluding impact of consolidated sponsored investment portfolios</w:t>
            </w:r>
            <w:r>
              <w:rPr>
                <w:rFonts w:ascii="Times New Roman" w:cs="Times New Roman" w:eastAsia="Times New Roman" w:hAnsi="Times New Roman"/>
                <w:sz w:val="25"/>
                <w:szCs w:val="25"/>
                <w:color w:val="auto"/>
                <w:vertAlign w:val="superscript"/>
              </w:rPr>
              <w:t>(2)</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70"/>
        </w:trPr>
        <w:tc>
          <w:tcPr>
            <w:tcW w:w="9020" w:type="dxa"/>
            <w:vAlign w:val="bottom"/>
            <w:shd w:val="clear" w:color="auto" w:fill="CCEEFF"/>
          </w:tcPr>
          <w:p>
            <w:pPr>
              <w:ind w:left="120"/>
              <w:spacing w:after="0" w:line="270" w:lineRule="exact"/>
              <w:rPr>
                <w:sz w:val="20"/>
                <w:szCs w:val="20"/>
                <w:color w:val="auto"/>
              </w:rPr>
            </w:pPr>
            <w:r>
              <w:rPr>
                <w:rFonts w:ascii="Times New Roman" w:cs="Times New Roman" w:eastAsia="Times New Roman" w:hAnsi="Times New Roman"/>
                <w:sz w:val="18"/>
                <w:szCs w:val="18"/>
                <w:color w:val="auto"/>
              </w:rPr>
              <w:t xml:space="preserve">Insurance recovery related to Dell appraisal rights matter </w:t>
            </w:r>
            <w:r>
              <w:rPr>
                <w:rFonts w:ascii="Times New Roman" w:cs="Times New Roman" w:eastAsia="Times New Roman" w:hAnsi="Times New Roman"/>
                <w:sz w:val="25"/>
                <w:szCs w:val="25"/>
                <w:color w:val="auto"/>
                <w:vertAlign w:val="superscript"/>
              </w:rPr>
              <w:t>(3)</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70"/>
        </w:trPr>
        <w:tc>
          <w:tcPr>
            <w:tcW w:w="9020" w:type="dxa"/>
            <w:vAlign w:val="bottom"/>
            <w:tcBorders>
              <w:bottom w:val="single" w:sz="8" w:color="CCEEFF"/>
            </w:tcBorders>
          </w:tcPr>
          <w:p>
            <w:pPr>
              <w:ind w:left="120"/>
              <w:spacing w:after="0" w:line="270" w:lineRule="exact"/>
              <w:rPr>
                <w:sz w:val="20"/>
                <w:szCs w:val="20"/>
                <w:color w:val="auto"/>
              </w:rPr>
            </w:pPr>
            <w:r>
              <w:rPr>
                <w:rFonts w:ascii="Times New Roman" w:cs="Times New Roman" w:eastAsia="Times New Roman" w:hAnsi="Times New Roman"/>
                <w:sz w:val="18"/>
                <w:szCs w:val="18"/>
                <w:color w:val="auto"/>
              </w:rPr>
              <w:t xml:space="preserve">Income tax impacts of non-GAAP adjustments </w:t>
            </w:r>
            <w:r>
              <w:rPr>
                <w:rFonts w:ascii="Times New Roman" w:cs="Times New Roman" w:eastAsia="Times New Roman" w:hAnsi="Times New Roman"/>
                <w:sz w:val="25"/>
                <w:szCs w:val="25"/>
                <w:color w:val="auto"/>
                <w:vertAlign w:val="superscript"/>
              </w:rPr>
              <w:t>(4)</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59.2</w:t>
            </w: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net income attributable to T. Rowe Price Group</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297.2</w:t>
            </w: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11"/>
        </w:trPr>
        <w:tc>
          <w:tcPr>
            <w:tcW w:w="9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earnings per common share, GAAP basis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Non-GAAP adjustments: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020" w:type="dxa"/>
            <w:vAlign w:val="bottom"/>
            <w:shd w:val="clear" w:color="auto" w:fill="CCEEFF"/>
          </w:tcPr>
          <w:p>
            <w:pPr>
              <w:ind w:left="120"/>
              <w:spacing w:after="0" w:line="270" w:lineRule="exact"/>
              <w:rPr>
                <w:sz w:val="20"/>
                <w:szCs w:val="20"/>
                <w:color w:val="auto"/>
              </w:rPr>
            </w:pPr>
            <w:r>
              <w:rPr>
                <w:rFonts w:ascii="Times New Roman" w:cs="Times New Roman" w:eastAsia="Times New Roman" w:hAnsi="Times New Roman"/>
                <w:sz w:val="18"/>
                <w:szCs w:val="18"/>
                <w:color w:val="auto"/>
              </w:rPr>
              <w:t xml:space="preserve">Consolidated sponsored investment portfolios </w:t>
            </w:r>
            <w:r>
              <w:rPr>
                <w:rFonts w:ascii="Times New Roman" w:cs="Times New Roman" w:eastAsia="Times New Roman" w:hAnsi="Times New Roman"/>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70"/>
        </w:trPr>
        <w:tc>
          <w:tcPr>
            <w:tcW w:w="9020" w:type="dxa"/>
            <w:vAlign w:val="bottom"/>
          </w:tcPr>
          <w:p>
            <w:pPr>
              <w:ind w:left="120"/>
              <w:spacing w:after="0" w:line="270" w:lineRule="exact"/>
              <w:rPr>
                <w:sz w:val="20"/>
                <w:szCs w:val="20"/>
                <w:color w:val="auto"/>
              </w:rPr>
            </w:pPr>
            <w:r>
              <w:rPr>
                <w:rFonts w:ascii="Times New Roman" w:cs="Times New Roman" w:eastAsia="Times New Roman" w:hAnsi="Times New Roman"/>
                <w:sz w:val="18"/>
                <w:szCs w:val="18"/>
                <w:color w:val="auto"/>
              </w:rPr>
              <w:t>Non-operating income, excluding impact of consolidated sponsored investment portfolios</w:t>
            </w:r>
            <w:r>
              <w:rPr>
                <w:rFonts w:ascii="Times New Roman" w:cs="Times New Roman" w:eastAsia="Times New Roman" w:hAnsi="Times New Roman"/>
                <w:sz w:val="25"/>
                <w:szCs w:val="25"/>
                <w:color w:val="auto"/>
                <w:vertAlign w:val="superscript"/>
              </w:rPr>
              <w:t>(2)</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9020" w:type="dxa"/>
            <w:vAlign w:val="bottom"/>
            <w:shd w:val="clear" w:color="auto" w:fill="CCEEFF"/>
          </w:tcPr>
          <w:p>
            <w:pPr>
              <w:ind w:left="120"/>
              <w:spacing w:after="0" w:line="270" w:lineRule="exact"/>
              <w:rPr>
                <w:sz w:val="20"/>
                <w:szCs w:val="20"/>
                <w:color w:val="auto"/>
              </w:rPr>
            </w:pPr>
            <w:r>
              <w:rPr>
                <w:rFonts w:ascii="Times New Roman" w:cs="Times New Roman" w:eastAsia="Times New Roman" w:hAnsi="Times New Roman"/>
                <w:sz w:val="18"/>
                <w:szCs w:val="18"/>
                <w:color w:val="auto"/>
              </w:rPr>
              <w:t xml:space="preserve">Insurance recovery related to Dell appraisal rights matter </w:t>
            </w:r>
            <w:r>
              <w:rPr>
                <w:rFonts w:ascii="Times New Roman" w:cs="Times New Roman" w:eastAsia="Times New Roman" w:hAnsi="Times New Roman"/>
                <w:sz w:val="25"/>
                <w:szCs w:val="25"/>
                <w:color w:val="auto"/>
                <w:vertAlign w:val="superscript"/>
              </w:rPr>
              <w:t>(3)</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4"/>
        </w:trPr>
        <w:tc>
          <w:tcPr>
            <w:tcW w:w="902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b w:val="1"/>
                <w:bCs w:val="1"/>
                <w:color w:val="auto"/>
              </w:rPr>
              <w:t>Adjusted diluted earnings per common share</w:t>
            </w:r>
            <w:r>
              <w:rPr>
                <w:rFonts w:ascii="Times New Roman" w:cs="Times New Roman" w:eastAsia="Times New Roman" w:hAnsi="Times New Roman"/>
                <w:sz w:val="25"/>
                <w:szCs w:val="25"/>
                <w:b w:val="1"/>
                <w:bCs w:val="1"/>
                <w:color w:val="auto"/>
                <w:vertAlign w:val="superscript"/>
              </w:rPr>
              <w:t>(5)</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1.18</w:t>
            </w: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60" w:firstLine="8"/>
        <w:spacing w:after="0" w:line="257" w:lineRule="auto"/>
        <w:tabs>
          <w:tab w:leader="none" w:pos="192"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i w:val="1"/>
          <w:iCs w:val="1"/>
          <w:color w:val="auto"/>
        </w:rPr>
        <w:t xml:space="preserve">Net income of consolidated sponsored investment portfolios, net of redeemable non-controlling interests: </w:t>
      </w:r>
      <w:r>
        <w:rPr>
          <w:rFonts w:ascii="Times New Roman" w:cs="Times New Roman" w:eastAsia="Times New Roman" w:hAnsi="Times New Roman"/>
          <w:sz w:val="17"/>
          <w:szCs w:val="17"/>
          <w:color w:val="auto"/>
        </w:rPr>
        <w:t>We implemented new consolidation accounting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guidance on January 1, 2016, that resulted in a larger number of our sponsored investment portfolios, that we provide seed capital to at formation, to be consolidated in our financial statements as we were deemed to have a controlling financial interest. The non-GAAP adjustments add back the management fees we earn from the consolidated sponsored investment portfolios and remove the investment income and operating expenses of these portfolios that have been included in our U.S. GAAP condensed consolidated statements of income. We believe the consolidated sponsored investment portfolios may impact the reader's ability to understand our core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3773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172"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24765</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3/31/2016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3/31/2017</w:t>
            </w:r>
          </w:p>
        </w:tc>
      </w:tr>
      <w:tr>
        <w:trPr>
          <w:trHeight w:val="249"/>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investment income of consolidated sponsored portfolios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48.9</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 of consolidated sponsored portfolios</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of consolidated sponsored portfolios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46.3</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income attributable to redeemable non-controlling interests</w:t>
            </w: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14.5</w:t>
            </w:r>
          </w:p>
        </w:tc>
      </w:tr>
      <w:tr>
        <w:trPr>
          <w:trHeight w:val="27"/>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 Rowe Price's portion of 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31.8</w:t>
            </w: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25</w:t>
      </w:r>
    </w:p>
    <w:p>
      <w:pPr>
        <w:sectPr>
          <w:pgSz w:w="11900" w:h="16838" w:orient="portrait"/>
          <w:cols w:equalWidth="0" w:num="1">
            <w:col w:w="11400"/>
          </w:cols>
          <w:pgMar w:left="240" w:top="634" w:right="259" w:bottom="1440" w:gutter="0" w:footer="0" w:header="0"/>
        </w:sectPr>
      </w:pPr>
    </w:p>
    <w:bookmarkStart w:id="25" w:name="page26"/>
    <w:bookmarkEnd w:id="25"/>
    <w:p>
      <w:pPr>
        <w:ind w:left="180" w:right="20" w:hanging="172"/>
        <w:spacing w:after="0" w:line="247" w:lineRule="auto"/>
        <w:tabs>
          <w:tab w:leader="none" w:pos="196"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 xml:space="preserve">Non-operating income, excluding impact of consolidated sponsored investment portfolios: </w:t>
      </w:r>
      <w:r>
        <w:rPr>
          <w:rFonts w:ascii="Times New Roman" w:cs="Times New Roman" w:eastAsia="Times New Roman" w:hAnsi="Times New Roman"/>
          <w:sz w:val="17"/>
          <w:szCs w:val="17"/>
          <w:color w:val="auto"/>
        </w:rPr>
        <w:t>This non-GAAP adjustment removes the non-operating income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remains after backing out the portion related to the consolidated sponsored investment portfolios. We believe excluding non-operating income helps the reader's ability to understand the firm’s core operating results and increases comparability to prior years. Additionally, we do not emphasize the impact of non-operating income when managing our firm and evaluating our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83820</wp:posOffset>
            </wp:positionV>
            <wp:extent cx="700659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6590" cy="171450"/>
                    </a:xfrm>
                    <a:prstGeom prst="rect">
                      <a:avLst/>
                    </a:prstGeom>
                    <a:noFill/>
                  </pic:spPr>
                </pic:pic>
              </a:graphicData>
            </a:graphic>
          </wp:anchor>
        </w:drawing>
      </w:r>
    </w:p>
    <w:p>
      <w:pPr>
        <w:spacing w:after="0" w:line="182"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24765</wp:posOffset>
            </wp:positionV>
            <wp:extent cx="14751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103" w:lineRule="exact"/>
        <w:rPr>
          <w:sz w:val="20"/>
          <w:szCs w:val="20"/>
          <w:color w:val="auto"/>
        </w:rPr>
      </w:pPr>
    </w:p>
    <w:tbl>
      <w:tblPr>
        <w:tblLayout w:type="fixed"/>
        <w:tblInd w:w="180" w:type="dxa"/>
        <w:tblCellMar>
          <w:top w:w="0" w:type="dxa"/>
          <w:left w:w="0" w:type="dxa"/>
          <w:bottom w:w="0" w:type="dxa"/>
          <w:right w:w="0" w:type="dxa"/>
        </w:tblCellMar>
      </w:tblPr>
      <w:tr>
        <w:trPr>
          <w:trHeight w:val="195"/>
        </w:trPr>
        <w:tc>
          <w:tcPr>
            <w:tcW w:w="87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3/31/2016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3/31/2017</w:t>
            </w:r>
          </w:p>
        </w:tc>
      </w:tr>
      <w:tr>
        <w:trPr>
          <w:trHeight w:val="249"/>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115.0</w:t>
            </w:r>
          </w:p>
        </w:tc>
      </w:tr>
      <w:tr>
        <w:trPr>
          <w:trHeight w:val="24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investment income (loss) of consolidated sponsored portfolios</w:t>
            </w:r>
          </w:p>
        </w:tc>
        <w:tc>
          <w:tcPr>
            <w:tcW w:w="2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48.9</w:t>
            </w:r>
          </w:p>
        </w:tc>
      </w:tr>
      <w:tr>
        <w:trPr>
          <w:trHeight w:val="27"/>
        </w:trPr>
        <w:tc>
          <w:tcPr>
            <w:tcW w:w="8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non-operating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66.1</w:t>
            </w:r>
          </w:p>
        </w:tc>
      </w:tr>
      <w:tr>
        <w:trPr>
          <w:trHeight w:val="20"/>
        </w:trPr>
        <w:tc>
          <w:tcPr>
            <w:tcW w:w="8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180" w:right="100" w:hanging="172"/>
        <w:spacing w:after="0" w:line="233" w:lineRule="auto"/>
        <w:tabs>
          <w:tab w:leader="none" w:pos="21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i w:val="1"/>
          <w:iCs w:val="1"/>
          <w:color w:val="auto"/>
        </w:rPr>
        <w:t xml:space="preserve">Insurance recovery related to Dell appraisal rights matter: </w:t>
      </w:r>
      <w:r>
        <w:rPr>
          <w:rFonts w:ascii="Times New Roman" w:cs="Times New Roman" w:eastAsia="Times New Roman" w:hAnsi="Times New Roman"/>
          <w:sz w:val="18"/>
          <w:szCs w:val="18"/>
          <w:color w:val="auto"/>
        </w:rPr>
        <w:t>In 2017, the firm recognized a $50 million reduction in operating expenses related to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settled with insurance carriers that were filed in relation to the Dell appraisal rights matter. We believe it is useful to readers of our consolidated statements of income to adjust for this non-recurring recovery in arriving at adjusted operating expenses and net income attributable to T. Rowe Price Group and diluted earnings per share, as this will aid with comparability to prior periods and analyzing our core business results.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Income tax impacts of non-GAAP adjustments: </w:t>
      </w:r>
      <w:r>
        <w:rPr>
          <w:rFonts w:ascii="Times New Roman" w:cs="Times New Roman" w:eastAsia="Times New Roman" w:hAnsi="Times New Roman"/>
          <w:sz w:val="18"/>
          <w:szCs w:val="18"/>
          <w:color w:val="auto"/>
        </w:rPr>
        <w:t>These were calculated using the effective tax rate applicable to the related items.</w:t>
      </w:r>
    </w:p>
    <w:p>
      <w:pPr>
        <w:spacing w:after="0" w:line="145" w:lineRule="exact"/>
        <w:rPr>
          <w:sz w:val="20"/>
          <w:szCs w:val="20"/>
          <w:color w:val="auto"/>
        </w:rPr>
      </w:pPr>
    </w:p>
    <w:p>
      <w:pPr>
        <w:ind w:left="180" w:right="820" w:hanging="172"/>
        <w:spacing w:after="0" w:line="219" w:lineRule="auto"/>
        <w:tabs>
          <w:tab w:leader="none" w:pos="21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i w:val="1"/>
          <w:iCs w:val="1"/>
          <w:color w:val="auto"/>
        </w:rPr>
        <w:t xml:space="preserve">Adjusted diluted earnings per common share: </w:t>
      </w:r>
      <w:r>
        <w:rPr>
          <w:rFonts w:ascii="Times New Roman" w:cs="Times New Roman" w:eastAsia="Times New Roman" w:hAnsi="Times New Roman"/>
          <w:sz w:val="18"/>
          <w:szCs w:val="18"/>
          <w:color w:val="auto"/>
        </w:rPr>
        <w:t>This non-GAAP measure was calculated by applying the two-class method to adjusted net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T. Rowe Price Group, Inc. divided by the weighted-average common shares outstanding assuming dilution.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RESOURCES AND LIQUIDITY.</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increased our quarterly recurring dividend per share by 5.6% to $.57 per share in the first quarter of 2017. Additionally, we expended $316.3 million to repurchase 4.6 million shares, or 1.9%, of our outstanding common stock in the first quarter of 2017. These dividends and repurchases were expended using existing cash balances and cash generated from operations. We will generally repurchase our common stock over time to offset the dilution created by our equity-based compensation plans.</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Since the end of 2014, we have returned nearly $3.7 billion to stockholders through stock repurchases, our regular quarterly dividends, and a special dividend in 2015.</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38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Recurring dividend</w:t>
            </w:r>
          </w:p>
        </w:tc>
        <w:tc>
          <w:tcPr>
            <w:tcW w:w="12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Special dividend</w:t>
            </w:r>
          </w:p>
        </w:tc>
        <w:tc>
          <w:tcPr>
            <w:tcW w:w="136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Stock repurchases</w:t>
            </w:r>
          </w:p>
        </w:tc>
        <w:tc>
          <w:tcPr>
            <w:tcW w:w="1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 cash returned</w:t>
            </w:r>
          </w:p>
        </w:tc>
        <w:tc>
          <w:tcPr>
            <w:tcW w:w="0" w:type="dxa"/>
            <w:vAlign w:val="bottom"/>
          </w:tcPr>
          <w:p>
            <w:pPr>
              <w:spacing w:after="0"/>
              <w:rPr>
                <w:sz w:val="1"/>
                <w:szCs w:val="1"/>
                <w:color w:val="auto"/>
              </w:rPr>
            </w:pPr>
          </w:p>
        </w:tc>
      </w:tr>
      <w:tr>
        <w:trPr>
          <w:trHeight w:val="195"/>
        </w:trPr>
        <w:tc>
          <w:tcPr>
            <w:tcW w:w="6060" w:type="dxa"/>
            <w:vAlign w:val="bottom"/>
            <w:vMerge w:val="continue"/>
            <w:shd w:val="clear" w:color="auto" w:fill="CCEEFF"/>
          </w:tcPr>
          <w:p>
            <w:pPr>
              <w:spacing w:after="0"/>
              <w:rPr>
                <w:sz w:val="16"/>
                <w:szCs w:val="16"/>
                <w:color w:val="auto"/>
              </w:rPr>
            </w:pPr>
          </w:p>
        </w:tc>
        <w:tc>
          <w:tcPr>
            <w:tcW w:w="138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360" w:type="dxa"/>
            <w:vAlign w:val="bottom"/>
            <w:gridSpan w:val="3"/>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to stockholders</w:t>
            </w:r>
          </w:p>
        </w:tc>
        <w:tc>
          <w:tcPr>
            <w:tcW w:w="0" w:type="dxa"/>
            <w:vAlign w:val="bottom"/>
          </w:tcPr>
          <w:p>
            <w:pPr>
              <w:spacing w:after="0"/>
              <w:rPr>
                <w:sz w:val="1"/>
                <w:szCs w:val="1"/>
                <w:color w:val="auto"/>
              </w:rPr>
            </w:pPr>
          </w:p>
        </w:tc>
      </w:tr>
      <w:tr>
        <w:trPr>
          <w:trHeight w:val="242"/>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534.5</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524.5</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987.8</w:t>
            </w:r>
          </w:p>
        </w:tc>
        <w:tc>
          <w:tcPr>
            <w:tcW w:w="100" w:type="dxa"/>
            <w:vAlign w:val="bottom"/>
          </w:tcPr>
          <w:p>
            <w:pPr>
              <w:spacing w:after="0"/>
              <w:rPr>
                <w:sz w:val="21"/>
                <w:szCs w:val="21"/>
                <w:color w:val="auto"/>
              </w:rPr>
            </w:pP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2,046.8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1,218.1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Three months ended 3/31/2017</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456.7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1,216.1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3,721.6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We remain debt-free with ample liquidity, including cash and discretionary sponsored portfolio investment holdings of $2.2 billion at March 31, 2017. We also have seed capital investments in sponsored investment portfolios of $1.3 billion that are redeemable, although we generally expect to be invested for several years until unrelated third party investors substantially reduce our relative ownership percentage. The cash and discretionary sponsored investment holdings held by our subsidiaries outside the U.S. is $.4 million at March 31, 2017.</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26</w:t>
      </w:r>
    </w:p>
    <w:p>
      <w:pPr>
        <w:sectPr>
          <w:pgSz w:w="11900" w:h="16838" w:orient="portrait"/>
          <w:cols w:equalWidth="0" w:num="1">
            <w:col w:w="11420"/>
          </w:cols>
          <w:pgMar w:left="240" w:top="578" w:right="239" w:bottom="1440" w:gutter="0" w:footer="0" w:header="0"/>
        </w:sectPr>
      </w:pPr>
    </w:p>
    <w:bookmarkStart w:id="26" w:name="page27"/>
    <w:bookmarkEnd w:id="26"/>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details (in millions) the line items of the condensed consolidated balance sheet as of March 31, 2017, where our cash and discretionary sponsored portfolio investment holdings and seed capital investments are presented, as well as the amount of other investments that make up the remainder of the investments line. The investment presentation on the balance sheet is based on the type of investment, as well as how we account for the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b w:val="1"/>
          <w:bCs w:val="1"/>
          <w:color w:val="auto"/>
        </w:rPr>
        <w:t>Interest Held by 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24765</wp:posOffset>
            </wp:positionV>
            <wp:extent cx="34048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Cash and</w:t>
            </w:r>
          </w:p>
        </w:tc>
        <w:tc>
          <w:tcPr>
            <w:tcW w:w="16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Seed capital</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As reported on</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discretionary</w:t>
            </w: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Investment in UTI</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in</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in</w:t>
            </w:r>
          </w:p>
        </w:tc>
        <w:tc>
          <w:tcPr>
            <w:tcW w:w="13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Redeemable non-</w:t>
            </w:r>
          </w:p>
        </w:tc>
        <w:tc>
          <w:tcPr>
            <w:tcW w:w="140" w:type="dxa"/>
            <w:vAlign w:val="bottom"/>
          </w:tcPr>
          <w:p>
            <w:pPr>
              <w:spacing w:after="0"/>
              <w:rPr>
                <w:sz w:val="12"/>
                <w:szCs w:val="12"/>
                <w:color w:val="auto"/>
              </w:rPr>
            </w:pPr>
          </w:p>
        </w:tc>
        <w:tc>
          <w:tcPr>
            <w:tcW w:w="11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sponsored</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sponsored</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280" w:type="dxa"/>
            <w:vAlign w:val="bottom"/>
          </w:tcPr>
          <w:p>
            <w:pPr>
              <w:spacing w:after="0"/>
              <w:rPr>
                <w:sz w:val="12"/>
                <w:szCs w:val="12"/>
                <w:color w:val="auto"/>
              </w:rPr>
            </w:pPr>
          </w:p>
        </w:tc>
        <w:tc>
          <w:tcPr>
            <w:tcW w:w="98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195"/>
        </w:trPr>
        <w:tc>
          <w:tcPr>
            <w:tcW w:w="33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portfolios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portfolios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controlling interest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3/31/2017</w:t>
            </w:r>
          </w:p>
        </w:tc>
        <w:tc>
          <w:tcPr>
            <w:tcW w:w="0" w:type="dxa"/>
            <w:vAlign w:val="bottom"/>
          </w:tcPr>
          <w:p>
            <w:pPr>
              <w:spacing w:after="0"/>
              <w:rPr>
                <w:sz w:val="1"/>
                <w:szCs w:val="1"/>
                <w:color w:val="auto"/>
              </w:rPr>
            </w:pPr>
          </w:p>
        </w:tc>
      </w:tr>
      <w:tr>
        <w:trPr>
          <w:trHeight w:val="249"/>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1,580.8</w:t>
            </w:r>
          </w:p>
        </w:tc>
        <w:tc>
          <w:tcPr>
            <w:tcW w:w="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1,580.8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585.2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492.5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1,299.5</w:t>
            </w:r>
          </w:p>
        </w:tc>
        <w:tc>
          <w:tcPr>
            <w:tcW w:w="5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1,299.5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assets of consolidated sponsored</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portfolios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851.5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851.6</w:t>
            </w:r>
          </w:p>
        </w:tc>
        <w:tc>
          <w:tcPr>
            <w:tcW w:w="5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1,310.7</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2,166.1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1,344.0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221.8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3,731.9</w:t>
            </w:r>
          </w:p>
        </w:tc>
        <w:tc>
          <w:tcPr>
            <w:tcW w:w="5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459.1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4,191.0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condensed consolidated balance sheet reflects the cash and cash equivalents, investments, other assets and liabilities of those sponsored portfolios we consolidate, as well as redeemable non-controlling interests for the portion of these sponsored portfolios that are held by unrelated third party investors. Although we can redeem our net interest in these sponsored investment portfolios at any time, we cannot directly access or sell the assets held by the portfolios to obtain cash for general operations. Additionally, the assets of these investment portfolios are not available to our general creditors. Our interest in these sponsored investment portfolios was used as initial seed capital and is recategorized as discretionary when it is determined by management that the seed capital is no longer needed. We assess the discretionary investment portfolio and liquidate our interest, if decided, in a way as to not impact the portfolio and ultimately, the unrelated third party investors.</w:t>
      </w:r>
    </w:p>
    <w:p>
      <w:pPr>
        <w:spacing w:after="0" w:line="189"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We anticipate property and equipment expenditures for the full-year 2017 to be up to $200 million, of which about two-thirds is planned for technology initiatives. Given the availability of our financial resources, we expect to fund our anticipated capital expenditures with operating resources, and do not maintain an available external source of liquidity.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27</w:t>
      </w:r>
    </w:p>
    <w:p>
      <w:pPr>
        <w:sectPr>
          <w:pgSz w:w="11900" w:h="16838" w:orient="portrait"/>
          <w:cols w:equalWidth="0" w:num="1">
            <w:col w:w="11420"/>
          </w:cols>
          <w:pgMar w:left="240" w:top="580" w:right="239" w:bottom="1440" w:gutter="0" w:footer="0" w:header="0"/>
        </w:sectPr>
      </w:pPr>
    </w:p>
    <w:bookmarkStart w:id="27" w:name="page28"/>
    <w:bookmarkEnd w:id="27"/>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cash flows (in millions) for the three months ended March 31, 2017, that are attributable to T. Rowe Price Group, our consolidated sponsored investment portfolios, and the related eliminations required in preparing the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24765</wp:posOffset>
            </wp:positionV>
            <wp:extent cx="49053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0537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020" w:type="dxa"/>
            <w:vAlign w:val="bottom"/>
            <w:gridSpan w:val="3"/>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020" w:type="dxa"/>
            <w:vAlign w:val="bottom"/>
            <w:gridSpan w:val="3"/>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sponsored</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w:t>
            </w:r>
          </w:p>
        </w:tc>
        <w:tc>
          <w:tcPr>
            <w:tcW w:w="1020" w:type="dxa"/>
            <w:vAlign w:val="bottom"/>
            <w:gridSpan w:val="3"/>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sponsored</w:t>
            </w: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As</w:t>
            </w: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 T. Rowe</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96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 T. Rowe</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96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7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Price Group</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portfolios</w:t>
            </w:r>
          </w:p>
        </w:tc>
        <w:tc>
          <w:tcPr>
            <w:tcW w:w="960" w:type="dxa"/>
            <w:vAlign w:val="bottom"/>
            <w:gridSpan w:val="3"/>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2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Price Group</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portfolios</w:t>
            </w:r>
          </w:p>
        </w:tc>
        <w:tc>
          <w:tcPr>
            <w:tcW w:w="96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313.3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400.4</w:t>
            </w:r>
          </w:p>
        </w:tc>
        <w:tc>
          <w:tcPr>
            <w:tcW w:w="0" w:type="dxa"/>
            <w:vAlign w:val="bottom"/>
          </w:tcPr>
          <w:p>
            <w:pPr>
              <w:spacing w:after="0"/>
              <w:rPr>
                <w:sz w:val="1"/>
                <w:szCs w:val="1"/>
                <w:color w:val="auto"/>
              </w:rPr>
            </w:pPr>
          </w:p>
        </w:tc>
      </w:tr>
      <w:tr>
        <w:trPr>
          <w:trHeight w:val="225"/>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provided by (used in) operating activities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 of property and</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equipment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43"/>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Realized gains on dispositions of available-</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for-sale sponsored investment portfolios</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43"/>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gains recognized on investments</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change in trading securities held by</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consolidated sponsored investment portfolios</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0" w:type="dxa"/>
            <w:vAlign w:val="bottom"/>
          </w:tcPr>
          <w:p>
            <w:pPr>
              <w:spacing w:after="0"/>
              <w:rPr>
                <w:sz w:val="1"/>
                <w:szCs w:val="1"/>
                <w:color w:val="auto"/>
              </w:rPr>
            </w:pPr>
          </w:p>
        </w:tc>
      </w:tr>
      <w:tr>
        <w:trPr>
          <w:trHeight w:val="243"/>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changes in assets and liabilities</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208.1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188.5</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207.8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financing</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activities</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443.3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573.3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25"/>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equivalents of consolidated sponsored investment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portfolios</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70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Net change in cash and cash equivalents during</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228.1</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375.9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360.5</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1,172.3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6"/>
              </w:rPr>
              <w:t>1,172.3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1,204.9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9"/>
              </w:rPr>
              <w:t>1,270.5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1,322.9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6"/>
              </w:rPr>
              <w:t>1,400.4</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1,580.8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9"/>
              </w:rPr>
              <w:t>1,631.0</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28</w:t>
      </w:r>
    </w:p>
    <w:p>
      <w:pPr>
        <w:sectPr>
          <w:pgSz w:w="11900" w:h="16838" w:orient="portrait"/>
          <w:cols w:equalWidth="0" w:num="1">
            <w:col w:w="11420"/>
          </w:cols>
          <w:pgMar w:left="240" w:top="580" w:right="239" w:bottom="1440" w:gutter="0" w:footer="0" w:header="0"/>
        </w:sectPr>
      </w:pPr>
    </w:p>
    <w:bookmarkStart w:id="28" w:name="page29"/>
    <w:bookmarkEnd w:id="28"/>
    <w:p>
      <w:pPr>
        <w:ind w:right="40"/>
        <w:spacing w:after="0" w:line="256" w:lineRule="auto"/>
        <w:rPr>
          <w:sz w:val="20"/>
          <w:szCs w:val="20"/>
          <w:color w:val="auto"/>
        </w:rPr>
      </w:pPr>
      <w:r>
        <w:rPr>
          <w:rFonts w:ascii="Times New Roman" w:cs="Times New Roman" w:eastAsia="Times New Roman" w:hAnsi="Times New Roman"/>
          <w:sz w:val="18"/>
          <w:szCs w:val="18"/>
          <w:color w:val="auto"/>
        </w:rPr>
        <w:t>Operating activities attributable to T. Rowe Price Group during the first quarter of 2017 provided cash flows of 728.1 million, an increase of $220.7 million from the 2016 period. More than half of the increase is attributable to the $140.0 million in insurance proceeds received in the first quarter of 2017 from insurance claims filed in 2016 in regard to the Dell appraisal rights matter. The remaining increase is primarily related to the timing of settlement of our other assets and liabilities. Our interim operating cash flows do not include the cash impact of variable compensation that is accrued throughout the year before being substantially paid out in December. The net cash provided by operating activities attributable to T. Rowe Price Group was offset in part by the net change in trading securities held in our consolidated sponsored investments’ underlying investment portfolios.</w:t>
      </w:r>
    </w:p>
    <w:p>
      <w:pPr>
        <w:spacing w:after="0" w:line="13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that are attributable to T. Rowe Price Group totaled $52.9 million in the first quarter of 2017. During the first quarter of 2017, we realized proceeds of $123.3 million from the sale of certain of our available-for-sale investments and provided $32.0 million in seed capital to new and existing sponsored investment portfolios. Since we consolidate these sponsored investment portfolios, the seed capital that we provided less any seed capital received back was eliminated in preparing our consolidated condensed statement of cash flow. Additionally, our net property and equipment additions were $46.9 million in the first quarter of 2017 compared to $35.2 million in the 2016 period. The cash flow attributable to consolidated sponsored investment portfolios of $46.5 million represents the net cash added to our balance sheet from consolidating and deconsolidating portfolios during the first quarter of 2017.</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attributable to T. Rowe Price Group were $405.1 million in the first quarter of 2017 compared with $321.6 million in the 2016 period. The increase in cash used in financing activities is largely related to the $99.4 million more we expended in common stock purchases in the first quarter of 2017 compared to the 2016 period. This increase was offset by higher cash proceeds of $20.9 million received from stock option exercises in the first quarter of 2017 compared with the 2016 quarter. The net cash used in financing activities attributable to T. Rowe Price Group was largely offset by the $551.1 million in cash provided by consolidated sponsored investment portfolios from the net subscriptions received from redeemable non-controlling interest 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ACCOUNTING POLICIES.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consolidated balance sheets, the revenues and expenses in our consolidated statements of income, and the information that is contained in our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consolidated financial statements, significant accounting policies, and notes.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the critical accounting policies previously identified in our 2016 Annual Report on Form 10-K.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ACCOUNTING STANDARDS.</w:t>
      </w:r>
    </w:p>
    <w:p>
      <w:pPr>
        <w:spacing w:after="0" w:line="22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May 2014, the FASB issued Accounting Standards Update No. 2014-09 — Revenue from Contracts with Customers, and subsequently has issued five related accounting standard updates clarifying several aspects of ASU 2014-09, including technical corrections and improvements. The overall objective of the new standards updates is to provide a single, comprehensive revenue recognition model for all contracts with customers to improve comparability within industries, across industries, and across capital markets. The revenue standard contains principles that will be applied to determine the measurement of revenue and timing of when it is recognized. We anticipate adopting the new standard on its effective date, January 1, 2018, though we have not yet selected whether we would adopt using the retrospective approach with adjustments to each prior period or the retrospective method with the cumulative effect of initial application recognized at the date of initial application. Our implementation efforts include a detailed review of revenue contracts within the scope of the guidance and evaluation of the impact on the Company's revenue recognition policies. While we are continuing to assess all potential impacts these standards will have on our financial position and results of operations, early conclusions indicate that these standards will not have a material impact. While we have not identified material changes in the timing of revenue recognition, we continue to evaluate the presentation of certain revenue-related costs on a gross versus net basis and related disclosures of revenue.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29</w:t>
      </w:r>
    </w:p>
    <w:p>
      <w:pPr>
        <w:sectPr>
          <w:pgSz w:w="11900" w:h="16838" w:orient="portrait"/>
          <w:cols w:equalWidth="0" w:num="1">
            <w:col w:w="11380"/>
          </w:cols>
          <w:pgMar w:left="240" w:top="580" w:right="279" w:bottom="1440" w:gutter="0" w:footer="0" w:header="0"/>
        </w:sectPr>
      </w:pPr>
    </w:p>
    <w:bookmarkStart w:id="29" w:name="page30"/>
    <w:bookmarkEnd w:id="29"/>
    <w:p>
      <w:pPr>
        <w:ind w:right="60"/>
        <w:spacing w:after="0" w:line="255" w:lineRule="auto"/>
        <w:rPr>
          <w:sz w:val="20"/>
          <w:szCs w:val="20"/>
          <w:color w:val="auto"/>
        </w:rPr>
      </w:pPr>
      <w:r>
        <w:rPr>
          <w:rFonts w:ascii="Times New Roman" w:cs="Times New Roman" w:eastAsia="Times New Roman" w:hAnsi="Times New Roman"/>
          <w:sz w:val="18"/>
          <w:szCs w:val="18"/>
          <w:color w:val="auto"/>
        </w:rPr>
        <w:t>In January 2016, the FASB issued Accounting Standards Update No. 2016-01 — Financial Instruments — Overall (Subtopic 825-10): Recognition and Measurement of Financial Assets and Financial Liabilities. The amendments in this update address certain aspects of recognition, measurement, presentation, and disclosure of financial instruments. The ASU is effective for fiscal years and interim periods within those years beginning after December 15, 2017, and requires a cumulative-effect adjustment to the balance sheet as of the beginning of the fiscal year of adoption. Early adoption is not permitted. The new guidance will require the change in fair value of equity investments with readily determinable fair values to be recognized through the income statements. We are currently evaluating the full impact of the standard, however, upon adoption the change in the fair value of our available-for-sale investments will be recognized in our consolidated income statement rather than our consolidated statement of comprehensive income.</w:t>
      </w:r>
    </w:p>
    <w:p>
      <w:pPr>
        <w:spacing w:after="0" w:line="18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In February 2016, the FASB issued Accounting Standards Update No. 2016-02 — Leases (Topic 842). The objective of the update is to increase transparency and comparability among organizations by recognizing lease assets and lease liabilities on the balance sheet and disclosing key information about leasing arrangements. The amendments in this update are effective for fiscal years beginning after December 15, 2018, including interim periods within those fiscal years. Early adoption is permitted. We are currently evaluating the impact this standard will have on our financial position and results of operations.</w:t>
      </w:r>
    </w:p>
    <w:p>
      <w:pPr>
        <w:spacing w:after="0" w:line="16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August 2016, the FASB issued Accounting Standards Update No. 2016-15 — Statement of Cash Flows (Topic 230): Classification of Certain Cash Receipts and Cash Payments (a consensus of the Emerging Issues Task Force). The amendments in this update provide guidance on eight specific cash flow issues. The new guidance is intended to reduce diversity in practice in how certain transactions are classified in the statement of cash flows. The amendments in this update are effective for fiscal</w:t>
      </w:r>
    </w:p>
    <w:p>
      <w:pPr>
        <w:spacing w:after="0" w:line="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years beginning after December 15, 2017, and interim periods within those fiscal years. Early adoption is permitted. We are currently evaluating the impact this standard will have on our consolidated statements of cash flows.</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have considered all other newly issued accounting guidance that is applicable to our operations and the preparation of our condensed consolidated statements, including those we have not yet adopted. We do not believe that any such guidance has or will have a material effect on our financial position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INFORMATION.</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estimated effective income tax rate; and our expectations regarding financial markets, future transactions and strategic initiatives, dividends, investments, capital expenditures, stock repurchases,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our Form 10-K Annual Report for 2016.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U.S. mutual funds (Price funds) and other managed investment portfolios; fluctuations in global financial markets that result in appreciation or depreciation of the assets under our management; our introduction of new products, including mutual funds and investment portfolios, and services;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income will also fluctuate as a result of the consolidation of certain of our investment portfolios as well as the size of our investments, changes in their market valuations, and any other-than-temporary impairments that may arise, or in the case of our equity method investments, our proportionate share of the investees net income.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30</w:t>
      </w:r>
    </w:p>
    <w:p>
      <w:pPr>
        <w:sectPr>
          <w:pgSz w:w="11900" w:h="16838" w:orient="portrait"/>
          <w:cols w:equalWidth="0" w:num="1">
            <w:col w:w="11420"/>
          </w:cols>
          <w:pgMar w:left="240" w:top="580" w:right="239" w:bottom="1440" w:gutter="0" w:footer="0" w:header="0"/>
        </w:sectPr>
      </w:pPr>
    </w:p>
    <w:bookmarkStart w:id="30" w:name="page31"/>
    <w:bookmarkEnd w:id="30"/>
    <w:p>
      <w:pPr>
        <w:ind w:right="60"/>
        <w:spacing w:after="0" w:line="254" w:lineRule="auto"/>
        <w:rPr>
          <w:sz w:val="20"/>
          <w:szCs w:val="20"/>
          <w:color w:val="auto"/>
        </w:rPr>
      </w:pPr>
      <w:r>
        <w:rPr>
          <w:rFonts w:ascii="Times New Roman" w:cs="Times New Roman" w:eastAsia="Times New Roman" w:hAnsi="Times New Roman"/>
          <w:sz w:val="18"/>
          <w:szCs w:val="18"/>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U.S., and to further penetrate our distribution channels within the U.S.; the pace and level of our planned increase in spending to support key strategic priorities; variations in the level of total compensation expense due to, among other things, bonuses, restricted stock units and other equity grants, other incentive awards, changes in our employee count and mix, and competitive factors; any goodwill or other asset impairment that may arise; fluctuation in foreign currency exchange rates applicable to our investment in and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fund accounting and other recordkeeping services, facilities, communications, power, and the mutual fund transfer agent and accounting systems.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has been no material change in the information provided in Item 7A of the Form 10-K Annual Report for 2016.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management, including our principal executive and principal financial officers, has evaluated the effectiveness of our disclosure controls and procedures as of March 31, 2017. Based on that evaluation, our principal executive and principal financial officers have concluded that our disclosure controls and procedures as of March 31, 2017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management, including our principal executive and principal financial officers, has evaluated any change in our internal control over financial reporting that occurred during the first quarter of 2017, and has concluded that there was no change during the first quarter of 2017 that has materially affected, or is reasonably likely to materially affect, our internal control over financial reporting.</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31</w:t>
      </w:r>
    </w:p>
    <w:p>
      <w:pPr>
        <w:sectPr>
          <w:pgSz w:w="11900" w:h="16838" w:orient="portrait"/>
          <w:cols w:equalWidth="0" w:num="1">
            <w:col w:w="11400"/>
          </w:cols>
          <w:pgMar w:left="240" w:top="580" w:right="259" w:bottom="1440" w:gutter="0" w:footer="0" w:header="0"/>
        </w:sectPr>
      </w:pPr>
    </w:p>
    <w:bookmarkStart w:id="31" w:name="page32"/>
    <w:bookmarkEnd w:id="3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plaintiff is a former employee who alleges breaches of ERISA’s fiduciary duty and prohibited transaction provisions on behalf of a class of all participants and beneficiaries of the T. Rowe Price 401(k) Plan from February 14, 2011, to the time of judgment. The plaintiff is seeking certification of the complaint as a class action. T. Rowe Price believes the claims are without merit and intends to vigorously defend the action.</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 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 T. Rowe Price believes the claims are without merit and intends to vigorously defend the action.</w:t>
      </w:r>
    </w:p>
    <w:p>
      <w:pPr>
        <w:spacing w:after="0" w:line="18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addition to the matters discussed above,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With the exception of the following additions or updates to the Legal and Regulatory Risks discussed in Item 1A of our Form 10-K Annual Report for 2016, there have been no material changes in the risk factors previously provided.</w:t>
      </w:r>
    </w:p>
    <w:p>
      <w:pPr>
        <w:spacing w:after="0" w:line="1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Legal and regulatory developments in the mutual fund and investment advisory industry could increase our regulatory burden, impose significant financial and strategic costs on our business, and cause a loss of, or impact the servicing of, our clients and fund shareholders.</w:t>
      </w:r>
    </w:p>
    <w:p>
      <w:pPr>
        <w:spacing w:after="0" w:line="1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regulatory environment is frequently altered by new regulations and by revisions to, and evolving interpretations of, existing laws and regulations. New laws and regulations present areas of uncertainty susceptible to alternative interpretations; regulators and prospective litigants may not agree with reasoned interpretations we adopt. Future changes could require us to modify or curtail our investment offerings and business operations, or impact our expenses and profitability. Additionally, some laws and regulations may not directly apply to our business but may impact the capital markets, service providers or have other indirect effects on our ability to provide services to our clients.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impacts of current or proposed legal or regulatory requirements include, without limitation, the following:</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revised Markets in Financial Instruments Directive (MiFID II Directive) and Regulation (MiFIR) (together “MiFID II”) will apply across the European Union (“EU”) and member states of the European Economic Area beginning on January 3, 2018, unless this date is extended. Implementation of MiFID II will significantly impact both the structure and operation of EU financial markets. Some of the main changes introduced under MiFID II include applying enhanced disclosure requirements, enhancing conduct of business and governance requirements, broadening the scope of pre and post trade transparency, increasing transaction reporting requirements, transforming the relationship between client commissions and research, and further regulation of trading venues. Compliance with MiFID II may materially impact the manner in which we obtain research and increase our costs.</w:t>
      </w:r>
    </w:p>
    <w:p>
      <w:pPr>
        <w:spacing w:after="0" w:line="18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cannot predict the nature of future changes to the legal and regulatory requirements applicable to our business, nor the extent of the impacts that will result from current or future proposals. However, any such changes are likely to increase the costs of compliance and the complexity of our operations. They may also result in changes to our product or service offerings.</w:t>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Page 32</w:t>
      </w:r>
    </w:p>
    <w:p>
      <w:pPr>
        <w:sectPr>
          <w:pgSz w:w="11900" w:h="16838" w:orient="portrait"/>
          <w:cols w:equalWidth="0" w:num="1">
            <w:col w:w="11340"/>
          </w:cols>
          <w:pgMar w:left="240" w:top="360" w:right="319" w:bottom="1440" w:gutter="0" w:footer="0" w:header="0"/>
        </w:sectPr>
      </w:pPr>
    </w:p>
    <w:bookmarkStart w:id="32" w:name="page33"/>
    <w:bookmarkEnd w:id="32"/>
    <w:p>
      <w:pPr>
        <w:ind w:right="240"/>
        <w:spacing w:after="0" w:line="282" w:lineRule="auto"/>
        <w:rPr>
          <w:sz w:val="20"/>
          <w:szCs w:val="20"/>
          <w:color w:val="auto"/>
        </w:rPr>
      </w:pPr>
      <w:r>
        <w:rPr>
          <w:rFonts w:ascii="Times New Roman" w:cs="Times New Roman" w:eastAsia="Times New Roman" w:hAnsi="Times New Roman"/>
          <w:sz w:val="18"/>
          <w:szCs w:val="18"/>
          <w:color w:val="auto"/>
        </w:rPr>
        <w:t>The changing regulatory landscape may also impact a number of our service providers and, to the extent such providers alter their services or increase their fees, it may impact our expenses or those of the products we offer.</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subject to regulatory and governmental inquiries and civil litigation. An adverse outcome of any such proceeding could involve substantial financial penalties. From time to time, various claims against us arise in the ordinary course of business, including employment-related claims. There also has been an increase in litigation and in regulatory investigations in the financial services industry in recent years, including customer claims, class action suits, and government actions alleging substantial monetary damages and penalties.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carry insurance in amounts and under terms that we believe are appropriate. We cannot be assured that our insurance will cover every liability and loss to which we may be exposed, or that our insurance policies will continue to be available at acceptable terms and fees. Certain insurance coverage may not be available or may be prohibitively expensive in future periods. As our insurance policies come up for renewal, we may need to assume higher deductibles or co-insurance liabilities, or pay higher premiums, which would increase our expenses and reduce our net income.</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2016, we paid $166.2 million to compensate certain T. Rowe Price mutual funds, trusts, separately managed accounts, and subadvised clients (collectively, “Clients”) for the denial of their appraisal rights by the Delaware Chancery Court (Court) in connection with the 2013 leveraged buyout of Dell, Inc. (Dell). The Court ruled on May 11, 2016, that the Clients could not pursue an appraisal of any shares they held that were voted in favor of the Dell merger. The appraisal statute governing the transaction required the record holder to vote against or abstain from voting on the transaction in order to assert appraisal rights. After previously voting against prior transaction proposals, the voting instructions submitted on behalf of the Clients in connection with voting on the final proposed transaction were incorrectly submitted in favor of the transaction. On May 31, 2016, the Court determined that the fair value of Dell at the time of the merger was $17.62 per share, as opposed to the $13.75 price offered in the transaction. As a result, any shareholder perfecting appraisal rights is entitled to a payment at $17.62 per share plus statutory interest from the date the Dell transaction closed. The compensation to Clients was intended to make them whole for the voting discrepancy that resulted in the denial of their appraisal rights. On December 30, 2016, we signed a settlement agreement with our insurance carrier for insurance proceeds totaling $100.0 million related to this matter. We received the settlement in the first quarter of 2017. Additionally, we signed settlement agreements totaling $50 million in the first quarter of 2017. As of March 31, 2017, we have received $140 million of the related proceeds and expect the remaining $10 million in the second quarter of 2017.</w:t>
      </w:r>
    </w:p>
    <w:p>
      <w:pPr>
        <w:spacing w:after="0" w:line="191"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In accordance with the compensation payment, the Clients agreed that in the event the findings made by the Court regarding the fair value of Dell or the amount of interest to be applied were modified by the Supreme Court of Delaware on appeal, T. Rowe Price and the Clients would make an appropriate adjustment between themselves, calculated in a manner that is consistent with the methodology used to compensate Clients. In December 2016, several parties, including Dell and the successful appraisal petitioners, filed appeals to the Delaware Supreme Court to challenge the Chancery Court’s valuation ruling. Our settlement agreements with our insurance carriers provide that if the fair value of Dell is reduced, we would work together to make appropriate adjustments.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Repurchase activity during the first quarter of 2017 is as follows: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shd w:val="clear" w:color="auto" w:fill="CCEEFF"/>
          </w:tcPr>
          <w:p>
            <w:pPr>
              <w:spacing w:after="0"/>
              <w:rPr>
                <w:sz w:val="13"/>
                <w:szCs w:val="13"/>
                <w:color w:val="auto"/>
              </w:rPr>
            </w:pPr>
          </w:p>
        </w:tc>
        <w:tc>
          <w:tcPr>
            <w:tcW w:w="1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0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shd w:val="clear" w:color="auto" w:fill="CCEEFF"/>
          </w:tcPr>
          <w:p>
            <w:pPr>
              <w:spacing w:after="0"/>
              <w:rPr>
                <w:sz w:val="12"/>
                <w:szCs w:val="12"/>
                <w:color w:val="auto"/>
              </w:rPr>
            </w:pPr>
          </w:p>
        </w:tc>
        <w:tc>
          <w:tcPr>
            <w:tcW w:w="1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20" w:type="dxa"/>
            <w:vAlign w:val="bottom"/>
            <w:vMerge w:val="restart"/>
            <w:shd w:val="clear" w:color="auto" w:fill="CCEEFF"/>
          </w:tcPr>
          <w:p>
            <w:pPr>
              <w:spacing w:after="0"/>
              <w:rPr>
                <w:sz w:val="12"/>
                <w:szCs w:val="12"/>
                <w:color w:val="auto"/>
              </w:rPr>
            </w:pPr>
          </w:p>
        </w:tc>
        <w:tc>
          <w:tcPr>
            <w:tcW w:w="220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2"/>
            <w:vMerge w:val="continue"/>
            <w:shd w:val="clear" w:color="auto" w:fill="CCEEFF"/>
          </w:tcPr>
          <w:p>
            <w:pPr>
              <w:spacing w:after="0"/>
              <w:rPr>
                <w:sz w:val="12"/>
                <w:szCs w:val="12"/>
                <w:color w:val="auto"/>
              </w:rPr>
            </w:pPr>
          </w:p>
        </w:tc>
        <w:tc>
          <w:tcPr>
            <w:tcW w:w="1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 Purchased</w:t>
            </w:r>
          </w:p>
        </w:tc>
        <w:tc>
          <w:tcPr>
            <w:tcW w:w="0" w:type="dxa"/>
            <w:vAlign w:val="bottom"/>
          </w:tcPr>
          <w:p>
            <w:pPr>
              <w:spacing w:after="0"/>
              <w:rPr>
                <w:sz w:val="1"/>
                <w:szCs w:val="1"/>
                <w:color w:val="auto"/>
              </w:rPr>
            </w:pPr>
          </w:p>
        </w:tc>
      </w:tr>
      <w:tr>
        <w:trPr>
          <w:trHeight w:val="195"/>
        </w:trPr>
        <w:tc>
          <w:tcPr>
            <w:tcW w:w="35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208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00" w:type="dxa"/>
            <w:vAlign w:val="bottom"/>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w:t>
            </w:r>
          </w:p>
        </w:tc>
        <w:tc>
          <w:tcPr>
            <w:tcW w:w="100" w:type="dxa"/>
            <w:vAlign w:val="bottom"/>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Under the Program</w:t>
            </w:r>
          </w:p>
        </w:tc>
        <w:tc>
          <w:tcPr>
            <w:tcW w:w="0" w:type="dxa"/>
            <w:vAlign w:val="bottom"/>
          </w:tcPr>
          <w:p>
            <w:pPr>
              <w:spacing w:after="0"/>
              <w:rPr>
                <w:sz w:val="1"/>
                <w:szCs w:val="1"/>
                <w:color w:val="auto"/>
              </w:rPr>
            </w:pPr>
          </w:p>
        </w:tc>
      </w:tr>
      <w:tr>
        <w:trPr>
          <w:trHeight w:val="242"/>
        </w:trPr>
        <w:tc>
          <w:tcPr>
            <w:tcW w:w="3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January</w:t>
            </w:r>
          </w:p>
        </w:tc>
        <w:tc>
          <w:tcPr>
            <w:tcW w:w="2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795,731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70.35</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566,345</w:t>
            </w:r>
          </w:p>
        </w:tc>
        <w:tc>
          <w:tcPr>
            <w:tcW w:w="20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21,229,852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February</w:t>
            </w:r>
          </w:p>
        </w:tc>
        <w:tc>
          <w:tcPr>
            <w:tcW w:w="20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3,244,415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68.34</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3,164,157</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18,065,695</w:t>
            </w:r>
          </w:p>
        </w:tc>
        <w:tc>
          <w:tcPr>
            <w:tcW w:w="0" w:type="dxa"/>
            <w:vAlign w:val="bottom"/>
          </w:tcPr>
          <w:p>
            <w:pPr>
              <w:spacing w:after="0"/>
              <w:rPr>
                <w:sz w:val="1"/>
                <w:szCs w:val="1"/>
                <w:color w:val="auto"/>
              </w:rPr>
            </w:pPr>
          </w:p>
        </w:tc>
      </w:tr>
      <w:tr>
        <w:trPr>
          <w:trHeight w:val="243"/>
        </w:trPr>
        <w:tc>
          <w:tcPr>
            <w:tcW w:w="3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March</w:t>
            </w:r>
          </w:p>
        </w:tc>
        <w:tc>
          <w:tcPr>
            <w:tcW w:w="2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951,672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69.28</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891,493</w:t>
            </w:r>
          </w:p>
        </w:tc>
        <w:tc>
          <w:tcPr>
            <w:tcW w:w="20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17,174,202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Total</w:t>
            </w:r>
          </w:p>
        </w:tc>
        <w:tc>
          <w:tcPr>
            <w:tcW w:w="20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4,991,818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68.84</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4,621,995</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Shares repurchased by us in a quarter may include repurchases conducted pursuant to publicly announced board authorization,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first quarter of 2017, 369,238 were related to shares surrendered in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33</w:t>
      </w:r>
    </w:p>
    <w:p>
      <w:pPr>
        <w:sectPr>
          <w:pgSz w:w="11900" w:h="16838" w:orient="portrait"/>
          <w:cols w:equalWidth="0" w:num="1">
            <w:col w:w="11420"/>
          </w:cols>
          <w:pgMar w:left="240" w:top="580" w:right="239" w:bottom="1440" w:gutter="0" w:footer="0" w:header="0"/>
        </w:sectPr>
      </w:pPr>
    </w:p>
    <w:bookmarkStart w:id="33" w:name="page34"/>
    <w:bookmarkEnd w:id="33"/>
    <w:p>
      <w:pPr>
        <w:ind w:right="180"/>
        <w:spacing w:after="0" w:line="282" w:lineRule="auto"/>
        <w:rPr>
          <w:sz w:val="20"/>
          <w:szCs w:val="20"/>
          <w:color w:val="auto"/>
        </w:rPr>
      </w:pPr>
      <w:r>
        <w:rPr>
          <w:rFonts w:ascii="Times New Roman" w:cs="Times New Roman" w:eastAsia="Times New Roman" w:hAnsi="Times New Roman"/>
          <w:sz w:val="18"/>
          <w:szCs w:val="18"/>
          <w:color w:val="auto"/>
        </w:rPr>
        <w:t>connection with employee stock option exercises and 585 were related to shares withheld to cover tax withholdings associated with the vesting of restricted stock awards.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4,621,995 shares of our common stock were repurchased pursuant to the Board of Directors’ December 10, 2015, publicly announced authorization. The maximum number of shares that may yet be purchased as of March 31, 2017, under the Board of Directors’ December 10, 2015, and December 6, 2016, publicly announced authorizations is 17,174,202.</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On April 25, 2017, we issued an earnings release reporting our results of operations for the first quarter of 2017. A copy of that earnings release is furnished herewith as Exhibit 99. This information shall not be deemed filed for purposes of Section 18 of the Securities Exchange Act of 1934, nor shall it be deemed incorporated by reference in any filing under the Securities Act of 1933.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FILINGS.</w:t>
      </w:r>
    </w:p>
    <w:p>
      <w:pPr>
        <w:spacing w:after="0" w:line="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make available free of charge through our website our annual report on Form 10-K, quarterly reports on Form 10-Q, current reports on Form 8-K, and any amendments to those reports filed or furnished pursuant to Section 13(a) of the Exchange Act as soon as reasonably practicable after we electronically file them with, or furnish them to, the SEC. To obtain any of this information, access our website at troweprice.com. We use our website as a channel of distribution for material company information.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required by Item 601 of Regulation S-K are furnished herewith.</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3(i).1</w:t>
            </w:r>
          </w:p>
        </w:tc>
        <w:tc>
          <w:tcPr>
            <w:tcW w:w="101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Charter of T. Rowe Price Group, Inc., as Amended by Articles of Amendment dated April 10, 2008. (Incorporated by reference from</w:t>
            </w:r>
          </w:p>
        </w:tc>
      </w:tr>
      <w:tr>
        <w:trPr>
          <w:trHeight w:val="234"/>
        </w:trPr>
        <w:tc>
          <w:tcPr>
            <w:tcW w:w="1100" w:type="dxa"/>
            <w:vAlign w:val="bottom"/>
          </w:tcPr>
          <w:p>
            <w:pPr>
              <w:spacing w:after="0"/>
              <w:rPr>
                <w:sz w:val="20"/>
                <w:szCs w:val="20"/>
                <w:color w:val="auto"/>
              </w:rPr>
            </w:pPr>
          </w:p>
        </w:tc>
        <w:tc>
          <w:tcPr>
            <w:tcW w:w="101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Form 10-Q Report for the quarterly period ended March 31, 2008 filed on April 24, 2008; File No. 033-07012-99.)</w:t>
            </w:r>
          </w:p>
        </w:tc>
      </w:tr>
      <w:tr>
        <w:trPr>
          <w:trHeight w:val="38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3(ii)</w:t>
            </w:r>
          </w:p>
        </w:tc>
        <w:tc>
          <w:tcPr>
            <w:tcW w:w="101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Amended and Restated By-Laws of T. Rowe Price Group, Inc. as of December 10, 2015. (Incorporated by reference from Form 8-K</w:t>
            </w:r>
          </w:p>
        </w:tc>
      </w:tr>
      <w:tr>
        <w:trPr>
          <w:trHeight w:val="234"/>
        </w:trPr>
        <w:tc>
          <w:tcPr>
            <w:tcW w:w="1100" w:type="dxa"/>
            <w:vAlign w:val="bottom"/>
          </w:tcPr>
          <w:p>
            <w:pPr>
              <w:spacing w:after="0"/>
              <w:rPr>
                <w:sz w:val="20"/>
                <w:szCs w:val="20"/>
                <w:color w:val="auto"/>
              </w:rPr>
            </w:pPr>
          </w:p>
        </w:tc>
        <w:tc>
          <w:tcPr>
            <w:tcW w:w="101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Current Report file on December 10, 2015; File No. 000-32191).</w:t>
            </w:r>
          </w:p>
        </w:tc>
      </w:tr>
      <w:tr>
        <w:trPr>
          <w:trHeight w:val="40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101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Letter from KPMG LLP, independent registered public accounting firm, re unaudited interim financial information.</w:t>
            </w:r>
          </w:p>
        </w:tc>
      </w:tr>
      <w:tr>
        <w:trPr>
          <w:trHeight w:val="40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31(i).1</w:t>
            </w:r>
          </w:p>
        </w:tc>
        <w:tc>
          <w:tcPr>
            <w:tcW w:w="101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Rule 13a-14(a) Certification of Principal Executive Officer.</w:t>
            </w:r>
          </w:p>
        </w:tc>
      </w:tr>
      <w:tr>
        <w:trPr>
          <w:trHeight w:val="40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31(i).2</w:t>
            </w:r>
          </w:p>
        </w:tc>
        <w:tc>
          <w:tcPr>
            <w:tcW w:w="101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Rule 13a-14(a) Certification of Principal Financial Officer.</w:t>
            </w:r>
          </w:p>
        </w:tc>
      </w:tr>
      <w:tr>
        <w:trPr>
          <w:trHeight w:val="40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1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Section 1350 Certifications.</w:t>
            </w:r>
          </w:p>
        </w:tc>
      </w:tr>
      <w:tr>
        <w:trPr>
          <w:trHeight w:val="40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99</w:t>
            </w:r>
          </w:p>
        </w:tc>
        <w:tc>
          <w:tcPr>
            <w:tcW w:w="101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Earnings release issued April 25, 2017, reporting our results of operations for the first quarter of 2017.</w:t>
            </w:r>
          </w:p>
        </w:tc>
      </w:tr>
      <w:tr>
        <w:trPr>
          <w:trHeight w:val="40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following series of unaudited XBRL-formatted documents are collectively included herewith as Exhibit 101. The financial</w:t>
            </w:r>
          </w:p>
        </w:tc>
      </w:tr>
    </w:tbl>
    <w:p>
      <w:pPr>
        <w:ind w:left="1760" w:right="240"/>
        <w:spacing w:after="0" w:line="261" w:lineRule="auto"/>
        <w:rPr>
          <w:sz w:val="20"/>
          <w:szCs w:val="20"/>
          <w:color w:val="auto"/>
        </w:rPr>
      </w:pPr>
      <w:r>
        <w:rPr>
          <w:rFonts w:ascii="Times New Roman" w:cs="Times New Roman" w:eastAsia="Times New Roman" w:hAnsi="Times New Roman"/>
          <w:sz w:val="18"/>
          <w:szCs w:val="18"/>
          <w:color w:val="auto"/>
        </w:rPr>
        <w:t>information is extracted from T. Rowe Price Group’s unaudited condensed consolidated interim financial statements and notes that are included in this Form 10-Q Report.</w:t>
      </w:r>
    </w:p>
    <w:p>
      <w:pPr>
        <w:spacing w:after="0" w:line="15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101.INS XBRL Instance Document (File name: trow-20170331.xml).</w:t>
      </w:r>
    </w:p>
    <w:p>
      <w:pPr>
        <w:spacing w:after="0" w:line="19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101.SCH XBRL Taxonomy Extension Schema Document (File name: trow-20170331.xsd).</w:t>
      </w:r>
    </w:p>
    <w:p>
      <w:pPr>
        <w:spacing w:after="0" w:line="19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101.CAL XBRL Taxonomy Calculation Linkbase Document (File name: trow-20170331_cal.xml).</w:t>
      </w:r>
    </w:p>
    <w:p>
      <w:pPr>
        <w:spacing w:after="0" w:line="19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101.LAB XBRL Taxonomy Label Linkbase Document (File name: trow-20170331_lab.xml).</w:t>
      </w:r>
    </w:p>
    <w:p>
      <w:pPr>
        <w:spacing w:after="0" w:line="19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101.PRE XBRL Taxonomy Presentation Linkbase Document (File name: trow-20170331_pre.xml).</w:t>
      </w:r>
    </w:p>
    <w:p>
      <w:pPr>
        <w:spacing w:after="0" w:line="19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101.DEF XBRL Taxonomy Definition Linkbase Document (File name: trow-20170331_def.xml).</w:t>
      </w:r>
    </w:p>
    <w:p>
      <w:pPr>
        <w:sectPr>
          <w:pgSz w:w="11900" w:h="16838" w:orient="portrait"/>
          <w:cols w:equalWidth="0" w:num="1">
            <w:col w:w="11400"/>
          </w:cols>
          <w:pgMar w:left="240" w:top="580" w:right="25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34</w:t>
      </w:r>
    </w:p>
    <w:p>
      <w:pPr>
        <w:sectPr>
          <w:pgSz w:w="11900" w:h="16838" w:orient="portrait"/>
          <w:cols w:equalWidth="0" w:num="1">
            <w:col w:w="11400"/>
          </w:cols>
          <w:pgMar w:left="240" w:top="580" w:right="259" w:bottom="1440" w:gutter="0" w:footer="0" w:header="0"/>
          <w:type w:val="continuous"/>
        </w:sectPr>
      </w:pPr>
    </w:p>
    <w:bookmarkStart w:id="34" w:name="page35"/>
    <w:bookmarkEnd w:id="34"/>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April 25, 2017.</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Rowe Price Group, Inc.</w:t>
      </w:r>
    </w:p>
    <w:p>
      <w:pPr>
        <w:spacing w:after="0" w:line="22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Kenneth V. Moreland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Page 35</w:t>
      </w:r>
    </w:p>
    <w:p>
      <w:pPr>
        <w:sectPr>
          <w:pgSz w:w="11900" w:h="16838" w:orient="portrait"/>
          <w:cols w:equalWidth="0" w:num="1">
            <w:col w:w="11220"/>
          </w:cols>
          <w:pgMar w:left="240" w:top="360" w:right="439" w:bottom="1440" w:gutter="0" w:footer="0" w:header="0"/>
        </w:sectPr>
      </w:pPr>
    </w:p>
    <w:bookmarkStart w:id="35" w:name="page36"/>
    <w:bookmarkEnd w:id="35"/>
    <w:p>
      <w:pPr>
        <w:ind w:left="4340"/>
        <w:spacing w:after="0"/>
        <w:rPr>
          <w:sz w:val="20"/>
          <w:szCs w:val="20"/>
          <w:color w:val="auto"/>
        </w:rPr>
      </w:pPr>
      <w:r>
        <w:rPr>
          <w:rFonts w:ascii="Times New Roman" w:cs="Times New Roman" w:eastAsia="Times New Roman" w:hAnsi="Times New Roman"/>
          <w:sz w:val="17"/>
          <w:szCs w:val="17"/>
          <w:color w:val="auto"/>
        </w:rPr>
        <w:t>EXHIBIT 15</w:t>
      </w:r>
    </w:p>
    <w:p>
      <w:pPr>
        <w:spacing w:after="0" w:line="20" w:lineRule="exact"/>
        <w:rPr>
          <w:sz w:val="20"/>
          <w:szCs w:val="20"/>
          <w:color w:val="auto"/>
        </w:rPr>
      </w:pPr>
      <w:r>
        <w:rPr>
          <w:sz w:val="20"/>
          <w:szCs w:val="20"/>
          <w:color w:val="auto"/>
        </w:rPr>
        <w:br w:type="column"/>
      </w:r>
    </w:p>
    <w:p>
      <w:pPr>
        <w:jc w:val="right"/>
        <w:spacing w:after="0" w:line="282" w:lineRule="auto"/>
        <w:rPr>
          <w:sz w:val="20"/>
          <w:szCs w:val="20"/>
          <w:color w:val="auto"/>
        </w:rPr>
      </w:pPr>
      <w:r>
        <w:rPr>
          <w:rFonts w:ascii="Times New Roman" w:cs="Times New Roman" w:eastAsia="Times New Roman" w:hAnsi="Times New Roman"/>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ectPr>
          <w:pgSz w:w="11900" w:h="16838" w:orient="portrait"/>
          <w:cols w:equalWidth="0" w:num="2">
            <w:col w:w="5520" w:space="720"/>
            <w:col w:w="5180"/>
          </w:cols>
          <w:pgMar w:left="240" w:top="580" w:right="239" w:bottom="1440" w:gutter="0" w:footer="0" w:header="0"/>
        </w:sectPr>
      </w:pP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Rowe Price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 21202</w:t>
      </w:r>
    </w:p>
    <w:p>
      <w:pPr>
        <w:spacing w:after="0" w:line="200" w:lineRule="exact"/>
        <w:rPr>
          <w:sz w:val="20"/>
          <w:szCs w:val="20"/>
          <w:color w:val="auto"/>
        </w:rPr>
      </w:pPr>
    </w:p>
    <w:p>
      <w:pPr>
        <w:spacing w:after="0" w:line="21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color w:val="auto"/>
        </w:rPr>
        <w:t xml:space="preserve">Re: Registration Statements on Form S-8: No. </w:t>
      </w:r>
      <w:r>
        <w:rPr>
          <w:rFonts w:ascii="Times New Roman" w:cs="Times New Roman" w:eastAsia="Times New Roman" w:hAnsi="Times New Roman"/>
          <w:sz w:val="18"/>
          <w:szCs w:val="18"/>
          <w:b w:val="1"/>
          <w:bCs w:val="1"/>
          <w:color w:val="auto"/>
        </w:rPr>
        <w:t>33-7012</w:t>
      </w:r>
      <w:r>
        <w:rPr>
          <w:rFonts w:ascii="Times New Roman" w:cs="Times New Roman" w:eastAsia="Times New Roman" w:hAnsi="Times New Roman"/>
          <w:sz w:val="18"/>
          <w:szCs w:val="18"/>
          <w:color w:val="auto"/>
        </w:rPr>
        <w:t xml:space="preserve">, No. </w:t>
      </w:r>
      <w:r>
        <w:rPr>
          <w:rFonts w:ascii="Times New Roman" w:cs="Times New Roman" w:eastAsia="Times New Roman" w:hAnsi="Times New Roman"/>
          <w:sz w:val="18"/>
          <w:szCs w:val="18"/>
          <w:b w:val="1"/>
          <w:bCs w:val="1"/>
          <w:color w:val="auto"/>
        </w:rPr>
        <w:t>333-59714</w:t>
      </w:r>
      <w:r>
        <w:rPr>
          <w:rFonts w:ascii="Times New Roman" w:cs="Times New Roman" w:eastAsia="Times New Roman" w:hAnsi="Times New Roman"/>
          <w:sz w:val="18"/>
          <w:szCs w:val="18"/>
          <w:color w:val="auto"/>
        </w:rPr>
        <w:t xml:space="preserve">, No. </w:t>
      </w:r>
      <w:r>
        <w:rPr>
          <w:rFonts w:ascii="Times New Roman" w:cs="Times New Roman" w:eastAsia="Times New Roman" w:hAnsi="Times New Roman"/>
          <w:sz w:val="18"/>
          <w:szCs w:val="18"/>
          <w:b w:val="1"/>
          <w:bCs w:val="1"/>
          <w:color w:val="auto"/>
        </w:rPr>
        <w:t>333-120882</w:t>
      </w:r>
      <w:r>
        <w:rPr>
          <w:rFonts w:ascii="Times New Roman" w:cs="Times New Roman" w:eastAsia="Times New Roman" w:hAnsi="Times New Roman"/>
          <w:sz w:val="18"/>
          <w:szCs w:val="18"/>
          <w:color w:val="auto"/>
        </w:rPr>
        <w:t xml:space="preserve">, No. </w:t>
      </w:r>
      <w:r>
        <w:rPr>
          <w:rFonts w:ascii="Times New Roman" w:cs="Times New Roman" w:eastAsia="Times New Roman" w:hAnsi="Times New Roman"/>
          <w:sz w:val="18"/>
          <w:szCs w:val="18"/>
          <w:b w:val="1"/>
          <w:bCs w:val="1"/>
          <w:color w:val="auto"/>
        </w:rPr>
        <w:t>333-120883</w:t>
      </w:r>
      <w:r>
        <w:rPr>
          <w:rFonts w:ascii="Times New Roman" w:cs="Times New Roman" w:eastAsia="Times New Roman" w:hAnsi="Times New Roman"/>
          <w:sz w:val="18"/>
          <w:szCs w:val="18"/>
          <w:color w:val="auto"/>
        </w:rPr>
        <w:t xml:space="preserve">, No. </w:t>
      </w:r>
      <w:r>
        <w:rPr>
          <w:rFonts w:ascii="Times New Roman" w:cs="Times New Roman" w:eastAsia="Times New Roman" w:hAnsi="Times New Roman"/>
          <w:sz w:val="18"/>
          <w:szCs w:val="18"/>
          <w:b w:val="1"/>
          <w:bCs w:val="1"/>
          <w:color w:val="auto"/>
        </w:rPr>
        <w:t>333-142092</w:t>
      </w:r>
      <w:r>
        <w:rPr>
          <w:rFonts w:ascii="Times New Roman" w:cs="Times New Roman" w:eastAsia="Times New Roman" w:hAnsi="Times New Roman"/>
          <w:sz w:val="18"/>
          <w:szCs w:val="18"/>
          <w:color w:val="auto"/>
        </w:rPr>
        <w:t xml:space="preserve">, No. </w:t>
      </w:r>
      <w:r>
        <w:rPr>
          <w:rFonts w:ascii="Times New Roman" w:cs="Times New Roman" w:eastAsia="Times New Roman" w:hAnsi="Times New Roman"/>
          <w:sz w:val="18"/>
          <w:szCs w:val="18"/>
          <w:b w:val="1"/>
          <w:bCs w:val="1"/>
          <w:color w:val="auto"/>
        </w:rPr>
        <w:t>333-167317</w:t>
      </w:r>
      <w:r>
        <w:rPr>
          <w:rFonts w:ascii="Times New Roman" w:cs="Times New Roman" w:eastAsia="Times New Roman" w:hAnsi="Times New Roman"/>
          <w:sz w:val="18"/>
          <w:szCs w:val="18"/>
          <w:color w:val="auto"/>
        </w:rPr>
        <w:t xml:space="preserve">, No. </w:t>
      </w:r>
      <w:r>
        <w:rPr>
          <w:rFonts w:ascii="Times New Roman" w:cs="Times New Roman" w:eastAsia="Times New Roman" w:hAnsi="Times New Roman"/>
          <w:sz w:val="18"/>
          <w:szCs w:val="18"/>
          <w:b w:val="1"/>
          <w:bCs w:val="1"/>
          <w:color w:val="auto"/>
        </w:rPr>
        <w:t>333-180904</w:t>
      </w:r>
      <w:r>
        <w:rPr>
          <w:rFonts w:ascii="Times New Roman" w:cs="Times New Roman" w:eastAsia="Times New Roman" w:hAnsi="Times New Roman"/>
          <w:sz w:val="18"/>
          <w:szCs w:val="18"/>
          <w:color w:val="auto"/>
        </w:rPr>
        <w:t>, No.</w:t>
      </w:r>
      <w:r>
        <w:rPr>
          <w:rFonts w:ascii="Times New Roman" w:cs="Times New Roman" w:eastAsia="Times New Roman" w:hAnsi="Times New Roman"/>
          <w:sz w:val="18"/>
          <w:szCs w:val="18"/>
          <w:b w:val="1"/>
          <w:bCs w:val="1"/>
          <w:color w:val="auto"/>
        </w:rPr>
        <w:t xml:space="preserve"> 333-199560</w:t>
      </w:r>
      <w:r>
        <w:rPr>
          <w:rFonts w:ascii="Times New Roman" w:cs="Times New Roman" w:eastAsia="Times New Roman" w:hAnsi="Times New Roman"/>
          <w:sz w:val="18"/>
          <w:szCs w:val="18"/>
          <w:color w:val="auto"/>
        </w:rPr>
        <w:t>, and No.</w:t>
      </w:r>
      <w:r>
        <w:rPr>
          <w:rFonts w:ascii="Times New Roman" w:cs="Times New Roman" w:eastAsia="Times New Roman" w:hAnsi="Times New Roman"/>
          <w:sz w:val="18"/>
          <w:szCs w:val="18"/>
          <w:b w:val="1"/>
          <w:bCs w:val="1"/>
          <w:color w:val="auto"/>
        </w:rPr>
        <w:t xml:space="preserve"> 333-212705 </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With respect to the subject registration statements, we acknowledge our awareness of the use therein of our report dated April 25, 2017 related to our review of interim financial information.</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25, 2017</w:t>
      </w:r>
    </w:p>
    <w:p>
      <w:pPr>
        <w:sectPr>
          <w:pgSz w:w="11900" w:h="16838" w:orient="portrait"/>
          <w:cols w:equalWidth="0" w:num="1">
            <w:col w:w="11420"/>
          </w:cols>
          <w:pgMar w:left="240" w:top="580" w:right="239" w:bottom="1440" w:gutter="0" w:footer="0" w:header="0"/>
          <w:type w:val="continuous"/>
        </w:sectPr>
      </w:pPr>
    </w:p>
    <w:bookmarkStart w:id="36" w:name="page37"/>
    <w:bookmarkEnd w:id="36"/>
    <w:p>
      <w:pPr>
        <w:spacing w:after="0"/>
        <w:tabs>
          <w:tab w:leader="none" w:pos="2180" w:val="left"/>
        </w:tabs>
        <w:rPr>
          <w:sz w:val="20"/>
          <w:szCs w:val="20"/>
          <w:color w:val="auto"/>
        </w:rPr>
      </w:pPr>
      <w:r>
        <w:rPr>
          <w:rFonts w:ascii="Times New Roman" w:cs="Times New Roman" w:eastAsia="Times New Roman" w:hAnsi="Times New Roman"/>
          <w:sz w:val="18"/>
          <w:szCs w:val="18"/>
          <w:color w:val="auto"/>
        </w:rPr>
        <w:t>EXHIBIT 31(i).1</w:t>
      </w:r>
      <w:r>
        <w:rPr>
          <w:sz w:val="20"/>
          <w:szCs w:val="20"/>
          <w:color w:val="auto"/>
        </w:rPr>
        <w:tab/>
      </w:r>
      <w:r>
        <w:rPr>
          <w:rFonts w:ascii="Times New Roman" w:cs="Times New Roman" w:eastAsia="Times New Roman" w:hAnsi="Times New Roman"/>
          <w:sz w:val="18"/>
          <w:szCs w:val="18"/>
          <w:color w:val="auto"/>
        </w:rPr>
        <w:t>Rule 13a-14(a) Certification of Principal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Stromberg, certify that:</w:t>
      </w:r>
    </w:p>
    <w:p>
      <w:pPr>
        <w:spacing w:after="0" w:line="171"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Quarterly Report for the quarterly period ended March 31, 2017 of T. Rowe Price Group, Inc.;</w:t>
      </w:r>
    </w:p>
    <w:p>
      <w:pPr>
        <w:spacing w:after="0" w:line="171" w:lineRule="exact"/>
        <w:rPr>
          <w:rFonts w:ascii="Times New Roman" w:cs="Times New Roman" w:eastAsia="Times New Roman" w:hAnsi="Times New Roman"/>
          <w:sz w:val="18"/>
          <w:szCs w:val="18"/>
          <w:color w:val="auto"/>
        </w:rPr>
      </w:pPr>
    </w:p>
    <w:p>
      <w:pPr>
        <w:ind w:left="180" w:right="240" w:hanging="172"/>
        <w:spacing w:after="0" w:line="313" w:lineRule="auto"/>
        <w:tabs>
          <w:tab w:leader="none" w:pos="1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Times New Roman" w:cs="Times New Roman" w:eastAsia="Times New Roman" w:hAnsi="Times New Roman"/>
          <w:sz w:val="17"/>
          <w:szCs w:val="17"/>
          <w:color w:val="auto"/>
        </w:rPr>
      </w:pPr>
    </w:p>
    <w:p>
      <w:pPr>
        <w:ind w:left="180" w:right="20" w:hanging="172"/>
        <w:spacing w:after="0" w:line="282"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180" w:right="180" w:hanging="172"/>
        <w:spacing w:after="0" w:line="266"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180" w:right="120" w:firstLine="71"/>
        <w:spacing w:after="0" w:line="266" w:lineRule="auto"/>
        <w:tabs>
          <w:tab w:leader="none" w:pos="50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80" w:right="140" w:firstLine="71"/>
        <w:spacing w:after="0" w:line="266" w:lineRule="auto"/>
        <w:tabs>
          <w:tab w:leader="none" w:pos="51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180" w:firstLine="71"/>
        <w:spacing w:after="0" w:line="282" w:lineRule="auto"/>
        <w:tabs>
          <w:tab w:leader="none" w:pos="50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80" w:right="220" w:firstLine="71"/>
        <w:spacing w:after="0" w:line="266" w:lineRule="auto"/>
        <w:tabs>
          <w:tab w:leader="none" w:pos="51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180" w:right="620" w:hanging="172"/>
        <w:spacing w:after="0" w:line="282"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80" w:right="120" w:firstLine="71"/>
        <w:spacing w:after="0" w:line="282" w:lineRule="auto"/>
        <w:tabs>
          <w:tab w:leader="none" w:pos="50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80" w:right="160" w:firstLine="71"/>
        <w:spacing w:after="0" w:line="282" w:lineRule="auto"/>
        <w:tabs>
          <w:tab w:leader="none" w:pos="51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25, 2017</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William J. Stromberg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380"/>
          </w:cols>
          <w:pgMar w:left="240" w:top="661" w:right="279" w:bottom="1440" w:gutter="0" w:footer="0" w:header="0"/>
        </w:sectPr>
      </w:pPr>
    </w:p>
    <w:bookmarkStart w:id="37" w:name="page38"/>
    <w:bookmarkEnd w:id="37"/>
    <w:p>
      <w:pPr>
        <w:spacing w:after="0"/>
        <w:tabs>
          <w:tab w:leader="none" w:pos="2180" w:val="left"/>
        </w:tabs>
        <w:rPr>
          <w:sz w:val="20"/>
          <w:szCs w:val="20"/>
          <w:color w:val="auto"/>
        </w:rPr>
      </w:pPr>
      <w:r>
        <w:rPr>
          <w:rFonts w:ascii="Times New Roman" w:cs="Times New Roman" w:eastAsia="Times New Roman" w:hAnsi="Times New Roman"/>
          <w:sz w:val="18"/>
          <w:szCs w:val="18"/>
          <w:color w:val="auto"/>
        </w:rPr>
        <w:t>EXHIBIT 31(i).2</w:t>
      </w:r>
      <w:r>
        <w:rPr>
          <w:sz w:val="20"/>
          <w:szCs w:val="20"/>
          <w:color w:val="auto"/>
        </w:rPr>
        <w:tab/>
      </w:r>
      <w:r>
        <w:rPr>
          <w:rFonts w:ascii="Times New Roman" w:cs="Times New Roman" w:eastAsia="Times New Roman" w:hAnsi="Times New Roman"/>
          <w:sz w:val="17"/>
          <w:szCs w:val="17"/>
          <w:color w:val="auto"/>
        </w:rPr>
        <w:t>Rule 13a-14(a) Certification of Principal Financial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V. Moreland, certify that:</w:t>
      </w:r>
    </w:p>
    <w:p>
      <w:pPr>
        <w:spacing w:after="0" w:line="171"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Quarterly Report for the quarterly period ended March 31, 2017 of T. Rowe Price Group, Inc.;</w:t>
      </w:r>
    </w:p>
    <w:p>
      <w:pPr>
        <w:spacing w:after="0" w:line="171" w:lineRule="exact"/>
        <w:rPr>
          <w:rFonts w:ascii="Times New Roman" w:cs="Times New Roman" w:eastAsia="Times New Roman" w:hAnsi="Times New Roman"/>
          <w:sz w:val="18"/>
          <w:szCs w:val="18"/>
          <w:color w:val="auto"/>
        </w:rPr>
      </w:pPr>
    </w:p>
    <w:p>
      <w:pPr>
        <w:ind w:left="180" w:right="240" w:hanging="172"/>
        <w:spacing w:after="0" w:line="313" w:lineRule="auto"/>
        <w:tabs>
          <w:tab w:leader="none" w:pos="1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Times New Roman" w:cs="Times New Roman" w:eastAsia="Times New Roman" w:hAnsi="Times New Roman"/>
          <w:sz w:val="17"/>
          <w:szCs w:val="17"/>
          <w:color w:val="auto"/>
        </w:rPr>
      </w:pPr>
    </w:p>
    <w:p>
      <w:pPr>
        <w:ind w:left="180" w:right="20" w:hanging="172"/>
        <w:spacing w:after="0" w:line="282"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180" w:right="180" w:hanging="172"/>
        <w:spacing w:after="0" w:line="266"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180" w:right="120" w:firstLine="71"/>
        <w:spacing w:after="0" w:line="266" w:lineRule="auto"/>
        <w:tabs>
          <w:tab w:leader="none" w:pos="50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80" w:right="140" w:firstLine="71"/>
        <w:spacing w:after="0" w:line="266" w:lineRule="auto"/>
        <w:tabs>
          <w:tab w:leader="none" w:pos="51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180" w:firstLine="71"/>
        <w:spacing w:after="0" w:line="282" w:lineRule="auto"/>
        <w:tabs>
          <w:tab w:leader="none" w:pos="50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80" w:right="220" w:firstLine="71"/>
        <w:spacing w:after="0" w:line="266" w:lineRule="auto"/>
        <w:tabs>
          <w:tab w:leader="none" w:pos="51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180" w:right="620" w:hanging="172"/>
        <w:spacing w:after="0" w:line="282"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80" w:right="120" w:firstLine="71"/>
        <w:spacing w:after="0" w:line="282" w:lineRule="auto"/>
        <w:tabs>
          <w:tab w:leader="none" w:pos="50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80" w:right="160" w:firstLine="71"/>
        <w:spacing w:after="0" w:line="282" w:lineRule="auto"/>
        <w:tabs>
          <w:tab w:leader="none" w:pos="51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25, 2017</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Kenneth V. Moreland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ectPr>
          <w:pgSz w:w="11900" w:h="16838" w:orient="portrait"/>
          <w:cols w:equalWidth="0" w:num="1">
            <w:col w:w="11380"/>
          </w:cols>
          <w:pgMar w:left="240" w:top="661" w:right="279" w:bottom="1440" w:gutter="0" w:footer="0" w:header="0"/>
        </w:sectPr>
      </w:pPr>
    </w:p>
    <w:bookmarkStart w:id="38" w:name="page39"/>
    <w:bookmarkEnd w:id="38"/>
    <w:p>
      <w:pPr>
        <w:spacing w:after="0"/>
        <w:tabs>
          <w:tab w:leader="none" w:pos="2740" w:val="left"/>
        </w:tabs>
        <w:rPr>
          <w:sz w:val="20"/>
          <w:szCs w:val="20"/>
          <w:color w:val="auto"/>
        </w:rPr>
      </w:pPr>
      <w:r>
        <w:rPr>
          <w:rFonts w:ascii="Times New Roman" w:cs="Times New Roman" w:eastAsia="Times New Roman" w:hAnsi="Times New Roman"/>
          <w:sz w:val="18"/>
          <w:szCs w:val="18"/>
          <w:color w:val="auto"/>
        </w:rPr>
        <w:t>EXHIBIT 32</w:t>
      </w:r>
      <w:r>
        <w:rPr>
          <w:sz w:val="20"/>
          <w:szCs w:val="20"/>
          <w:color w:val="auto"/>
        </w:rPr>
        <w:tab/>
      </w:r>
      <w:r>
        <w:rPr>
          <w:rFonts w:ascii="Times New Roman" w:cs="Times New Roman" w:eastAsia="Times New Roman" w:hAnsi="Times New Roman"/>
          <w:sz w:val="17"/>
          <w:szCs w:val="17"/>
          <w:color w:val="auto"/>
        </w:rPr>
        <w:t>Section 1350 Certifications</w:t>
      </w:r>
    </w:p>
    <w:p>
      <w:pPr>
        <w:spacing w:after="0" w:line="200" w:lineRule="exact"/>
        <w:rPr>
          <w:sz w:val="20"/>
          <w:szCs w:val="20"/>
          <w:color w:val="auto"/>
        </w:rPr>
      </w:pPr>
    </w:p>
    <w:p>
      <w:pPr>
        <w:spacing w:after="0" w:line="34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certify, to the best of our knowledge, based upon a review of the Form 10-Q Quarterly Report for the quarterly period ended March 31, 2017 of T. Rowe Price Group, Inc., that:</w:t>
      </w:r>
    </w:p>
    <w:p>
      <w:pPr>
        <w:spacing w:after="0" w:line="108"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Quarterly Report fully complies with the requirements of Section 13(a)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right="120" w:firstLine="8"/>
        <w:spacing w:after="0" w:line="282"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Quarterly Report fairly presents, in all material respects, the financial condition and results of operations of T. Rowe Price Group, Inc.</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25, 2017</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William J. Stromberg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Kenneth V. Moreland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360"/>
          </w:cols>
          <w:pgMar w:left="240" w:top="661" w:right="299" w:bottom="1440" w:gutter="0" w:footer="0" w:header="0"/>
        </w:sectPr>
      </w:pPr>
    </w:p>
    <w:bookmarkStart w:id="39" w:name="page40"/>
    <w:bookmarkEnd w:id="39"/>
    <w:p>
      <w:pPr>
        <w:spacing w:after="0" w:line="28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411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8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8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8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8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8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8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8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8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8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8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8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5"/>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2019-12-06T14:50:44Z</dcterms:created>
  <dcterms:modified xsi:type="dcterms:W3CDTF">2019-12-06T14:50:44Z</dcterms:modified>
</cp:coreProperties>
</file>