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1017"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1017"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25, 2016, is 243,433,151.</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9/30/2016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1,214.9</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Assets of consolidated sponsored investment portfolios ($0 and $1,917.3 million, respectively, related to</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2,134.0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6,723.5</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Liabilities of consolidated sponsored investment portfolios ($0 and $41.1 million, respectively, related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to variable interest entities)</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775.9</w:t>
            </w: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1,113.9</w:t>
            </w: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$.20 par value - authorized 750,000,000; issued 250,469,000 shares at December 31,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 and 244,829,000 at September 30, 2016</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4,096.9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4,833.7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5,106.9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6,723.5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9/30/2015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9/30/2016</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922.6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970.5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2,761.9</w:t>
            </w:r>
          </w:p>
        </w:tc>
      </w:tr>
      <w:tr>
        <w:trPr>
          <w:trHeight w:val="27"/>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106.2</w:t>
            </w:r>
          </w:p>
        </w:tc>
      </w:tr>
      <w:tr>
        <w:trPr>
          <w:trHeight w:val="27"/>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3,131.7</w:t>
            </w:r>
          </w:p>
        </w:tc>
      </w:tr>
      <w:tr>
        <w:trPr>
          <w:trHeight w:val="318"/>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1,112.4</w:t>
            </w:r>
          </w:p>
        </w:tc>
      </w:tr>
      <w:tr>
        <w:trPr>
          <w:trHeight w:val="27"/>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106.2</w:t>
            </w:r>
          </w:p>
        </w:tc>
      </w:tr>
      <w:tr>
        <w:trPr>
          <w:trHeight w:val="27"/>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127.5</w:t>
            </w:r>
          </w:p>
        </w:tc>
      </w:tr>
      <w:tr>
        <w:trPr>
          <w:trHeight w:val="27"/>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Nonrecurring charge related to Dell appraisal rights matter</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166.2</w:t>
            </w:r>
          </w:p>
        </w:tc>
      </w:tr>
      <w:tr>
        <w:trPr>
          <w:trHeight w:val="27"/>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1,961.6</w:t>
            </w:r>
          </w:p>
        </w:tc>
      </w:tr>
      <w:tr>
        <w:trPr>
          <w:trHeight w:val="318"/>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1,170.1</w:t>
            </w:r>
          </w:p>
        </w:tc>
      </w:tr>
      <w:tr>
        <w:trPr>
          <w:trHeight w:val="324"/>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Net investment income on investments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91.1</w:t>
            </w:r>
          </w:p>
        </w:tc>
      </w:tr>
      <w:tr>
        <w:trPr>
          <w:trHeight w:val="27"/>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Net investment income (losses) on consolidated sponsored investment</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portfolios</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r>
      <w:tr>
        <w:trPr>
          <w:trHeight w:val="318"/>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1,385.0</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497.8</w:t>
            </w:r>
          </w:p>
        </w:tc>
      </w:tr>
      <w:tr>
        <w:trPr>
          <w:trHeight w:val="27"/>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887.2</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w w:val="94"/>
              </w:rPr>
              <w:t>Less: net income attributable to redeemable non-controlling interests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52.0</w:t>
            </w:r>
          </w:p>
        </w:tc>
      </w:tr>
      <w:tr>
        <w:trPr>
          <w:trHeight w:val="27"/>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835.2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3.32</w:t>
            </w:r>
          </w:p>
        </w:tc>
      </w:tr>
      <w:tr>
        <w:trPr>
          <w:trHeight w:val="251"/>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9/30/2016</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Net unrealized holding gains (losses) on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Reclassification adjustments recognized in non-operating income: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5620" w:type="dxa"/>
            <w:vAlign w:val="bottom"/>
          </w:tcPr>
          <w:p>
            <w:pPr>
              <w:ind w:left="260"/>
              <w:spacing w:after="0"/>
              <w:rPr>
                <w:sz w:val="20"/>
                <w:szCs w:val="20"/>
                <w:color w:val="auto"/>
              </w:rPr>
            </w:pPr>
            <w:r>
              <w:rPr>
                <w:rFonts w:ascii="Arial" w:cs="Arial" w:eastAsia="Arial" w:hAnsi="Arial"/>
                <w:sz w:val="18"/>
                <w:szCs w:val="18"/>
                <w:color w:val="auto"/>
              </w:rPr>
              <w:t>Other-than-temporary impairments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10"/>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w w:val="93"/>
              </w:rPr>
              <w:t>Currency translation adjustments of consolidated sponsored investment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280"/>
              <w:spacing w:after="0"/>
              <w:rPr>
                <w:sz w:val="20"/>
                <w:szCs w:val="20"/>
                <w:color w:val="auto"/>
              </w:rPr>
            </w:pPr>
            <w:r>
              <w:rPr>
                <w:rFonts w:ascii="Arial" w:cs="Arial" w:eastAsia="Arial" w:hAnsi="Arial"/>
                <w:sz w:val="18"/>
                <w:szCs w:val="18"/>
                <w:color w:val="auto"/>
              </w:rPr>
              <w:t>portfolios - variable interest entities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Reclassification loss (gain) recognized in non-operating investment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upon deconsolidation of sponsored fund subsidiary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5620" w:type="dxa"/>
            <w:vAlign w:val="bottom"/>
          </w:tcPr>
          <w:p>
            <w:pPr>
              <w:ind w:left="260"/>
              <w:spacing w:after="0"/>
              <w:rPr>
                <w:sz w:val="20"/>
                <w:szCs w:val="20"/>
                <w:color w:val="auto"/>
              </w:rPr>
            </w:pPr>
            <w:r>
              <w:rPr>
                <w:rFonts w:ascii="Arial" w:cs="Arial" w:eastAsia="Arial" w:hAnsi="Arial"/>
                <w:sz w:val="18"/>
                <w:szCs w:val="18"/>
                <w:color w:val="auto"/>
                <w:w w:val="93"/>
              </w:rPr>
              <w:t>Currency translation adjustments of consolidated sponsored investment</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portfolios - variable interest entities</w:t>
            </w:r>
          </w:p>
        </w:tc>
        <w:tc>
          <w:tcPr>
            <w:tcW w:w="2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884.0</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Less: comprehensive income attributable to redeemable non-controlling</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872.3</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814.4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CONDENSED CONSOLIDATED STATEMENTS OF CASH FLOWS (See 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sponsored fund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available-for-sale sponsored fund investments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of sponsored investment portfolios on consolidation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798.2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 portfolios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Cash and cash equivalents at end of period, including $86.3 million held by consolidated sponsored investment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1,164.4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1,487.3</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portfolios at September 30,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80"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capital in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shares</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77"/>
              </w:rPr>
              <w:t>excess of</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stockholders’</w:t>
            </w:r>
          </w:p>
        </w:tc>
        <w:tc>
          <w:tcPr>
            <w:tcW w:w="1140" w:type="dxa"/>
            <w:vAlign w:val="bottom"/>
            <w:gridSpan w:val="2"/>
            <w:shd w:val="clear" w:color="auto" w:fill="CCEEFF"/>
          </w:tcPr>
          <w:p>
            <w:pPr>
              <w:jc w:val="right"/>
              <w:ind w:right="10"/>
              <w:spacing w:after="0" w:line="135" w:lineRule="exact"/>
              <w:rPr>
                <w:sz w:val="20"/>
                <w:szCs w:val="20"/>
                <w:color w:val="auto"/>
              </w:rPr>
            </w:pPr>
            <w:r>
              <w:rPr>
                <w:rFonts w:ascii="Arial" w:cs="Arial" w:eastAsia="Arial" w:hAnsi="Arial"/>
                <w:sz w:val="13"/>
                <w:szCs w:val="13"/>
                <w:b w:val="1"/>
                <w:bCs w:val="1"/>
                <w:color w:val="auto"/>
                <w:w w:val="94"/>
              </w:rPr>
              <w:t>Redeemable non-</w:t>
            </w:r>
          </w:p>
        </w:tc>
      </w:tr>
      <w:tr>
        <w:trPr>
          <w:trHeight w:val="174"/>
        </w:trPr>
        <w:tc>
          <w:tcPr>
            <w:tcW w:w="3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83"/>
              </w:rPr>
              <w:t>outstanding</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82"/>
              </w:rPr>
              <w:t>stock</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7"/>
              </w:rPr>
              <w:t>par value</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3"/>
              </w:rPr>
              <w:t>income</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86"/>
              </w:rPr>
              <w:t>controlling interests</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2015</w:t>
            </w:r>
          </w:p>
        </w:tc>
        <w:tc>
          <w:tcPr>
            <w:tcW w:w="10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250,469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3,970.7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4,762.0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of sponsored investment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portfolios upon adoption of new accounting</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guidance on January 1, 2016</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672.7</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3"/>
              </w:rPr>
              <w:t>Cumulative effect adjustment upon adoption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w w:val="93"/>
              </w:rPr>
              <w:t>of new stock-based compensation guidance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rPr>
              <w:t>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January 1, 2016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2016</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250,469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672.7</w:t>
            </w:r>
          </w:p>
        </w:tc>
      </w:tr>
      <w:tr>
        <w:trPr>
          <w:trHeight w:val="176"/>
        </w:trPr>
        <w:tc>
          <w:tcPr>
            <w:tcW w:w="3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Other comprehensive income (loss), net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tax</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withheld for taxes</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Shares issued upon vesting of restricted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stock units, net of shares withheld for taxes</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6"/>
              </w:rPr>
              <w:t>Restricted stock units issued as dividend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2"/>
              </w:rPr>
              <w:t>Net subscriptions into sponsored investment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770.2</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deconsolidations of sponsored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Balances at September 30, 2016</w:t>
            </w: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244,829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4,096.9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4,833.7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1,113.9</w:t>
            </w: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2016 presentation.</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2015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implemented Accounting Standards Update No. 2015-02 - Consolidation (Topic 810): Amendments to the Consolidation Analysis on January 1, 2016, which did not require the restatement of prior year periods. In connection with the adoption of this guidance, we reevaluated all of our investments for consolidation, including our investments in sponsored investment portfolios. The adoption of the guidance resulted in sponsored investment products regulated outside the U.S. previously accounted for as voting interest entities (VOE) to be evaluated as variable interest entities (VIE) and led to the consolidation of an additional 24 portfolios that were previously accounted for as available-for-sale securities. The adoption also resulted in the consolidation of an additional eight U.S. sponsored investment portfolios that were previously accounted for as available-for sale-securities. The impact to the condensed consolidated balance sheet upon adoption was the consolidation of $1.6 billion of assets, $21.3 million of liabilities, and $672.7 million of non-controlling interests. We also reclassified $32.5 million in accumulated comprehensive income to retained earnings. The consolidation guidance provides a scope exception for reporting entities with interests in legal entities that are required to comply with, or operate in accordance with, requirements similar to those in Rule 2a-7 of the Investment Company Act of 1940 for registered money market funds. Additional disclosures relating to consolidated voting interest entities and variable interest entities, and the impact the new accounting guidance has had on the quarter and year-to-date period are included in Note 5.</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early adopted Accounting Standards Update No. 2016-09 - Compensation-Stock Compensation (Topic 718): Improvements to Employee Share-Based Payment Accounting on July 1, 2016, which required adjustments to be reflected as of January 1, 2016. The amendments in this update change the accounting for certain aspects of stock-based compensation awards, including the accounting for income taxes upon settlement of awards, the classification of cash flows associated with awards, and the accounting for award forfeitures. The primary impact of early adoption was the recognition in our provision for income taxes for the nine-month period ended September 30, 2016, of excess tax benefits over financial statement expense totaling $16.9 million, or $.06 in diluted earnings per share, that was previously recognized in additional paid in capital during the first half of 2016. We also elected to account for forfeitures of stock-based compensation awards as they occur; therefore, we reversed forfeiture estimates, net of tax, of $9.0 million recognized prior to January 1, 2016, as a cumulative effect adjustment to our condensed consolidated balance sheet, resulting in a reduction of retained earnings of $9.0 million and an increase of other assets and additional paid in capital balances totaling $3.9 million and $12.9 million, respectively. Lastly, the guidance requires excess tax benefits from share-based compensation awards to be reported as operating activities in the consolidated statements of cash flows rather than financing activities. As permitted by the guidance, we elected to apply this guidance retrospectively and have reclassified $22.1 million in excess tax benefits previously disclosed as a financing activity in the statement of cash flows for the nine-month period ended September 30, 2015, to operating activities.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condensed consolidated financial statements include the accounts of all subsidiaries and sponsored investment portfolios in which we have a controlling interest. We are generally deemed to have a controlling interest when we own the majority of the voting interest of an entity or are deemed to be the primary beneficiary of a VIE. We perform an analysis of our investments to determine if the investment entity is a VOE or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Upon consolidation of sponsored investment portfolios, the Company retains the specialized investment company accounting principles of the underlying funds. All of the underlying investments held by these portfolios are carried at fair value with corresponding changes in the investments’ fair values reflected in non-operating income (expense) on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VIEs are entities that, by design (i</w:t>
      </w:r>
      <w:r>
        <w:rPr>
          <w:rFonts w:ascii="Arial" w:cs="Arial" w:eastAsia="Arial" w:hAnsi="Arial"/>
          <w:sz w:val="17"/>
          <w:szCs w:val="17"/>
          <w:b w:val="1"/>
          <w:bCs w:val="1"/>
          <w:color w:val="auto"/>
        </w:rPr>
        <w:t>)</w:t>
      </w:r>
      <w:r>
        <w:rPr>
          <w:rFonts w:ascii="Arial" w:cs="Arial" w:eastAsia="Arial" w:hAnsi="Arial"/>
          <w:sz w:val="17"/>
          <w:szCs w:val="17"/>
          <w:color w:val="auto"/>
        </w:rPr>
        <w:t xml:space="preserve">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(Société d'Investissement à Capital Variable) funds and other sponsored investment portfolios regulated outside the U.S. are determined to be VIEs.</w:t>
      </w:r>
    </w:p>
    <w:p>
      <w:pPr>
        <w:spacing w:after="0" w:line="1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sponsored investment portfolios held by unrelated third party investors as their interest is convertible to cash and other assets at their option. As such, we reflect redeemable non-controlling interests as temporary equity in our condensed consolidated balance sheet.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Accounts receivable from our sponsored investment portfolios, including our U.S. mutual funds, for advisory fees and advisory-related administrative services aggregate $287.1 million at December 31, 2015, and $291.3 million at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U.S.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9/30/2015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1,681.7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1,649.9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354.8</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2,004.7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630.4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126.8</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757.2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2,761.9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84" w:right="2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t>Other investment portfolios include advisory revenues of $93.5 million and $101.1 million for the three months ended September 30, 2015 and 2016, respectively, that were earned on other sponsored investment portfolios. Fees earned during the nine months ended September 30, 2015 and 2016, total $273.9 million and $283.3 million, respectively.</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voluntarily waived $11.6 million and $2.1 million in money market related fees, including advisory fees and fund expenses, in the third quarter of 2015 and 2016, respectively, in order to maintain a positive yield for investors. Fees waived during the nine months ended September 30, 2015 and 2016, total $37.8 million and $9.4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Average during</w:t>
            </w: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Average during</w:t>
            </w:r>
          </w:p>
        </w:tc>
        <w:tc>
          <w:tcPr>
            <w:tcW w:w="1020" w:type="dxa"/>
            <w:vAlign w:val="bottom"/>
            <w:shd w:val="clear" w:color="auto" w:fill="CCEEFF"/>
          </w:tcPr>
          <w:p>
            <w:pPr>
              <w:spacing w:after="0"/>
              <w:rPr>
                <w:sz w:val="23"/>
                <w:szCs w:val="23"/>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third quarter of</w:t>
            </w: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right"/>
              <w:ind w:right="712"/>
              <w:spacing w:after="0"/>
              <w:rPr>
                <w:sz w:val="20"/>
                <w:szCs w:val="20"/>
                <w:color w:val="auto"/>
              </w:rPr>
            </w:pPr>
            <w:r>
              <w:rPr>
                <w:rFonts w:ascii="Arial" w:cs="Arial" w:eastAsia="Arial" w:hAnsi="Arial"/>
                <w:sz w:val="14"/>
                <w:szCs w:val="14"/>
                <w:b w:val="1"/>
                <w:bCs w:val="1"/>
                <w:color w:val="auto"/>
              </w:rPr>
              <w:t>the first nine months of</w:t>
            </w: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491.7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489.7</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70.4</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763.1</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803.6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768.3</w:t>
            </w:r>
          </w:p>
        </w:tc>
      </w:tr>
      <w:tr>
        <w:trPr>
          <w:trHeight w:val="311"/>
        </w:trPr>
        <w:tc>
          <w:tcPr>
            <w:tcW w:w="5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w w:val="89"/>
              </w:rPr>
              <w:t>9/30/2016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113.9</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517.0</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75.4</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812.9</w:t>
            </w:r>
          </w:p>
        </w:tc>
      </w:tr>
      <w:tr>
        <w:trPr>
          <w:trHeight w:val="20"/>
        </w:trPr>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4.9% and 5.0% of our assets under management at December 31, 2015, and September 30,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ind w:left="68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9/30/2016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38.1</w:t>
            </w:r>
          </w:p>
        </w:tc>
        <w:tc>
          <w:tcPr>
            <w:tcW w:w="12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70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106.2</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(in millions) we do not consolidate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12/31/2015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9/30/2016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1,612.3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694.3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investment portfolios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245.9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partnerships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1,214.9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adoption of the new consolidation accounting guidance on January 1, 2016, we reevaluated all of our investments for consolidation, including our investments in sponsored investment portfolios. We determined that our interests in a number of our available-for-sale holdings held at December 31, 2015, were deemed controlling interests under the new accounting standard and resulted in these sponsored investment portfolios being consolidated on January 1, 2016.</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nine months of 2015 and 2016, certain sponsored investment portfolios in which we provided initial seed capital at the time of formation were deconsolidated, as we no longer had a controlling interest. Additionally, during 2016 a sponsored investment portfolio that was being accounted for as an equity method investment was consolidated, as we regained a controlling interest. The net impact of these changes on our condensed consolidated balance sheet in 2016 was a net reduction of portfolio assets of $678.3 million, liabilities of $31.0 million and redeemable non-controlling interests of $398.6 million, which represent the carrying values on the date the portfolios were deconsolidated or consolidated. The impact of deconsolidation on our consolidated balance sheet in 2015 was immaterial.</w:t>
      </w:r>
    </w:p>
    <w:p>
      <w:pPr>
        <w:spacing w:after="0" w:line="13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impact of deconsolidating certain sponsored investment portfolios on our condensed consolidated statement of income during the first nine months of 2015 and 2016 was a loss of $5.8 million and a gain of $1.1 million, respectively. These losses and gains were the result of reclassifying currency translation adjustments accumulated on investment portfolios’ with non-USD functional currencies from accumulated other comprehensive income to non-operating income. Since the remaining consolidated investment portfolios’ functional currency in 2016 was U.S. dollars and carried at fair value, we did not recognize any additional gain or loss in our consolidated statement of income upon deconsolidation. Depending on our ownership interest, we are now reporting our residual interests in deconsolidated sponsored investment portfolios as either equity method or available-for-sale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SPONSORED INVESTMENT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available-for-sale sponsored investment portfolios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Unrealized holding</w:t>
            </w: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8"/>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88"/>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gains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losses</w:t>
            </w: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1,012.5</w:t>
            </w: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1,419.1</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2016</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165.4</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262.6</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593.8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694.3</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580" w:right="239" w:bottom="1440" w:gutter="0" w:footer="0" w:header="0"/>
        </w:sectPr>
      </w:pPr>
    </w:p>
    <w:bookmarkStart w:id="10" w:name="page11"/>
    <w:bookmarkEnd w:id="10"/>
    <w:p>
      <w:pPr>
        <w:ind w:right="380"/>
        <w:spacing w:after="0" w:line="308" w:lineRule="auto"/>
        <w:rPr>
          <w:sz w:val="20"/>
          <w:szCs w:val="20"/>
          <w:color w:val="auto"/>
        </w:rPr>
      </w:pPr>
      <w:r>
        <w:rPr>
          <w:rFonts w:ascii="Arial" w:cs="Arial" w:eastAsia="Arial" w:hAnsi="Arial"/>
          <w:sz w:val="17"/>
          <w:szCs w:val="17"/>
          <w:color w:val="auto"/>
        </w:rPr>
        <w:t>The following table details the number of holdings, the unrealized holding losses, and the aggregate fair value of available-for-sale sponsored investment portfolios with unrealized losses categorized by the length of time they have been in a continuous unrealized loss position:</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8"/>
              </w:rPr>
              <w:t>Aggregate</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87"/>
              </w:rPr>
              <w:t>holdings</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4"/>
              </w:rPr>
              <w:t>holding losses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67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December 31, 2015</w:t>
            </w: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Less than 12 months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419.6</w:t>
            </w:r>
          </w:p>
        </w:tc>
      </w:tr>
      <w:tr>
        <w:trPr>
          <w:trHeight w:val="243"/>
        </w:trPr>
        <w:tc>
          <w:tcPr>
            <w:tcW w:w="7940" w:type="dxa"/>
            <w:vAlign w:val="bottom"/>
            <w:gridSpan w:val="5"/>
          </w:tcPr>
          <w:p>
            <w:pPr>
              <w:ind w:left="20"/>
              <w:spacing w:after="0"/>
              <w:rPr>
                <w:sz w:val="20"/>
                <w:szCs w:val="20"/>
                <w:color w:val="auto"/>
              </w:rPr>
            </w:pPr>
            <w:r>
              <w:rPr>
                <w:rFonts w:ascii="Arial" w:cs="Arial" w:eastAsia="Arial" w:hAnsi="Arial"/>
                <w:sz w:val="18"/>
                <w:szCs w:val="18"/>
                <w:color w:val="auto"/>
              </w:rPr>
              <w:t>12 months or more</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298.6</w:t>
            </w: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79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September 30, 2016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Less than 12 months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12 months or more</w:t>
            </w:r>
          </w:p>
        </w:tc>
        <w:tc>
          <w:tcPr>
            <w:tcW w:w="1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w:t>
            </w:r>
          </w:p>
        </w:tc>
      </w:tr>
      <w:tr>
        <w:trPr>
          <w:trHeight w:val="257"/>
        </w:trPr>
        <w:tc>
          <w:tcPr>
            <w:tcW w:w="672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196.2</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impairment of these investment holdings is considered temporary at December 31, 2015 and September 30,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investments at September 30, 2016, include $111.3 million of investments in variable interest entities that we do not consolidate as we are not deemed the primary beneficiary. Our maximum risk of loss related to our involvement with these entities at September 30, 2016, is $164.5 million, which includes our carrying value, any unfunded capital commitments, and uncollected investment advisory and administrative fees.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340" w:right="460" w:hanging="323"/>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4" w:right="239" w:bottom="1440" w:gutter="0" w:footer="0" w:header="0"/>
        </w:sectPr>
      </w:pPr>
    </w:p>
    <w:bookmarkStart w:id="11" w:name="page12"/>
    <w:bookmarkEnd w:id="11"/>
    <w:p>
      <w:pPr>
        <w:jc w:val="both"/>
        <w:ind w:right="2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2,635.6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September 30, 2016</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1,934.5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above excludes investments held by consolidated sponsored investment portfolios which are presented separately on our condensed consolidated balance sheets and are detailed in Note 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PORTFOLIOS.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sponsored investment portfolios that we consolidate in our condensed consolidated financial statements are generally those products we provided initial seed capital at the time of their formation and have a controlling interest. Our U.S. sponsored investment portfolios are considered voting interest entities, while those regulated outside the U.S. are considered variable interest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portfolios at September 30,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6"/>
              </w:rPr>
              <w:t>Voting</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Variable interest</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0"/>
              </w:rPr>
              <w:t>interest entities</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entities</w:t>
            </w: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826.8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third party investors in these investment funds have no recourse to our credit, our overall risk related to the net assets of consolidated sponsored investment portfolios is limited to valuation changes associated with our net interest. We, however, are required to recognize the valuation changes associated with all underlying investments held by these portfolios in our condensed consolidated statements of income, and disclose the portion attributable to third party investors as net income attributable to redeemable non-controlling interests.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ind w:right="680"/>
        <w:spacing w:after="0" w:line="277" w:lineRule="auto"/>
        <w:rPr>
          <w:sz w:val="20"/>
          <w:szCs w:val="20"/>
          <w:color w:val="auto"/>
        </w:rPr>
      </w:pPr>
      <w:r>
        <w:rPr>
          <w:rFonts w:ascii="Arial" w:cs="Arial" w:eastAsia="Arial" w:hAnsi="Arial"/>
          <w:sz w:val="18"/>
          <w:szCs w:val="18"/>
          <w:color w:val="auto"/>
        </w:rPr>
        <w:t>The operating results (in millions) of the consolidated sponsored investment portfolios for the three- and nine-months ended September 30, 2016, are reflected in our condensed consolidated statement of income as follows: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9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9/30/2016</w:t>
            </w: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Nine months ended 9/30/2016</w:t>
            </w:r>
          </w:p>
        </w:tc>
        <w:tc>
          <w:tcPr>
            <w:tcW w:w="6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9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3"/>
                <w:szCs w:val="13"/>
                <w:color w:val="auto"/>
              </w:rPr>
            </w:pPr>
          </w:p>
        </w:tc>
        <w:tc>
          <w:tcPr>
            <w:tcW w:w="6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w w:val="96"/>
              </w:rPr>
              <w:t>Net income attributable to redeemable non-controlling interests</w:t>
            </w: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operating expenses of these consolidated portfolios are reflected in other operating expenses. For the three- and nine-months ended September 30, 2016, we eliminated $2.2 million and $5.3 million, respectively, of these expenses against our investment advisory and administrative fees earned in preparing our condensed consolidated financial statements. The net investment income reflected in non-operating income includes dividend and interest income, and realized and unrealized gains and losses on the underlying securities held by the consolidated sponsored investment portfolios.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details the impact of these consolidated investment portfolios on the individual lines of our condensed consolidated statement of cash flows (in millions) for the nine months ended September 30, 2016.</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14"/>
              <w:spacing w:after="0"/>
              <w:rPr>
                <w:sz w:val="20"/>
                <w:szCs w:val="20"/>
                <w:color w:val="auto"/>
              </w:rPr>
            </w:pPr>
            <w:r>
              <w:rPr>
                <w:rFonts w:ascii="Arial" w:cs="Arial" w:eastAsia="Arial" w:hAnsi="Arial"/>
                <w:sz w:val="14"/>
                <w:szCs w:val="14"/>
                <w:b w:val="1"/>
                <w:bCs w:val="1"/>
                <w:color w:val="auto"/>
                <w:w w:val="91"/>
              </w:rPr>
              <w:t>Nine months ended 9/30/2016</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Voting</w:t>
            </w:r>
          </w:p>
        </w:tc>
        <w:tc>
          <w:tcPr>
            <w:tcW w:w="12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Variable interest</w:t>
            </w:r>
          </w:p>
        </w:tc>
        <w:tc>
          <w:tcPr>
            <w:tcW w:w="320" w:type="dxa"/>
            <w:vAlign w:val="bottom"/>
          </w:tcPr>
          <w:p>
            <w:pPr>
              <w:spacing w:after="0"/>
              <w:rPr>
                <w:sz w:val="13"/>
                <w:szCs w:val="13"/>
                <w:color w:val="auto"/>
              </w:rPr>
            </w:pPr>
          </w:p>
        </w:tc>
        <w:tc>
          <w:tcPr>
            <w:tcW w:w="8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interest entities</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entities</w:t>
            </w: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portfolios</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net cash provided by (used in) financing activities during the first nine months of 2016 includes $215.1 million of net subscriptions we made into the consolidated sponsored investment portfolios, net of dividends received. These cash flows were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determine the fair value of investments held by consolidated sponsored investment portfolios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50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sponsored investment portfolios (in millions)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902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r>
      <w:tr>
        <w:trPr>
          <w:trHeight w:val="243"/>
        </w:trPr>
        <w:tc>
          <w:tcPr>
            <w:tcW w:w="40" w:type="dxa"/>
            <w:vAlign w:val="bottom"/>
          </w:tcPr>
          <w:p>
            <w:pPr>
              <w:spacing w:after="0"/>
              <w:rPr>
                <w:sz w:val="21"/>
                <w:szCs w:val="21"/>
                <w:color w:val="auto"/>
              </w:rPr>
            </w:pP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90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2016</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7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43"/>
        </w:trPr>
        <w:tc>
          <w:tcPr>
            <w:tcW w:w="9020" w:type="dxa"/>
            <w:vAlign w:val="bottom"/>
            <w:gridSpan w:val="4"/>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40" w:type="dxa"/>
            <w:vAlign w:val="bottom"/>
          </w:tcPr>
          <w:p>
            <w:pPr>
              <w:spacing w:after="0"/>
              <w:rPr>
                <w:sz w:val="21"/>
                <w:szCs w:val="21"/>
                <w:color w:val="auto"/>
              </w:rPr>
            </w:pPr>
          </w:p>
        </w:tc>
        <w:tc>
          <w:tcPr>
            <w:tcW w:w="8980" w:type="dxa"/>
            <w:vAlign w:val="bottom"/>
            <w:gridSpan w:val="3"/>
          </w:tcPr>
          <w:p>
            <w:pPr>
              <w:ind w:left="8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347.3</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1,367.6</w:t>
            </w:r>
          </w:p>
        </w:tc>
      </w:tr>
      <w:tr>
        <w:trPr>
          <w:trHeight w:val="243"/>
        </w:trPr>
        <w:tc>
          <w:tcPr>
            <w:tcW w:w="40" w:type="dxa"/>
            <w:vAlign w:val="bottom"/>
          </w:tcPr>
          <w:p>
            <w:pPr>
              <w:spacing w:after="0"/>
              <w:rPr>
                <w:sz w:val="21"/>
                <w:szCs w:val="21"/>
                <w:color w:val="auto"/>
              </w:rPr>
            </w:pPr>
          </w:p>
        </w:tc>
        <w:tc>
          <w:tcPr>
            <w:tcW w:w="8980" w:type="dxa"/>
            <w:vAlign w:val="bottom"/>
            <w:gridSpan w:val="3"/>
          </w:tcPr>
          <w:p>
            <w:pPr>
              <w:ind w:left="8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18.5</w:t>
            </w: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Regular cash dividends declared per share during the first nine months of 2015 and 2016 were $1.56 and $1.62, respectively. A $2.00 per share special dividend was also declared and paid in the first nine months of 2015.</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September 30, 2016, a liability of $21.2 million is included in accounts payable and accrued expenses for common stock repurchases that settled by October 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first nine months of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30,818,229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13,050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(3,116,764)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(29,827)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27,319,401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September 30, 2016</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16,760,572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nine months of 2016.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2015</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1,470,827</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2,216,431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2,756,079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259,312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(41,867)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(76,321)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2016</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1,407,883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5,105,785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Nonvested at September 30, 2016, includes 21,600 performance-based restricted shares and 453,923 performance-based restricted stock units. These performance-based restricted shares and units include 21,600 restricted shares and 167,340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following table presents the compensation expense (in millions) to be recognized over the remaining vesting periods of the stock-based awards outstanding at September 30, 2016. Estimated future compensation expense will change to reflect future option grants, future awards of unrestricted shares and restricted stock units, changes in the probability of performance thresholds being met, and adjustments for actual forfeitures.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146.2</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through 2021</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351.0</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reconciliation (in millions) of net income attributable to T. Rowe Price Group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9/30/2015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835.2</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unit holders</w:t>
            </w:r>
          </w:p>
        </w:tc>
        <w:tc>
          <w:tcPr>
            <w:tcW w:w="2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818.1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246.4</w:t>
            </w: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8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9/30/2015</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9/30/2016</w:t>
            </w:r>
          </w:p>
        </w:tc>
      </w:tr>
      <w:tr>
        <w:trPr>
          <w:trHeight w:val="263"/>
        </w:trPr>
        <w:tc>
          <w:tcPr>
            <w:tcW w:w="6260" w:type="dxa"/>
            <w:vAlign w:val="bottom"/>
            <w:gridSpan w:val="2"/>
            <w:shd w:val="clear" w:color="auto" w:fill="CCEEFF"/>
          </w:tcPr>
          <w:p>
            <w:pPr>
              <w:jc w:val="right"/>
              <w:ind w:right="226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10.3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80" w:type="dxa"/>
            <w:vAlign w:val="bottom"/>
            <w:tcBorders>
              <w:bottom w:val="single" w:sz="8" w:color="auto"/>
            </w:tcBorders>
            <w:gridSpan w:val="4"/>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8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21.0</w:t>
            </w:r>
          </w:p>
        </w:tc>
        <w:tc>
          <w:tcPr>
            <w:tcW w:w="12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Reclassification adjustments recognized in the provision for income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Net gains realized on dispositions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20.6</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Other-than-temporary impairments</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6"/>
              </w:rPr>
              <w:t>Net deferred tax benefits (income taxes) on net unrealized holding</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gains or losses</w:t>
            </w:r>
          </w:p>
        </w:tc>
        <w:tc>
          <w:tcPr>
            <w:tcW w:w="10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22.6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Reclassification adjustment recognized in the provision for income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upon deconsolidation of sponsored fund subsidiary</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8"/>
              </w:rPr>
              <w:t>Total deferred tax benefits (income taxes) on currency translation</w:t>
            </w: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benefits (income taxes)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0" w:right="239" w:bottom="144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nine months of 2016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23495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Total currency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unrealized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Equity method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portfolios -</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variable interest</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entities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2"/>
              </w:rPr>
              <w:t>Reclassification of accumulated other comprehensive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w w:val="94"/>
              </w:rPr>
              <w:t>to retained earnings upon adoption of the new consolidation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accounting guidance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DELL APPRAISAL RIGHTS MATTER.</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second quarter of 2016, we recognized a nonrecurring operating charge of $166.2 million to compensate certain T. Rowe Price mutual funds, trusts, separately managed accounts, and subadvised clients (collectively, “Clients”) for the difference in valuation plus statutory interest, resulting from the denial of their appraisal rights by the Delaware Chancery Court (Court) in connection with the 2013 leveraged buyout of Dell, Inc. (Dell).</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 SUPPLEMENTARY CONSOLIDATING CASH FLOW STATEMENT.</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cash flows (in millions) for the nine months ended September 30, 2016, that are attributable to T. Rowe Price Group, our consolidated sponsored investment portfolios and the related eliminations required in preparing the statement.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nine months ended 9/30/2016</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Cash flow</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As reported for</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Cash flow</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the nine months</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 T.</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statement of cash</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ended 9/30/2015</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Rowe Price Group</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investment portfolios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flows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8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income to net cash provided by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3"/>
              </w:rPr>
              <w:t>Realized gains on dispositions of available-for-sale sponsored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0"/>
              </w:rPr>
              <w:t>Net change in trading securities held by consolidated sponsored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2016, the related condensed consolidated statements of income and comprehensive income for the three- and nine- month periods ended September 30, 2016 and 2015, the related condensed consolidated statements of cash flows for the nine-month periods ended September 30, 2016 and 2015, and the related condensed consolidated statement of stockholders’ equity for the nine-month period ended September 30, 2016.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2015, and the related consolidated statements of income, comprehensive income, stockholders’ equity, and cash flows for the year then ended (not presented herein); and in our report dated February 5, 2016, we expressed an unqualified opinion on those consolidated financial statements. In our opinion, the information set forth in the accompanying condensed consolidated balance sheet as of December 31, 2015,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 the U.S. Investment advisory clients domiciled outside the U.S. account for nearly 5% of our assets under management at September 30, 2016.</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technologies, and new investment strategies and products; and, most importantly, provide our clients with strong investment management expertise and service both now and in the future.</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expect to increase our pace of spending on a series of key strategic priorities to address evolving client needs and to grow and further diversify our business. We currently expect that our 2016 expenses (excluding the $166.2 million charge recognized in the second quarter of 2016 related to the Dell appraisal rights matter) will be about six percent higher than 2015. We also expect, based on current planned initiatives and depending on market conditions, operating expenses will grow in the mid- to high single-digit range in 2017 compared with 2016 expenses (excluding the $166.2 million charge related to the Dell appraisal rights matter).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U.S. equities rose in the third quarter of 2016 as the stock market rallied in July amid expectations that major central banks would act to mitigate an expected economic slowdown following the UK’s late-June decision to leave the European Union. Equities were also helped by better than expected second-quarter earnings—although year-over-year earnings declined for the fifth consecutive quarter and, following a fairly quiet August, market volatility picked up in September amid concerns that central banks in developed countries were reaching limits in their ability to provide stimulus. While the Federal Reserve did not raise short-term interest rates at its September policy meeting, Fed officials noted in their post-meeting statement that “the case for an increase in the federal funds rate has strengthened.” This could mean that a rate hike will occur in the next few months.</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Stocks in developed non-U.S. markets outperformed large-cap U.S. shares, as strength in some non-U.S. currencies lifted returns in dollar terms. Most developed Asian markets produced strong returns; Japanese shares rose almost 9%. In Europe, most markets advanced. Equities in the UK returned about 4% in dollar terms, as a weaker British pound sterling reduced stronger local returns to U.S. investors. Emerging markets stocks outperformed shares in developed markets, with Asian markets performing best. In emerging Europe, Russian shares rallied about 9%, while stocks in Turkey fell more than 5%, as the government tightened its grip on the country following a failed coup attempt in mid-July. In Latin America, Brazilian shares climbed more than 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5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9/30/2016</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7.8%</w:t>
            </w:r>
          </w:p>
        </w:tc>
      </w:tr>
      <w:tr>
        <w:trPr>
          <w:trHeight w:val="270"/>
        </w:trPr>
        <w:tc>
          <w:tcPr>
            <w:tcW w:w="7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9.7%</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6.1%</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6.5%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16.4%</w:t>
            </w:r>
          </w:p>
        </w:tc>
      </w:tr>
      <w:tr>
        <w:trPr>
          <w:trHeight w:val="329"/>
        </w:trPr>
        <w:tc>
          <w:tcPr>
            <w:tcW w:w="79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Global bond returns in the third quarter were mostly positive in dollar terms. In the U.S., even though the Fed refrained from raising short-term rates, Treasury and municipal bond prices declined and yields increased across all maturities. The 10-year Treasury note yield rose from 1.5% to 1.6%. Investment-grade corporate bonds performed well, thanks to strong demand. Mortgage-backed securities edged higher. High yield bonds significantly outperformed high-quality bonds, as investors continued to seek securities with attractive yields.</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Government bonds in developed non-U.S. markets produced positive returns in dollar terms, as the dollar depreciated against some major currencies amid uncertainty about the upcoming U.S. elections and the timing of the Fed’s next interest rate increase. Emerging markets bonds also produced gains for U.S. investors, helped by demand for fixed income securities with attractive yields.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9/30/2016</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5.8%</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5.5%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13.1%</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Assets under management ended the third quarter of 2016 at $812.9 billion, an increase of $36.3 billion from June 30, 2016, and $49.8 billion from December 31, 2015. The following table presents our assets under management (in billions) at December 31, 2015, and September 30, 2016, by investment portfolio and asset class.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9/30/2016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295.9</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9/30/2016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189.3</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The following table details the changes in our assets under management (in billions) during the three- and nine-month periods ended September 30,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9/30/2016</w:t>
            </w: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Nine months ended 9/30/2016</w:t>
            </w:r>
          </w:p>
        </w:tc>
        <w:tc>
          <w:tcPr>
            <w:tcW w:w="640" w:type="dxa"/>
            <w:vAlign w:val="bottom"/>
            <w:tcBorders>
              <w:bottom w:val="single" w:sz="8" w:color="auto"/>
            </w:tcBorders>
            <w:shd w:val="clear" w:color="auto" w:fill="CCEEFF"/>
          </w:tcPr>
          <w:p>
            <w:pPr>
              <w:spacing w:after="0"/>
              <w:rPr>
                <w:sz w:val="22"/>
                <w:szCs w:val="22"/>
                <w:color w:val="auto"/>
              </w:rPr>
            </w:pPr>
          </w:p>
        </w:tc>
      </w:tr>
      <w:tr>
        <w:trPr>
          <w:trHeight w:val="155"/>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9"/>
        </w:trPr>
        <w:tc>
          <w:tcPr>
            <w:tcW w:w="492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90"/>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26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mutual funds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portfolios</w:t>
            </w:r>
          </w:p>
        </w:tc>
        <w:tc>
          <w:tcPr>
            <w:tcW w:w="260" w:type="dxa"/>
            <w:vAlign w:val="bottom"/>
          </w:tcPr>
          <w:p>
            <w:pPr>
              <w:spacing w:after="0"/>
              <w:rPr>
                <w:sz w:val="16"/>
                <w:szCs w:val="16"/>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w w:val="95"/>
              </w:rPr>
              <w:t>Total</w:t>
            </w:r>
          </w:p>
        </w:tc>
      </w:tr>
      <w:tr>
        <w:trPr>
          <w:trHeight w:val="27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763.1</w:t>
            </w:r>
          </w:p>
        </w:tc>
      </w:tr>
      <w:tr>
        <w:trPr>
          <w:trHeight w:val="277"/>
        </w:trPr>
        <w:tc>
          <w:tcPr>
            <w:tcW w:w="49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47.6</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r>
      <w:tr>
        <w:trPr>
          <w:trHeight w:val="277"/>
        </w:trPr>
        <w:tc>
          <w:tcPr>
            <w:tcW w:w="49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September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812.9</w:t>
            </w:r>
          </w:p>
        </w:tc>
      </w:tr>
      <w:tr>
        <w:trPr>
          <w:trHeight w:val="20"/>
        </w:trPr>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client transfers from mutual funds to other investment portfolios noted in the table above were primarily transfers from mutual funds to collective investment trusts, including our retirement date trusts.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net cash flows after client transfers (in billions) during the three- and nine-month periods ended September 30, 2016,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74"/>
              <w:spacing w:after="0"/>
              <w:rPr>
                <w:sz w:val="20"/>
                <w:szCs w:val="20"/>
                <w:color w:val="auto"/>
              </w:rPr>
            </w:pPr>
            <w:r>
              <w:rPr>
                <w:rFonts w:ascii="Arial" w:cs="Arial" w:eastAsia="Arial" w:hAnsi="Arial"/>
                <w:sz w:val="14"/>
                <w:szCs w:val="14"/>
                <w:b w:val="1"/>
                <w:bCs w:val="1"/>
                <w:color w:val="auto"/>
                <w:w w:val="95"/>
              </w:rPr>
              <w:t>Nine months ended</w:t>
            </w:r>
          </w:p>
        </w:tc>
      </w:tr>
      <w:tr>
        <w:trPr>
          <w:trHeight w:val="198"/>
        </w:trPr>
        <w:tc>
          <w:tcPr>
            <w:tcW w:w="7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9/30/2016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9/30/2016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900" w:type="dxa"/>
            <w:vAlign w:val="bottom"/>
          </w:tcPr>
          <w:p>
            <w:pPr>
              <w:ind w:left="8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37"/>
        </w:trPr>
        <w:tc>
          <w:tcPr>
            <w:tcW w:w="7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80"/>
              <w:spacing w:after="0"/>
              <w:rPr>
                <w:sz w:val="20"/>
                <w:szCs w:val="20"/>
                <w:color w:val="auto"/>
              </w:rPr>
            </w:pPr>
            <w:r>
              <w:rPr>
                <w:rFonts w:ascii="Arial" w:cs="Arial" w:eastAsia="Arial" w:hAnsi="Arial"/>
                <w:sz w:val="18"/>
                <w:szCs w:val="18"/>
                <w:color w:val="auto"/>
              </w:rPr>
              <w:t>Stock and blended assets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Fixed income, money market, and stable value</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37"/>
        </w:trPr>
        <w:tc>
          <w:tcPr>
            <w:tcW w:w="7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cash flows after client transfers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target-date retirement portfolios invest in a broadly diversified portfolio of other T. Rowe Price funds or T. Rowe Price collective investment trusts, and automatically rebalance to maintain their specific asset allocation weightings. Total net cash flows after client transfers for the three- and nine-month period ended September 30, 2016, include $1.9 billion and $8.2 billion, respectively, that originated in our target-date retirement portfolios. Assets under management in these portfolios at September 30, 2016, totaled $188.6 billion, including $151.4 billion in target-date retirement funds and $37.2 billion in target-date retirement trusts.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table below presents financial results on a U.S. GAAP basis as well as a non-GAAP basis to adjust for the impact of the consolidated sponsored investment portfolios and other non-operating income. We believe the non-GAAP financial measures below provide relevant and meaningful information to investors about our core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66"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23495</wp:posOffset>
            </wp:positionV>
            <wp:extent cx="2143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(in millions, except per-share data)</w:t>
            </w:r>
          </w:p>
        </w:tc>
        <w:tc>
          <w:tcPr>
            <w:tcW w:w="320" w:type="dxa"/>
            <w:vAlign w:val="bottom"/>
          </w:tcPr>
          <w:p>
            <w:pPr>
              <w:spacing w:after="0"/>
              <w:rPr>
                <w:sz w:val="21"/>
                <w:szCs w:val="21"/>
                <w:color w:val="auto"/>
              </w:rPr>
            </w:pPr>
          </w:p>
        </w:tc>
        <w:tc>
          <w:tcPr>
            <w:tcW w:w="1260" w:type="dxa"/>
            <w:vAlign w:val="bottom"/>
          </w:tcPr>
          <w:p>
            <w:pPr>
              <w:jc w:val="right"/>
              <w:ind w:right="391"/>
              <w:spacing w:after="0"/>
              <w:rPr>
                <w:sz w:val="20"/>
                <w:szCs w:val="20"/>
                <w:color w:val="auto"/>
              </w:rPr>
            </w:pPr>
            <w:r>
              <w:rPr>
                <w:rFonts w:ascii="Arial" w:cs="Arial" w:eastAsia="Arial" w:hAnsi="Arial"/>
                <w:sz w:val="14"/>
                <w:szCs w:val="14"/>
                <w:b w:val="1"/>
                <w:bCs w:val="1"/>
                <w:color w:val="auto"/>
              </w:rPr>
              <w:t>9/30/2015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11"/>
              <w:spacing w:after="0"/>
              <w:rPr>
                <w:sz w:val="20"/>
                <w:szCs w:val="20"/>
                <w:color w:val="auto"/>
              </w:rPr>
            </w:pPr>
            <w:r>
              <w:rPr>
                <w:rFonts w:ascii="Arial" w:cs="Arial" w:eastAsia="Arial" w:hAnsi="Arial"/>
                <w:sz w:val="14"/>
                <w:szCs w:val="14"/>
                <w:b w:val="1"/>
                <w:bCs w:val="1"/>
                <w:color w:val="auto"/>
              </w:rPr>
              <w:t>9/30/2016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 change</w:t>
            </w:r>
          </w:p>
        </w:tc>
        <w:tc>
          <w:tcPr>
            <w:tcW w:w="1720" w:type="dxa"/>
            <w:vAlign w:val="bottom"/>
          </w:tcPr>
          <w:p>
            <w:pPr>
              <w:jc w:val="right"/>
              <w:ind w:right="211"/>
              <w:spacing w:after="0"/>
              <w:rPr>
                <w:sz w:val="20"/>
                <w:szCs w:val="20"/>
                <w:color w:val="auto"/>
              </w:rPr>
            </w:pPr>
            <w:r>
              <w:rPr>
                <w:rFonts w:ascii="Arial" w:cs="Arial" w:eastAsia="Arial" w:hAnsi="Arial"/>
                <w:sz w:val="14"/>
                <w:szCs w:val="14"/>
                <w:b w:val="1"/>
                <w:bCs w:val="1"/>
                <w:color w:val="auto"/>
              </w:rPr>
              <w:t>Percentage change</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6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720" w:type="dxa"/>
            <w:vAlign w:val="bottom"/>
            <w:tcBorders>
              <w:top w:val="single" w:sz="8" w:color="auto"/>
            </w:tcBorders>
            <w:shd w:val="clear" w:color="auto" w:fill="CCEEFF"/>
          </w:tcPr>
          <w:p>
            <w:pPr>
              <w:spacing w:after="0"/>
              <w:rPr>
                <w:sz w:val="24"/>
                <w:szCs w:val="24"/>
                <w:color w:val="auto"/>
              </w:rPr>
            </w:pPr>
          </w:p>
        </w:tc>
      </w:tr>
      <w:tr>
        <w:trPr>
          <w:trHeight w:val="203"/>
        </w:trPr>
        <w:tc>
          <w:tcPr>
            <w:tcW w:w="424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1,049.0</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1,092.9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458.3</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475.7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24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nm</w:t>
            </w:r>
          </w:p>
        </w:tc>
      </w:tr>
      <w:tr>
        <w:trPr>
          <w:trHeight w:val="243"/>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277.1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327.8</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42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Rowe Price Group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29"/>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assuming dilution</w:t>
            </w:r>
          </w:p>
        </w:tc>
        <w:tc>
          <w:tcPr>
            <w:tcW w:w="3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258.6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03"/>
        </w:trPr>
        <w:tc>
          <w:tcPr>
            <w:tcW w:w="424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23"/>
                <w:szCs w:val="23"/>
                <w:b w:val="1"/>
                <w:bCs w:val="1"/>
                <w:color w:val="auto"/>
                <w:vertAlign w:val="superscript"/>
              </w:rPr>
              <w:t>(2)</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277.0</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299.9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42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Rowe Price Group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3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42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763.1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803.6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0"/>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725.5</w:t>
            </w:r>
          </w:p>
        </w:tc>
        <w:tc>
          <w:tcPr>
            <w:tcW w:w="2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2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ind w:left="140" w:hanging="132"/>
        <w:spacing w:after="0"/>
        <w:tabs>
          <w:tab w:leader="none" w:pos="140" w:val="left"/>
        </w:tabs>
        <w:numPr>
          <w:ilvl w:val="0"/>
          <w:numId w:val="1"/>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is not meaningful.</w:t>
      </w:r>
    </w:p>
    <w:p>
      <w:pPr>
        <w:spacing w:after="0" w:line="13" w:lineRule="exact"/>
        <w:rPr>
          <w:rFonts w:ascii="Arial" w:cs="Arial" w:eastAsia="Arial" w:hAnsi="Arial"/>
          <w:sz w:val="9"/>
          <w:szCs w:val="9"/>
          <w:i w:val="1"/>
          <w:iCs w:val="1"/>
          <w:color w:val="auto"/>
        </w:rPr>
      </w:pPr>
    </w:p>
    <w:p>
      <w:pPr>
        <w:ind w:left="140" w:hanging="132"/>
        <w:spacing w:after="0"/>
        <w:tabs>
          <w:tab w:leader="none" w:pos="140" w:val="left"/>
        </w:tabs>
        <w:numPr>
          <w:ilvl w:val="0"/>
          <w:numId w:val="1"/>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sections of this management discussion and analysis.</w:t>
      </w:r>
    </w:p>
    <w:p>
      <w:pPr>
        <w:spacing w:after="0" w:line="37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Investment advisory fees earned in the third quarter of 2016 increased over the comparable 2015 quarter as average assets under our management increased $40.5 billion, or 5.3%, to $803.6 billion. The average annualized effective fee rate earned on our assets under management during the third quarter of 2016 was 48.0 basis points, which was the same as the rate earned during the third quarter of 2015. In order to maintain a positive yield for fund investors, we voluntarily waived $2.1 million in advisory fees and fund expenses from certain of our money market mutual funds in the third quarter of 2016, as compared to $11.6 million in the comparable 2015 quarter. The total waivers in 2016 are less than 1% of total investment advisory fees earned during the third quarter of 2016. The combined net assets at September 30, 2016, of the funds in which we waived fees in the third quarter of 2016 were $15.8 billion. We expect these fee waivers will continue for the remainder of 2016 and into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margin in the third quarter of 2016 was 43.5%, virtually unchanged from 43.7% earned in the 2015 quarter.</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third quarter of 2016 results include greater non-operating income resulting from implementing new accounting guidance on January 1, 2016, related to the consolidation of certain sponsored investment portfolios in which we provide initial seed capital at formation. This implementation resulted in investment gains and losses on a larger number of our investments in sponsored portfolios to be recognized in the statement of income compared to the statement of comprehensive income in the prior year. The consolidation of these portfolios results in the recognition in our consolidated statement of income each portfolio's investment income and operating expenses, including the portion that was held by unrelated third party investors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360"/>
          </w:cols>
          <w:pgMar w:left="240" w:top="584" w:right="299" w:bottom="1440" w:gutter="0" w:footer="0" w:header="0"/>
        </w:sectPr>
      </w:pPr>
    </w:p>
    <w:bookmarkStart w:id="23" w:name="page24"/>
    <w:bookmarkEnd w:id="23"/>
    <w:p>
      <w:pPr>
        <w:ind w:right="440"/>
        <w:spacing w:after="0" w:line="277" w:lineRule="auto"/>
        <w:rPr>
          <w:sz w:val="20"/>
          <w:szCs w:val="20"/>
          <w:color w:val="auto"/>
        </w:rPr>
      </w:pPr>
      <w:r>
        <w:rPr>
          <w:rFonts w:ascii="Arial" w:cs="Arial" w:eastAsia="Arial" w:hAnsi="Arial"/>
          <w:sz w:val="18"/>
          <w:szCs w:val="18"/>
          <w:color w:val="auto"/>
        </w:rPr>
        <w:t>(redeemable non-controlling interests). The portion attributable to unrelated third party investors is removed from our net income to arrive at net income attributable to T. Rowe Price Group, which is used in our calculation of earnings per share.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third quarter of 2016, the impact (in millions) of consolidating these sponsored investment portfolios on the individual lines of our condensed consolidated statements of income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9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firm's interest in the consolidated sponsored investment portfolios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 party investors)</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Additionally, we adopted new accounting guidance related to stock-based compensation that reduced our income tax provision by $4.3 million, or $.02 in diluted earnings per share, in the third quarter of 2016. See Note 1, </w:t>
      </w:r>
      <w:r>
        <w:rPr>
          <w:rFonts w:ascii="Arial" w:cs="Arial" w:eastAsia="Arial" w:hAnsi="Arial"/>
          <w:sz w:val="17"/>
          <w:szCs w:val="17"/>
          <w:i w:val="1"/>
          <w:iCs w:val="1"/>
          <w:color w:val="auto"/>
        </w:rPr>
        <w:t>The Company and Basis of Preparation</w:t>
      </w:r>
      <w:r>
        <w:rPr>
          <w:rFonts w:ascii="Arial" w:cs="Arial" w:eastAsia="Arial" w:hAnsi="Arial"/>
          <w:sz w:val="17"/>
          <w:szCs w:val="17"/>
          <w:color w:val="auto"/>
        </w:rPr>
        <w:t>, in the condensed consolidated financial statements contained in Part I, Item 1 of this filing for more information related to the impact of the guidance.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Investment advisory revenues earned in the third quarter of 2016 from the T. Rowe Price mutual funds distributed in the U.S. were $703.5 million, an increase of $32.7 million, or 4.9%, from the comparable 2015 quarter. Average mutual fund assets under management in the third quarter of 2016 were $511.3 billion, an increase of 4.0% from the average in the third quarter of 2015. The increase in advisory revenues earned from the mutual funds is due to both the increase in average assets under management as well as the reduction in money market fee waivers in the third quarter of 2016 compared with the 2015 quarter.</w:t>
      </w:r>
    </w:p>
    <w:p>
      <w:pPr>
        <w:spacing w:after="0" w:line="15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Investment advisory revenues earned in the third quarter of 2016 from the other investment portfolios were $267.0 million, an increase of $15.2 million, or 6.0%, from the comparable 2015 quarter. Average assets under management in the third quarter of 2016 were $292.3 billion, an increase of 7.7% from the average in the third quarter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Compensation and related costs was $386.2 million in the third quarter of 2016, an increase of $6.8 million, or 1.8%, compared to the third quarter of 2015. Our base salaries and related benefits have increased $15.9 million as a result of modest increases in base salaries at the beginning of 2016 combined with a 4.1% increase in our average staff size from the third quarter of 2015. Our stock-based compensation expense increased $1.5 million in the third quarter of 2016. These increases were offset in part by the interim accrual for annual variable compensation in the third quarter of 2016 being $5.7 million less than the accrual in the 2015 quarter. Our interim accrual for annual variable compensation program is recognized ratably over the year using the ratio of recognized quarterly net operating income to forecasted annual net operating income. Declines in temporary personnel and other employee-related costs in the third quarter of 2016 make up the remainder of the change from the 2015 quarter. We employed 6,239 associates at September 30, 2016.</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Advertising and promotion costs were $14.7 million in the third quarter of 2016, compared with $13.2 million in the comparable 2015 period. We currently expect advertising and promotion costs for the full-year 2016 to be comparable to 2015 levels.</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Occupancy and facility costs together with depreciation expense were $79.3 million in the third quarter of 2016, an increase of $5.9 million, or 8.0%, compared to the third quarter of 2015. The increase is primarily attributable to the added costs to update and enhance technology capabilities, including related maintenance programs, and to renovate existing facilities.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in the third quarter of 2016 were up $13.7 million from the comparable 2015 quarter. This increase includes higher costs attributable to BNY Mellon's performance of certain fund accounting and portfolio recordkeeping services for a full quarter in 2016 as compared to a partial quarter in 2015, as well as implementation services related to our transition to their technology platform. The remainder of the increase in costs is due to higher business demands and the firm's continued investment in its operating capabilities.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non-operating income in the third quarter of 2016 was $88.3 million, an increase of $88.0 million from the 2015 quarter. The following table details the components of non-operating income (in millions) during the third quarter of 2015 and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7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9/30/2015</w:t>
            </w:r>
          </w:p>
        </w:tc>
        <w:tc>
          <w:tcPr>
            <w:tcW w:w="2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9/30/2016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Other-than-temporary impairment of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gain (loss) recognized on deconsolidation of a sponsored fund</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and capital gain dividends on sponsored fund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Investment gains (losses) on sponsored equity method and trading investments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(loss) on sponsored fund investments not consolidated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earned from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investment income (loss) of consolidated sponsored investment portfolios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75.3</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57"/>
        </w:trPr>
        <w:tc>
          <w:tcPr>
            <w:tcW w:w="720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88.0</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increase in investment gains (losses) on sponsored equity method and trading investments is driven by an increase in the number of sponsored funds accounted for as equity method investments as well as market gains. The investment income on consolidated sponsored investment portfolios has increased in the third quarter of 2016 as the number of portfolios we consolidate, as discussed above, increased significantly upon the adoption of the new consolidation accounting guidance. See Note 1, </w:t>
      </w:r>
      <w:r>
        <w:rPr>
          <w:rFonts w:ascii="Arial" w:cs="Arial" w:eastAsia="Arial" w:hAnsi="Arial"/>
          <w:sz w:val="18"/>
          <w:szCs w:val="18"/>
          <w:i w:val="1"/>
          <w:iCs w:val="1"/>
          <w:color w:val="auto"/>
        </w:rPr>
        <w:t>The Company and Basis of Preparation</w:t>
      </w:r>
      <w:r>
        <w:rPr>
          <w:rFonts w:ascii="Arial" w:cs="Arial" w:eastAsia="Arial" w:hAnsi="Arial"/>
          <w:sz w:val="18"/>
          <w:szCs w:val="18"/>
          <w:color w:val="auto"/>
        </w:rPr>
        <w:t>, in the condensed consolidated financial statements contained in Part I, Item 1 of this filing for more information related to the impact of the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effective tax rate for the third quarter of 2016 was 35.7%. We currently estimate our effective tax rate for the full-year 2016 will be 36.3% compared with our estimate of 38.3% disclosed at the end of the second quarter of 2016. The decrease in the estimated effective tax rate is related in part to the increase in net income attributable to redeemable non-controlling interest related to our consolidated sponsored investment portfolios as we do not recognize taxes associated with these earnings. Additionally, the estimated effective tax rate has declined as a result of us electing to adopt the new stock-based compensation accounting guidance as discussed in Note 1, </w:t>
      </w:r>
      <w:r>
        <w:rPr>
          <w:rFonts w:ascii="Arial" w:cs="Arial" w:eastAsia="Arial" w:hAnsi="Arial"/>
          <w:sz w:val="16"/>
          <w:szCs w:val="16"/>
          <w:i w:val="1"/>
          <w:iCs w:val="1"/>
          <w:color w:val="auto"/>
        </w:rPr>
        <w:t>The Company and Basis of Preparation,</w:t>
      </w:r>
      <w:r>
        <w:rPr>
          <w:rFonts w:ascii="Arial" w:cs="Arial" w:eastAsia="Arial" w:hAnsi="Arial"/>
          <w:sz w:val="16"/>
          <w:szCs w:val="16"/>
          <w:color w:val="auto"/>
        </w:rPr>
        <w:t xml:space="preserve"> in the condensed consolidated financial statements contained in Part I, Item 1 of this filing. Under the new guidance, tax benefits and shortfalls on exercised options and vested restricted stock relative to the stock-based compensation expense recognized will now be included in the provision for income taxes rather than as additional paid in capital on the balance sheet.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First nine months of 2015 versus first nine months of 2016.</w:t>
      </w:r>
    </w:p>
    <w:p>
      <w:pPr>
        <w:spacing w:after="0" w:line="22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The table below presents financial results on a U.S. GAAP basis as well as a non-GAAP basis to adjust for the non-recurring charge related to the Dell appraisal matter and impact of the consolidated sponsored investment portfolios and other non-operating income. We believe the non-GAAP financial measures below provide relevant and meaningful information to investors about our core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23495</wp:posOffset>
            </wp:positionV>
            <wp:extent cx="1869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(in millions, except per-share data)</w:t>
            </w:r>
          </w:p>
        </w:tc>
        <w:tc>
          <w:tcPr>
            <w:tcW w:w="260" w:type="dxa"/>
            <w:vAlign w:val="bottom"/>
          </w:tcPr>
          <w:p>
            <w:pPr>
              <w:spacing w:after="0"/>
              <w:rPr>
                <w:sz w:val="21"/>
                <w:szCs w:val="21"/>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9/30/2015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9/30/2016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480" w:type="dxa"/>
            <w:vAlign w:val="bottom"/>
          </w:tcPr>
          <w:p>
            <w:pPr>
              <w:jc w:val="right"/>
              <w:ind w:right="91"/>
              <w:spacing w:after="0"/>
              <w:rPr>
                <w:sz w:val="20"/>
                <w:szCs w:val="20"/>
                <w:color w:val="auto"/>
              </w:rPr>
            </w:pPr>
            <w:r>
              <w:rPr>
                <w:rFonts w:ascii="Arial" w:cs="Arial" w:eastAsia="Arial" w:hAnsi="Arial"/>
                <w:sz w:val="14"/>
                <w:szCs w:val="14"/>
                <w:b w:val="1"/>
                <w:bCs w:val="1"/>
                <w:color w:val="auto"/>
                <w:w w:val="99"/>
              </w:rPr>
              <w:t>Percentage change</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620" w:type="dxa"/>
            <w:vAlign w:val="bottom"/>
            <w:tcBorders>
              <w:top w:val="single" w:sz="8" w:color="CCEEFF"/>
            </w:tcBorders>
            <w:shd w:val="clear" w:color="auto" w:fill="CCEEFF"/>
          </w:tcPr>
          <w:p>
            <w:pPr>
              <w:spacing w:after="0"/>
              <w:rPr>
                <w:sz w:val="24"/>
                <w:szCs w:val="24"/>
                <w:color w:val="auto"/>
              </w:rPr>
            </w:pPr>
          </w:p>
        </w:tc>
        <w:tc>
          <w:tcPr>
            <w:tcW w:w="23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r>
      <w:tr>
        <w:trPr>
          <w:trHeight w:val="203"/>
        </w:trPr>
        <w:tc>
          <w:tcPr>
            <w:tcW w:w="53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5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3,148.4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3,131.7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1,443.9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0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r>
      <w:tr>
        <w:trPr>
          <w:trHeight w:val="243"/>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919.8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5"/>
              </w:rPr>
              <w:t>Diluted earnings per share on common stock of T. Rowe Price Group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262.9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03"/>
        </w:trPr>
        <w:tc>
          <w:tcPr>
            <w:tcW w:w="530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23"/>
                <w:szCs w:val="23"/>
                <w:b w:val="1"/>
                <w:bCs w:val="1"/>
                <w:color w:val="auto"/>
                <w:vertAlign w:val="superscript"/>
              </w:rPr>
              <w:t>(2)</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5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883.1</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5"/>
              </w:rPr>
              <w:t>Diluted earnings per share on common stock of T. Rowe Price Group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53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r>
        <w:trPr>
          <w:trHeight w:val="243"/>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768.6</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30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725.5</w:t>
            </w:r>
          </w:p>
        </w:tc>
        <w:tc>
          <w:tcPr>
            <w:tcW w:w="2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tabs>
          <w:tab w:leader="none" w:pos="140" w:val="left"/>
        </w:tabs>
        <w:numPr>
          <w:ilvl w:val="0"/>
          <w:numId w:val="2"/>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is not meaningful.</w:t>
      </w:r>
    </w:p>
    <w:p>
      <w:pPr>
        <w:spacing w:after="0" w:line="13" w:lineRule="exact"/>
        <w:rPr>
          <w:rFonts w:ascii="Arial" w:cs="Arial" w:eastAsia="Arial" w:hAnsi="Arial"/>
          <w:sz w:val="9"/>
          <w:szCs w:val="9"/>
          <w:i w:val="1"/>
          <w:iCs w:val="1"/>
          <w:color w:val="auto"/>
        </w:rPr>
      </w:pPr>
    </w:p>
    <w:p>
      <w:pPr>
        <w:ind w:left="140" w:hanging="132"/>
        <w:spacing w:after="0"/>
        <w:tabs>
          <w:tab w:leader="none" w:pos="140" w:val="left"/>
        </w:tabs>
        <w:numPr>
          <w:ilvl w:val="0"/>
          <w:numId w:val="2"/>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sections of this management discussion and analysis.</w:t>
      </w: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Investment advisory revenues earned in the first nine months of 2016 increased slightly over the comparable 2015 period. The average annualized fee rate earned on our assets under management was 48.0 basis points in the first nine months of 2016, virtually unchanged from the 48.0 basis points earned in the first nine months of 2015. We waived $9.4 million in money market related fees, including advisory fees and fund expenses, in the first nine months of 2016, a decrease of $28.4 million from the $37.8 million waived in the 2015 period. The fee waivers in the first nine months of 2016 represent less than 1% of total investment advisory revenues earned during the same period.</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first nine months of 2016, our operating expenses include a nonrecurring operating charge of $166.2 million, which reduced net income by $100.7 million or $.39 in diluted earnings per common share, related to our decision to compensate certain clients in regard to the Dell appraisal rights matter.</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operating margin in the first nine months of 2016 was 37.4%, compared to 45.9% in the 2015 period, as the nonrecurring operating charge related to the Dell appraisal rights matter recognized in the 2016 period reduced our operating margin by about 5%. The additional decline in our operating margin from the first nine months of 2015 is a result of the investments we have been making to broaden and deepen our investment management, distribution, and service capabilities around the world.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800" w:right="239" w:bottom="1440" w:gutter="0" w:footer="0" w:header="0"/>
        </w:sectPr>
      </w:pPr>
    </w:p>
    <w:bookmarkStart w:id="26" w:name="page27"/>
    <w:bookmarkEnd w:id="26"/>
    <w:p>
      <w:pPr>
        <w:ind w:right="80"/>
        <w:spacing w:after="0" w:line="286" w:lineRule="auto"/>
        <w:rPr>
          <w:sz w:val="20"/>
          <w:szCs w:val="20"/>
          <w:color w:val="auto"/>
        </w:rPr>
      </w:pPr>
      <w:r>
        <w:rPr>
          <w:rFonts w:ascii="Arial" w:cs="Arial" w:eastAsia="Arial" w:hAnsi="Arial"/>
          <w:sz w:val="17"/>
          <w:szCs w:val="17"/>
          <w:color w:val="auto"/>
        </w:rPr>
        <w:t xml:space="preserve">The adoption of the new consolidation guidance on January 1, 2016, as discussed in Note 1, </w:t>
      </w:r>
      <w:r>
        <w:rPr>
          <w:rFonts w:ascii="Arial" w:cs="Arial" w:eastAsia="Arial" w:hAnsi="Arial"/>
          <w:sz w:val="17"/>
          <w:szCs w:val="17"/>
          <w:i w:val="1"/>
          <w:iCs w:val="1"/>
          <w:color w:val="auto"/>
        </w:rPr>
        <w:t>The Company and Basis of Preparation,</w:t>
      </w:r>
      <w:r>
        <w:rPr>
          <w:rFonts w:ascii="Arial" w:cs="Arial" w:eastAsia="Arial" w:hAnsi="Arial"/>
          <w:sz w:val="17"/>
          <w:szCs w:val="17"/>
          <w:color w:val="auto"/>
        </w:rPr>
        <w:t xml:space="preserve"> in the condensed consolidated financial statements contained in Part I, Item 1 of this filing</w:t>
      </w:r>
      <w:r>
        <w:rPr>
          <w:rFonts w:ascii="Arial" w:cs="Arial" w:eastAsia="Arial" w:hAnsi="Arial"/>
          <w:sz w:val="17"/>
          <w:szCs w:val="17"/>
          <w:i w:val="1"/>
          <w:iCs w:val="1"/>
          <w:color w:val="auto"/>
        </w:rPr>
        <w:t>,</w:t>
      </w:r>
      <w:r>
        <w:rPr>
          <w:rFonts w:ascii="Arial" w:cs="Arial" w:eastAsia="Arial" w:hAnsi="Arial"/>
          <w:sz w:val="17"/>
          <w:szCs w:val="17"/>
          <w:color w:val="auto"/>
        </w:rPr>
        <w:t xml:space="preserve"> has significantly impacted our results for the first nine months of 2016. The impact (in millions) the consolidated sponsored investment portfolios had on the individual lines of our income statement is as follows: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124.0</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r>
      <w:tr>
        <w:trPr>
          <w:trHeight w:val="20"/>
        </w:trPr>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9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firm's interest in the consolidated sponsored investment portfolios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 (unrelated third party investors)</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first nine months of 2016 results were also impacted by the implementation of accounting guidance related to stock-based compensation. As discussed in Note 1, </w:t>
      </w:r>
      <w:r>
        <w:rPr>
          <w:rFonts w:ascii="Arial" w:cs="Arial" w:eastAsia="Arial" w:hAnsi="Arial"/>
          <w:sz w:val="16"/>
          <w:szCs w:val="16"/>
          <w:i w:val="1"/>
          <w:iCs w:val="1"/>
          <w:color w:val="auto"/>
        </w:rPr>
        <w:t>The Company and Basis of Preparation</w:t>
      </w:r>
      <w:r>
        <w:rPr>
          <w:rFonts w:ascii="Arial" w:cs="Arial" w:eastAsia="Arial" w:hAnsi="Arial"/>
          <w:sz w:val="16"/>
          <w:szCs w:val="16"/>
          <w:color w:val="auto"/>
        </w:rPr>
        <w:t>, to the condensed consolidated financial statements, the guidance required us to adjust results of the first and second quarters of 2016 in order to reflect the impact as of the beginning of the calendar year, despite adopting the guidance in the third quarter of 2016. As such, our provision for income taxes for the first nine months of 2016 includes an income tax benefit of $16.9 million, or $.06 in diluted earnings per share, related to the settlement of options and restricted stock that in the first half of 2016 was recognized in the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Investment advisory revenues earned from the T. Rowe Price mutual funds distributed in the U.S. increased .3%, or $5.0 million, to $2.0 billion. Average mutual fund assets in the first nine months of 2016 were $489.7 billion, a decrease of 1.1% from the average for the comparable 2015 period. The increase in advisory revenues was due in part to the reduction in money market fee waivers made in the first nine months of 2016 compared with the 2015 period.</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Investment advisory revenues earned on the other investment portfolios for the first nine months of 2016 were $757.2 million, a decrease of $4.4 million, or .6%, from the $761.6 million earned in the comparable 2015 period. The first nine months of 2016 includes the elimination of $5.9 million in advisory fees against the related management fee expense recorded by our consolidated sponsored investment portfolios. Average assets in these portfolios were $278.6 billion during the first nine months of 2016, up 1.8% from the comparable 2015 period.</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Administrative fee revenues decreased $9.3 million to $263.6 million in the first nine months of 2016. The decrease is primarily attributable to transfer agent servicing activities provided to the mutual funds and their investors, as well as the shift to BNY Mellon fund accounting and portfolio recordkeeping operations that, prior to August 2015, we provided to our sponsored U.S. mutual funds. Changes in administrative fee revenues are generally offset by similar changes in related operating expenses that are incurred to provide services to the funds and their investors.</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II class shares of our sponsored portfolios were $106.2 million in the first nine months of 2016, a decrease of $8.0 million from the comparable 2015 period on lower average assets under management in these share classes. The 12b-1 fees earned are offset entirely by the costs paid to third party intermediaries who source these assets. These costs are reported as distribution and servicing costs in the condensed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Compensation and related costs was $1,112.4 million in the first nine months of 2016, an increase of $25.6 million, or 2.4%, compared to the 2015 period. The largest part of the increase is attributable to a $40.2 million increase in salaries and related benefits which resulted from a modest increase in salaries at the beginning of 2016 combined with an increase of 2.8% in average headcount from the 2015 period. Higher non-cash stock-based compensation expense of $10.5 million was offset in part by an increase of $5.9 million in the level of labor capitalized in 2016 compared with the 2015 period. These net increases were offset in part by the interim accrual for our annual variable compensation in the2016 period being $5.4 million less than the interim accrual in the 2015 period. Our interim accrual for annual variable compensation program is recognized ratably over the year using the ratio of recognized quarterly net operating income to forecasted annual net operating income. The overall increase in compensation and related costs and our average staff size from the first nine months of 2015 were muted by lower compensation costs resulting from shifting 210 associates in August 2015 and for the ongoing transition support we provide to BNY Mellon. However, these lower compensation costs are offset by increases in costs paid to BNY Mellon to provide these administrative services and other transition-related activities, which are reflected in other operating expenses.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$14.6 million, or 6.9%, compared to the first nine months of 2015. The increase is primarily attributable to the added costs to update and enhance technology capabilities, including related maintenance programs, and to renovate existing facilities.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operating expenses were $296.6 million in the first nine months of 2016, an increase of $58.7 million from the comparable 2015 period. About half of this increase is attributable to costs being paid to BNY Mellon since August 2015 for the performance of certain administrative services, as mentioned above. The increase also includes $4.6 million in operating expenses, net of investment advisory fees paid to us, of those sponsored investment portfolios that we began consolidating at the beginning of 2016. The remaining balance of the change is due to increased business demands and our continued investment in capabilities.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Net non-operating investment activity during the first nine months of 2016 resulted in income of $214.9 million compared with $60.1 million in the 2015 period. The following table details the components of non-operating income (in millions) during the first nine months of 2015 and 2016.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9/30/2016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Other-than-temporary impairments of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gain (loss) recognized on deconsolidation of a sponsored fund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and capital gain dividends on sponsored fund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 gains (losses) on sponsored equity method and trading investments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income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investment income on consolidated sponsored investment portfolios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123.1</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57"/>
        </w:trPr>
        <w:tc>
          <w:tcPr>
            <w:tcW w:w="732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214.9</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154.8</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The increase in investment gains on sponsored equity method and trading investments is driven by an increase in the number of sponsored funds accounted for as equity method investments as well as market gains. The investment income on consolidated sponsored investment portfolios has increased in the first nine months of 2016 as the number of portfolios we consolidate, as discussed above, increased significantly upon the adoption of the new consolidation accounting guidance. See Note 1, </w:t>
      </w:r>
      <w:r>
        <w:rPr>
          <w:rFonts w:ascii="Arial" w:cs="Arial" w:eastAsia="Arial" w:hAnsi="Arial"/>
          <w:sz w:val="17"/>
          <w:szCs w:val="17"/>
          <w:i w:val="1"/>
          <w:iCs w:val="1"/>
          <w:color w:val="auto"/>
        </w:rPr>
        <w:t>The Company and Basis of Preparation</w:t>
      </w:r>
      <w:r>
        <w:rPr>
          <w:rFonts w:ascii="Arial" w:cs="Arial" w:eastAsia="Arial" w:hAnsi="Arial"/>
          <w:sz w:val="17"/>
          <w:szCs w:val="17"/>
          <w:color w:val="auto"/>
        </w:rPr>
        <w:t>, in the condensed consolidated financial statements contained in Part I, Item 1 of this filing for more information related to the impact of the guidance.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 The following schedule reconciles (in millions, except for per share amounts) U.S. GAAP financial measures to non-GAAP measures for the three and nine-months ended September 30,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millions, except for per share amounts</w:t>
            </w:r>
          </w:p>
        </w:tc>
        <w:tc>
          <w:tcPr>
            <w:tcW w:w="200" w:type="dxa"/>
            <w:vAlign w:val="bottom"/>
            <w:shd w:val="clear" w:color="auto" w:fill="CCEEFF"/>
          </w:tcPr>
          <w:p>
            <w:pPr>
              <w:spacing w:after="0"/>
              <w:rPr>
                <w:sz w:val="22"/>
                <w:szCs w:val="22"/>
                <w:color w:val="auto"/>
              </w:rPr>
            </w:pPr>
          </w:p>
        </w:tc>
        <w:tc>
          <w:tcPr>
            <w:tcW w:w="2320" w:type="dxa"/>
            <w:vAlign w:val="bottom"/>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80" w:type="dxa"/>
            <w:vAlign w:val="bottom"/>
            <w:gridSpan w:val="4"/>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5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9/30/2016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Expenses of consolidated sponsored investment portfolios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Non-recurring charge related to Dell appraisal matter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57"/>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expenses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1,790.8</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 Rowe Price Group, Inc.,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Net income of consolidated sponsored investment portfolios, net of redeemable non-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 xml:space="preserve">controlling interests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Non-operating income, excluding impact of consolidated sponsored investment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portfolios</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Non-recurring charge related to Dell appraisal matter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r>
      <w:tr>
        <w:trPr>
          <w:trHeight w:val="270"/>
        </w:trPr>
        <w:tc>
          <w:tcPr>
            <w:tcW w:w="6520" w:type="dxa"/>
            <w:vAlign w:val="bottom"/>
            <w:tcBorders>
              <w:bottom w:val="single" w:sz="8" w:color="CCEEFF"/>
            </w:tcBorders>
          </w:tcPr>
          <w:p>
            <w:pPr>
              <w:ind w:left="120"/>
              <w:spacing w:after="0" w:line="270" w:lineRule="exact"/>
              <w:rPr>
                <w:sz w:val="20"/>
                <w:szCs w:val="20"/>
                <w:color w:val="auto"/>
              </w:rPr>
            </w:pPr>
            <w:r>
              <w:rPr>
                <w:rFonts w:ascii="Arial" w:cs="Arial" w:eastAsia="Arial" w:hAnsi="Arial"/>
                <w:sz w:val="18"/>
                <w:szCs w:val="18"/>
                <w:color w:val="auto"/>
              </w:rPr>
              <w:t xml:space="preserve">Income tax impacts of non-GAAP adjustments </w:t>
            </w:r>
            <w:r>
              <w:rPr>
                <w:rFonts w:ascii="Arial" w:cs="Arial" w:eastAsia="Arial" w:hAnsi="Arial"/>
                <w:sz w:val="25"/>
                <w:szCs w:val="25"/>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845.7</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Consolidated sponsored investment portfolios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Non-operating income, excluding impact of consolidated sponsored investment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portfolios</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Non-recurring charge related to Dell appraisal matter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304"/>
        </w:trPr>
        <w:tc>
          <w:tcPr>
            <w:tcW w:w="652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5"/>
                <w:szCs w:val="25"/>
                <w:b w:val="1"/>
                <w:bCs w:val="1"/>
                <w:color w:val="auto"/>
                <w:vertAlign w:val="superscript"/>
              </w:rPr>
              <w:t>(5)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r>
      <w:tr>
        <w:trPr>
          <w:trHeight w:val="224"/>
        </w:trPr>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0" w:firstLine="8"/>
        <w:spacing w:after="0" w:line="274" w:lineRule="auto"/>
        <w:tabs>
          <w:tab w:leader="none" w:pos="192"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Net income of consolidated sponsored investment portfolios, net of redeemable non-controlling interests: </w:t>
      </w:r>
      <w:r>
        <w:rPr>
          <w:rFonts w:ascii="Arial" w:cs="Arial" w:eastAsia="Arial" w:hAnsi="Arial"/>
          <w:sz w:val="16"/>
          <w:szCs w:val="16"/>
          <w:color w:val="auto"/>
        </w:rPr>
        <w:t>We implemented new consolidation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on January 1, 2016, that resulted in a larger number of our sponsored investment portfolios, that we provide seed capital to at formation, to be consolidated in our financial statements as we were deemed to have a controlling financial interest. We now recognize investment gains and losses on a larger number of the investments in sponsored portfolios in our statement of income compared to our statement of comprehensive income in 2015. The non-GAAP adjustments add back the management fees we earn from the consolidated sponsored investment portfolios and remove the investment income and operating expenses of these portfolios that have been included in our U.S. GAAP condensed consolidated statements of income. We believe the consolidated sponsored investment portfolios may impact the reader's ability to understand our core operating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3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80" w:type="dxa"/>
            <w:vAlign w:val="bottom"/>
            <w:gridSpan w:val="4"/>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5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9/30/2016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of consolidated sponsored portfolios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 of consolidated sponsored portfolios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of consolidated sponsored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52.0</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Price's portion of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62.1</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3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29</w:t>
      </w:r>
    </w:p>
    <w:p>
      <w:pPr>
        <w:sectPr>
          <w:pgSz w:w="11900" w:h="16838" w:orient="portrait"/>
          <w:cols w:equalWidth="0" w:num="1">
            <w:col w:w="11420"/>
          </w:cols>
          <w:pgMar w:left="240" w:top="638" w:right="239" w:bottom="1440" w:gutter="0" w:footer="0" w:header="0"/>
          <w:type w:val="continuous"/>
        </w:sectPr>
      </w:pPr>
    </w:p>
    <w:bookmarkStart w:id="29" w:name="page30"/>
    <w:bookmarkEnd w:id="29"/>
    <w:p>
      <w:pPr>
        <w:ind w:left="180" w:right="20" w:hanging="172"/>
        <w:spacing w:after="0" w:line="250" w:lineRule="auto"/>
        <w:tabs>
          <w:tab w:leader="none" w:pos="196"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Non-operating income, excluding impact of consolidated sponsored investment portfolios: </w:t>
      </w:r>
      <w:r>
        <w:rPr>
          <w:rFonts w:ascii="Arial" w:cs="Arial" w:eastAsia="Arial" w:hAnsi="Arial"/>
          <w:sz w:val="17"/>
          <w:szCs w:val="17"/>
          <w:color w:val="auto"/>
        </w:rPr>
        <w:t>This non-GAAP adjustment removes the non-operating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that remains after backing out the portion related to the consolidated sponsored investment portfolios. We believe excluding non-operating income helps the reader's ability to understand the firm’s core operating results, and increases comparability to prior years. Additionally, we do not emphasize the impact of non-operating income when managing our firm and evaluating our performance.</w:t>
      </w:r>
    </w:p>
    <w:p>
      <w:pPr>
        <w:spacing w:after="0" w:line="127"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40" w:type="dxa"/>
            <w:vAlign w:val="bottom"/>
            <w:gridSpan w:val="4"/>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3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9/30/2015</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9/30/2016</w:t>
            </w: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214.9</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Less: net investment income (loss) of consolidated sponsored portfolios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124.0</w:t>
            </w:r>
          </w:p>
        </w:tc>
      </w:tr>
      <w:tr>
        <w:trPr>
          <w:trHeight w:val="27"/>
        </w:trPr>
        <w:tc>
          <w:tcPr>
            <w:tcW w:w="6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90.9</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right="100" w:hanging="172"/>
        <w:spacing w:after="0" w:line="250" w:lineRule="auto"/>
        <w:tabs>
          <w:tab w:leader="none" w:pos="196"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Non-recurring charge related to Dell appraisal rights matter: </w:t>
      </w:r>
      <w:r>
        <w:rPr>
          <w:rFonts w:ascii="Arial" w:cs="Arial" w:eastAsia="Arial" w:hAnsi="Arial"/>
          <w:sz w:val="17"/>
          <w:szCs w:val="17"/>
          <w:color w:val="auto"/>
        </w:rPr>
        <w:t>As previously disclosed, we made the decision in June 2016 to compensate certain clients in</w:t>
      </w:r>
      <w:r>
        <w:rPr>
          <w:rFonts w:ascii="Arial" w:cs="Arial" w:eastAsia="Arial" w:hAnsi="Arial"/>
          <w:sz w:val="17"/>
          <w:szCs w:val="17"/>
          <w:i w:val="1"/>
          <w:iCs w:val="1"/>
          <w:color w:val="auto"/>
        </w:rPr>
        <w:t xml:space="preserve"> </w:t>
      </w:r>
      <w:r>
        <w:rPr>
          <w:rFonts w:ascii="Arial" w:cs="Arial" w:eastAsia="Arial" w:hAnsi="Arial"/>
          <w:sz w:val="17"/>
          <w:szCs w:val="17"/>
          <w:color w:val="auto"/>
        </w:rPr>
        <w:t>regard to the Dell appraisal rights matter. We believe it is useful to readers of our condensed consolidated statement of income to adjust for this non-recurring charge in arriving at adjusted operating expenses and net income attributable to T. Rowe Price Group, Inc. and diluted earnings per share, as this will aid with comparability to prior periods and analyzing our core business results.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(4</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Income tax impacts of non-GAAP adjustments: </w:t>
      </w:r>
      <w:r>
        <w:rPr>
          <w:rFonts w:ascii="Arial" w:cs="Arial" w:eastAsia="Arial" w:hAnsi="Arial"/>
          <w:sz w:val="18"/>
          <w:szCs w:val="18"/>
          <w:color w:val="auto"/>
        </w:rPr>
        <w:t>These were calculated using the effective tax rate applicable to the related items.</w:t>
      </w:r>
    </w:p>
    <w:p>
      <w:pPr>
        <w:spacing w:after="0" w:line="145" w:lineRule="exact"/>
        <w:rPr>
          <w:sz w:val="20"/>
          <w:szCs w:val="20"/>
          <w:color w:val="auto"/>
        </w:rPr>
      </w:pPr>
    </w:p>
    <w:p>
      <w:pPr>
        <w:ind w:left="180" w:right="820" w:hanging="172"/>
        <w:spacing w:after="0" w:line="227" w:lineRule="auto"/>
        <w:tabs>
          <w:tab w:leader="none" w:pos="21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Adjusted diluted earnings per common share: </w:t>
      </w:r>
      <w:r>
        <w:rPr>
          <w:rFonts w:ascii="Arial" w:cs="Arial" w:eastAsia="Arial" w:hAnsi="Arial"/>
          <w:sz w:val="17"/>
          <w:szCs w:val="17"/>
          <w:color w:val="auto"/>
        </w:rPr>
        <w:t>This non-GAAP measure was calculated by applying the two-class method to adjusted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T. Rowe Price Group, Inc. divided by the weighted-average common shares outstanding assuming dilution.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remain debt-free with ample liquidity, including cash and discretionary sponsored portfolio investment holdings of $2.1 billion at September 30, 2016. We also have seed capital investments in sponsored investment portfolios of $1.2 billion that are redeemable, although we generally expect to be invested for several years until unrelated third party investors substantially reduce our relative ownership percentage.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details (in millions) the line items of the condensed consolidated balance sheet as of September 30, 2016, where our cash and discretionary sponsored portfolio investment holdings and seed capital investments are presented, as well as the amount of other investments that make up the remainder of the investments line. The investment presentation on the balance sheet is based on the type of investment, as well as how we account for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2"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Interest Held by 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3481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Cash and discretionary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Seed capital</w:t>
            </w:r>
          </w:p>
        </w:tc>
        <w:tc>
          <w:tcPr>
            <w:tcW w:w="13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7"/>
              </w:rPr>
              <w:t>Investment in UTI</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As reported on</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investments in</w:t>
            </w: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Redeemable non-</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investments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sponsored</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280" w:type="dxa"/>
            <w:vAlign w:val="bottom"/>
          </w:tcPr>
          <w:p>
            <w:pPr>
              <w:spacing w:after="0"/>
              <w:rPr>
                <w:sz w:val="12"/>
                <w:szCs w:val="12"/>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balance sheet</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8"/>
              </w:rPr>
              <w:t>sponsored portfolios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portfolios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w w:val="91"/>
              </w:rPr>
              <w:t>controlling 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9/30/2016</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1,401.0</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1,214.9</w:t>
            </w: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of consolidated sponsored</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967.6</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2,081.5</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3,583.5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1,113.9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4,697.4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January 1, 2016, we implemented new consolidation accounting guidance that resulted in the consolidation of sponsored investment portfolios in which we have a controlling interest. Our condensed consolidated balance sheet now reflects the cash and cash equivalents, investments, other assets and liabilities of the sponsored portfolios, as well as redeemable non-controlling interests for the portion of the sponsored portfolios that are held by unrelated third party investors. 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 Our interest in these sponsored investment portfolios was used as initial seed capital and is recategorized as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800" w:right="239" w:bottom="144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discretionary when it is determined by management that the seed capital is no longer needed. We assess the discretionary investment portfolio and liquidate our interest, if decided, in a way as to not impact the portfolio and ultimately, the unrelated third party investors.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expended $546.9 million to repurchase 8.0 million shares, or 3.2%, of our outstanding common stock in the first nine months of 2016. We will generally repurchase our common stock over time to offset the dilution created by our equity-based compensation plans. Since the end of 2013, we have returned nearly $3.9 billion to stockholders through stock repurchases, our regular quarterly dividends, and a special dividend in 2015.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Recurring dividend</w:t>
            </w:r>
          </w:p>
        </w:tc>
        <w:tc>
          <w:tcPr>
            <w:tcW w:w="24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274"/>
              <w:spacing w:after="0"/>
              <w:rPr>
                <w:sz w:val="20"/>
                <w:szCs w:val="20"/>
                <w:color w:val="auto"/>
              </w:rPr>
            </w:pPr>
            <w:r>
              <w:rPr>
                <w:rFonts w:ascii="Arial" w:cs="Arial" w:eastAsia="Arial" w:hAnsi="Arial"/>
                <w:sz w:val="14"/>
                <w:szCs w:val="14"/>
                <w:b w:val="1"/>
                <w:bCs w:val="1"/>
                <w:color w:val="auto"/>
                <w:w w:val="99"/>
              </w:rPr>
              <w:t>Special dividend</w:t>
            </w:r>
          </w:p>
        </w:tc>
        <w:tc>
          <w:tcPr>
            <w:tcW w:w="2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54"/>
              <w:spacing w:after="0"/>
              <w:rPr>
                <w:sz w:val="20"/>
                <w:szCs w:val="20"/>
                <w:color w:val="auto"/>
              </w:rPr>
            </w:pPr>
            <w:r>
              <w:rPr>
                <w:rFonts w:ascii="Arial" w:cs="Arial" w:eastAsia="Arial" w:hAnsi="Arial"/>
                <w:sz w:val="14"/>
                <w:szCs w:val="14"/>
                <w:b w:val="1"/>
                <w:bCs w:val="1"/>
                <w:color w:val="auto"/>
                <w:w w:val="92"/>
              </w:rPr>
              <w:t>Stock repurchases</w:t>
            </w:r>
          </w:p>
        </w:tc>
        <w:tc>
          <w:tcPr>
            <w:tcW w:w="22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Arial" w:cs="Arial" w:eastAsia="Arial" w:hAnsi="Arial"/>
                <w:sz w:val="14"/>
                <w:szCs w:val="14"/>
                <w:b w:val="1"/>
                <w:bCs w:val="1"/>
                <w:color w:val="auto"/>
                <w:w w:val="92"/>
              </w:rPr>
              <w:t>Total cash returned to</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462.1</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2,046.8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Nine months ended 9/30/2016</w:t>
            </w:r>
          </w:p>
        </w:tc>
        <w:tc>
          <w:tcPr>
            <w:tcW w:w="24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406.9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546.9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1,403.5</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1,950.2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3,878.2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We anticipate property and equipment expenditures for the full-year 2016 to be up to $165 million, of which about two-thirds is planned for technology initiatives. Given the availability of our financial resources, we expect to fund our anticipated capital expenditures with operating resources, and do not maintain an available external source of liquidity.</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cash flows (in millions) for the nine months ended September 30, 2016, that are attributable to T. Rowe Price Group, our consolidated sponsored investment portfolios, and the related eliminations required in preparing the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4"/>
                <w:szCs w:val="14"/>
                <w:b w:val="1"/>
                <w:bCs w:val="1"/>
                <w:color w:val="auto"/>
              </w:rPr>
              <w:t>For nine months ended 9/30/2016</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Cash flow</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As reported for</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Cash flow</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the nine months</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 T.</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statement of cash</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ended 9/30/2015</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Rowe Price Group</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investment portfolios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flows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8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income to net cash provided by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3"/>
              </w:rPr>
              <w:t>Realized gains on dispositions of available-for-sale sponsored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0"/>
              </w:rPr>
              <w:t>Net change in trading securities held by consolidated sponsored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584" w:right="239" w:bottom="1440" w:gutter="0" w:footer="0" w:header="0"/>
        </w:sectPr>
      </w:pPr>
    </w:p>
    <w:bookmarkStart w:id="31" w:name="page32"/>
    <w:bookmarkEnd w:id="31"/>
    <w:p>
      <w:pPr>
        <w:spacing w:after="0" w:line="297" w:lineRule="auto"/>
        <w:rPr>
          <w:sz w:val="20"/>
          <w:szCs w:val="20"/>
          <w:color w:val="auto"/>
        </w:rPr>
      </w:pPr>
      <w:r>
        <w:rPr>
          <w:rFonts w:ascii="Arial" w:cs="Arial" w:eastAsia="Arial" w:hAnsi="Arial"/>
          <w:sz w:val="16"/>
          <w:szCs w:val="16"/>
          <w:color w:val="auto"/>
        </w:rPr>
        <w:t>Operating activities attributable to T. Rowe Price Group during the first nine months of 2016 provided cash flows of 1,235.3 million, a decrease of $158.3 million from the 2015 period. The decline is primarily related to our decision in the first nine months of 2016 to compensate certain clients $166.2 million in regard to the Dell appraisal rights matter. Our interim operating cash flows do not include the cash impact of variable compensation that is accrued throughout the year before being substantially paid out in December. The net cash provided by operating activities attributable to T. Rowe Price Group was offset in part by the net change in trading securities held in our consolidated sponsored investments’ underlying investment portfolios.</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cash used in investing activities that are attributable to T. Rowe Price Group totaled $163.1 million in the first nine months of 2016. During the first nine months of 2016, we provided $219.1 million in seed capital to new and existing sponsored investment portfolios. Since we consolidate these sponsored investment portfolios, the seed capital that we provided was eliminated in preparing our consolidated condensed statement of cash flow. We utilized a portion of the $174.2 million in proceeds from the sale of certain available-for-sale investments and equity method investments in the first nine months of 2016 to fund these seed capital investments. Additionally, our net property and equipment additions were $112.5 million in the first nine months of 2016 compared to $114.6 million in the 2015 period. The cash flow attributable to consolidated sponsored investment portfolios of $54.3 million represents the net cash added to our balance sheet from consolidating and deconsolidating portfolios during the first nine months of 2016.</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used in financing activities attributable to T. Rowe Price Group were $843.5 million in the first nine months of 2016 compared with $1,686.7 million in the 2015 period. The decline in cash used in financing activities is largely related to the $2.00 per share, or $524 million, special dividend we paid in April 2015. We also expended $295.0 million less in common stock purchases in the first nine months of 2016 compared to the 2015 period. The cash proceeds received from stock option exercises were higher in the first nine months of 2016 by $27.6 million compared with the 2015 period. The net cash used in financing activities attributable to T. Rowe Price Group was largely offset by the $798.2 million in cash provided by consolidated sponsored investment portfolios from the net subscriptions received from redeemable non-controlling interest 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Given the impact the implementation of Accounting Standards Update No. 2015-02 - Consolidation (Topic 810): Amendments to the Consolidation Analysis on January 1, 2016, has had on our consolidated financial statements, we now consider our consolidation policy one of the policies that is most critical to the preparation and understanding of our consolidated financial statements. Our consolidation policy is included in Note 1, </w:t>
      </w:r>
      <w:r>
        <w:rPr>
          <w:rFonts w:ascii="Arial" w:cs="Arial" w:eastAsia="Arial" w:hAnsi="Arial"/>
          <w:sz w:val="17"/>
          <w:szCs w:val="17"/>
          <w:i w:val="1"/>
          <w:iCs w:val="1"/>
          <w:color w:val="auto"/>
        </w:rPr>
        <w:t>The Company and 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Preparation</w:t>
      </w:r>
      <w:r>
        <w:rPr>
          <w:rFonts w:ascii="Arial" w:cs="Arial" w:eastAsia="Arial" w:hAnsi="Arial"/>
          <w:sz w:val="17"/>
          <w:szCs w:val="17"/>
          <w:color w:val="auto"/>
        </w:rPr>
        <w:t>, in the condensed consolidated financial statements contained in Part I, Item 1 of this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in the critical accounting policies previously identified in our 2015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the FASB issued Accounting Standards Update No. 2014-09 — Revenue from Contracts with Customers, and subsequently has issued four related accounting standard updates clarifying several aspects of ASU 2014-09. The overall objective of the new standard updates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will be required to adopt the new standard on January 1, 2018. We are currently evaluating the impact these standards will have on our financial position and results of operations, as well as the available transition methods.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584" w:right="259" w:bottom="1440" w:gutter="0" w:footer="0" w:header="0"/>
        </w:sectPr>
      </w:pPr>
    </w:p>
    <w:bookmarkStart w:id="32" w:name="page33"/>
    <w:bookmarkEnd w:id="32"/>
    <w:p>
      <w:pPr>
        <w:ind w:right="60"/>
        <w:spacing w:after="0" w:line="291" w:lineRule="auto"/>
        <w:rPr>
          <w:sz w:val="20"/>
          <w:szCs w:val="20"/>
          <w:color w:val="auto"/>
        </w:rPr>
      </w:pPr>
      <w:r>
        <w:rPr>
          <w:rFonts w:ascii="Arial" w:cs="Arial" w:eastAsia="Arial" w:hAnsi="Arial"/>
          <w:sz w:val="16"/>
          <w:szCs w:val="16"/>
          <w:color w:val="auto"/>
        </w:rPr>
        <w:t>In January 2016, the FASB issued Accounting Standards Update No. 2016-01 — Financial Instruments — 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investments will be recognized in our consolidated income statement rather than our consolidated statement of comprehensive income.</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February 2016, the FASB issued Accounting Standards Update No. 2016-02 — Leases (Topic 842). The objective of the update is to increase transparency and comparability among organizations by recognizing lease assets and lease liabilities on the balance sheet and disclosing key information about leasing arrangements. The amendments in this update are effective for fiscal years beginning after December 15, 2018, including interim periods within those fiscal years. Early adoption is permitted. We are currently evaluating the impact this standard will have on our financial position and results of operations.</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August 2016, the FASB issued Accounting Standards Update No. 2016-05 — Statement of Cash Flows (Topic 230): Classification of Certain Cash Receipts and Cash Payments (a consensus of the Emerging Issues Task Force). The amendments in this update provide guidance on eight specific cash flow issues. The new guidance is intended to reduce diversity in practice in how certain transactions are classified in the statement of cash flows. The amendments in this update are effective for fiscal</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years beginning after December 15, 2017, and interim periods within those fiscal years. Early adoption is permitted. We are currently evaluating the impact this standard will have on our consolidated statements of cash flows.</w:t>
      </w:r>
    </w:p>
    <w:p>
      <w:pPr>
        <w:spacing w:after="0" w:line="18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and strategic initiatives,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2015.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products, including mutual funds and investment portfolios, and services;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income will also fluctuate as a result of the consolidation of certain of our investment portfolios as well as the size of our investments, changes in their market valuations, and any other-than-temporary impairments that may arise, or in the case of our equity method investments, our proportionate share of the investees net income.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584" w:right="239" w:bottom="1440" w:gutter="0" w:footer="0" w:header="0"/>
        </w:sectPr>
      </w:pPr>
    </w:p>
    <w:bookmarkStart w:id="33" w:name="page34"/>
    <w:bookmarkEnd w:id="33"/>
    <w:p>
      <w:pPr>
        <w:ind w:right="6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accounting and other recordkeeping services, facilities, communications, power, and the mutual fund transfer agent and accounting systems.</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2016. Based on that evaluation, our principal executive and principal financial officers have concluded that our disclosure controls and procedures as of September 30, 2016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2016, and has concluded that there was no change during the third quarter of 2016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00"/>
          </w:cols>
          <w:pgMar w:left="240" w:top="584"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intends to vigorously defend the action.</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the exception of the following additions or updates to the Legal and Regulatory Risks discussed in Item 1A of our Form 10-K Annual Report for 2015, there have been no material changes in the risk factors previously provided.</w:t>
      </w:r>
    </w:p>
    <w:p>
      <w:pPr>
        <w:spacing w:after="0" w:line="180"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and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5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April 2016, the U.S. Department of Labor finalized changes to definitions and rules related to fiduciaries. These changes will require modifications to how we interact with retirement customers and prospects, and may cause us to limit certain types of distribution or other business activities. The Securities and Exchange Commission (SEC) is considering its own fiduciary rule proposal. Any such rule may also have an impact on our business activities.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SIFI designation was intended for traditional asset management businesses. However, if any T. Rowe Price fund or T. Rowe Price affiliate is deemed a SIFI, increased regulatory oversight would apply, which may include enhanced capital, liquidity, leverage, stress testing, resolution planning, and risk management requirements.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364" w:right="239" w:bottom="1440" w:gutter="0" w:footer="0" w:header="0"/>
        </w:sectPr>
      </w:pPr>
    </w:p>
    <w:bookmarkStart w:id="35" w:name="page36"/>
    <w:bookmarkEnd w:id="35"/>
    <w:p>
      <w:pPr>
        <w:ind w:right="60"/>
        <w:spacing w:after="0" w:line="293" w:lineRule="auto"/>
        <w:rPr>
          <w:sz w:val="20"/>
          <w:szCs w:val="20"/>
          <w:color w:val="auto"/>
        </w:rPr>
      </w:pPr>
      <w:r>
        <w:rPr>
          <w:rFonts w:ascii="Arial" w:cs="Arial" w:eastAsia="Arial" w:hAnsi="Arial"/>
          <w:sz w:val="16"/>
          <w:szCs w:val="16"/>
          <w:color w:val="auto"/>
        </w:rPr>
        <w:t>On July 23, 2014, the SEC adopted additional reforms regulating money market funds that will become effective in October 2016. The reforms will require institutional non-government money market funds to operate with a floating net asset value (NAV) and require all non-government money market funds to impose liquidity fees and redemption gates under certain conditions. Government and retail money market funds will continue using current pricing and accounting methods to seek to maintain a stable NAV. The SEC adopted other reforms for money market funds, including additional disclosure and reporting requirements, tightening of diversification requirements, and enhanced stress testing. These reforms could have a negative impact on the attractiveness of such funds to investors and also subject us to additional regulatory requirements and costs to comply with such requirements.</w:t>
      </w:r>
    </w:p>
    <w:p>
      <w:pPr>
        <w:spacing w:after="0" w:line="16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Commodity Futures Trading Commission has adopted certain amendments to its rules that would limit the ability of mutual funds and certain other products we sponsor to use commodities, futures, swaps, and other derivatives without additional registration. If our use of these products on behalf of client accounts increases so as to require registration, we would be subject to additional regulatory requirements and costs associated with registration.</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Global regulations on OTC derivatives are evolving, including new and proposed regulations under The Dodd-Frank Wall Street Reform and Consumer Protection Act and European Market Infrastructure Regulation relating to central clearing counterparties, trade reporting, and repositories. In addition, the SEC has adopted new regulations that will require mutual funds to adopt liquidity risk management programs with specific requirements for measuring and reporting the liquidity of fund holdings. It also has proposed regulations detailing new exposure limits and asset coverage requirements for investments in derivatives, as well as adopting derivatives risk management programs. There remains uncertainty related to various requirements under these regulations and the exact manner in which they will impact current trading strategies for our clients.</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revised Markets in Financial Instruments Directive (MiFID II Directive) and Regulation (MiFIR) (together “MiFID II”) will apply across the European Union (“EU”) and member states of the European Economic Area beginning on January 3, 2018, unless this date is extended. Implementation of MiFID II will significantly impact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will increase our costs.</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Exit from European Union.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The ultimate impact of the UK exit (“Brexit”) from the European Union (“EU”), as a result of the referendum vote at the end of June 2016, on our business operations in the UK and Europe could vary depending on the details of the separation agreement. We are preparing for multiple scenarios, and remain committed to our clients, associates and business expansion across the region.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380"/>
          </w:cols>
          <w:pgMar w:left="240" w:top="58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2016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July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443,347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400,000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15,781,526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August</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2,540,012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69.08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2,498,995</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13,282,531</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September</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1,543,606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1,519,918</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11,762,613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4,526,965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4,418,913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2016, 107,717 were related to shares surrendered in connection with employee stock option exercises and 335 were related to shares withheld to cover tax withholdings associated with the vesting of restricted stock awards.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4,418,913 shares of our common stock were repurchased pursuant to the Board of Directors’ December 11, 2014 and December 10, 2015, publicly announced authorizations. The maximum number of shares that may yet be purchased as of September 30, 2016, under the Board of Directors’ December 10, 2015 publicly announced authorization is 11,762,613.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October 27, 2016, we issued a press release reporting our results of operations for the third quarter of 2016 and first nine months of 2016.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3(i).1</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Form 10-Q Report for the quarterly period ended June 30, 2008 filed on April 10, 2008; File No. 033-07012-99).</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Amended and Restated By-Laws of T. Rowe Price Group, Inc. as of December 10, 2015. (Incorporated by reference from Form 8-K</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Current Report file on December 10, 2015; File No. 000-32191).</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10.03</w:t>
            </w:r>
          </w:p>
        </w:tc>
        <w:tc>
          <w:tcPr>
            <w:tcW w:w="10180" w:type="dxa"/>
            <w:vAlign w:val="bottom"/>
          </w:tcPr>
          <w:p>
            <w:pPr>
              <w:ind w:left="620"/>
              <w:spacing w:after="0"/>
              <w:rPr>
                <w:sz w:val="20"/>
                <w:szCs w:val="20"/>
                <w:color w:val="auto"/>
              </w:rPr>
            </w:pPr>
            <w:r>
              <w:rPr>
                <w:rFonts w:ascii="Arial" w:cs="Arial" w:eastAsia="Arial" w:hAnsi="Arial"/>
                <w:sz w:val="18"/>
                <w:szCs w:val="18"/>
                <w:color w:val="auto"/>
                <w:w w:val="90"/>
              </w:rPr>
              <w:t>Transfer Agency and Service Agreement as of January 1, 2016, between T. Rowe Price Services, Inc. and the T. Rowe Price Funds.</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485BPOS filed on April 27, 2016; File No. 033-16567).</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10.04</w:t>
            </w:r>
          </w:p>
        </w:tc>
        <w:tc>
          <w:tcPr>
            <w:tcW w:w="10180" w:type="dxa"/>
            <w:vAlign w:val="bottom"/>
          </w:tcPr>
          <w:p>
            <w:pPr>
              <w:ind w:left="620"/>
              <w:spacing w:after="0"/>
              <w:rPr>
                <w:sz w:val="20"/>
                <w:szCs w:val="20"/>
                <w:color w:val="auto"/>
              </w:rPr>
            </w:pPr>
            <w:r>
              <w:rPr>
                <w:rFonts w:ascii="Arial" w:cs="Arial" w:eastAsia="Arial" w:hAnsi="Arial"/>
                <w:sz w:val="18"/>
                <w:szCs w:val="18"/>
                <w:color w:val="auto"/>
                <w:w w:val="92"/>
              </w:rPr>
              <w:t>Agreement as of January 1, 2016, between T. Rowe Price Retirement Plan Services, Inc. and certain of the T. Rowe Price Funds.</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485BPOS filed on April 27, 2016; File No. 033-16567).</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10180" w:type="dxa"/>
            <w:vAlign w:val="bottom"/>
          </w:tcPr>
          <w:p>
            <w:pPr>
              <w:ind w:left="620"/>
              <w:spacing w:after="0"/>
              <w:rPr>
                <w:sz w:val="20"/>
                <w:szCs w:val="20"/>
                <w:color w:val="auto"/>
              </w:rPr>
            </w:pPr>
            <w:r>
              <w:rPr>
                <w:rFonts w:ascii="Arial" w:cs="Arial" w:eastAsia="Arial" w:hAnsi="Arial"/>
                <w:sz w:val="18"/>
                <w:szCs w:val="18"/>
                <w:color w:val="auto"/>
              </w:rPr>
              <w:t>Employment Agreement as of March 15, 2016, between T. Rowe Price International Limited and Christopher Alderson.</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10Q filed on April 26, 2016; File No. 000-32191).</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10180" w:type="dxa"/>
            <w:vAlign w:val="bottom"/>
          </w:tcPr>
          <w:p>
            <w:pPr>
              <w:ind w:left="62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62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99</w:t>
            </w:r>
          </w:p>
        </w:tc>
        <w:tc>
          <w:tcPr>
            <w:tcW w:w="10180" w:type="dxa"/>
            <w:vAlign w:val="bottom"/>
          </w:tcPr>
          <w:p>
            <w:pPr>
              <w:ind w:left="620"/>
              <w:spacing w:after="0"/>
              <w:rPr>
                <w:sz w:val="20"/>
                <w:szCs w:val="20"/>
                <w:color w:val="auto"/>
              </w:rPr>
            </w:pPr>
            <w:r>
              <w:rPr>
                <w:rFonts w:ascii="Arial" w:cs="Arial" w:eastAsia="Arial" w:hAnsi="Arial"/>
                <w:sz w:val="18"/>
                <w:szCs w:val="18"/>
                <w:color w:val="auto"/>
                <w:w w:val="93"/>
              </w:rPr>
              <w:t>Earnings release issued October 27, 2016, reporting our results of operations for the third quarter and first nine months of 2016.</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tcPr>
          <w:p>
            <w:pPr>
              <w:ind w:left="620"/>
              <w:spacing w:after="0"/>
              <w:rPr>
                <w:sz w:val="20"/>
                <w:szCs w:val="20"/>
                <w:color w:val="auto"/>
              </w:rPr>
            </w:pPr>
            <w:r>
              <w:rPr>
                <w:rFonts w:ascii="Arial" w:cs="Arial" w:eastAsia="Arial" w:hAnsi="Arial"/>
                <w:sz w:val="18"/>
                <w:szCs w:val="18"/>
                <w:color w:val="auto"/>
                <w:w w:val="96"/>
              </w:rPr>
              <w:t>The following series of unaudited XBRL-formatted documents are collectively included herewith as Exhibit 101. The financial</w:t>
            </w:r>
          </w:p>
        </w:tc>
      </w:tr>
    </w:tbl>
    <w:p>
      <w:pPr>
        <w:ind w:left="1760" w:right="16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trow-20160930.xml).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trow-20160930.xsd).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trow-20160930_cal.xml).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trow-20160930_lab.xml).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trow-20160930_pre.xml).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trow-20160930_def.xml).</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320"/>
          </w:cols>
          <w:pgMar w:left="240" w:top="580" w:right="339" w:bottom="1440" w:gutter="0" w:footer="0" w:header="0"/>
        </w:sectPr>
      </w:pPr>
    </w:p>
    <w:bookmarkStart w:id="38" w:name="page39"/>
    <w:bookmarkEnd w:id="3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27,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220"/>
          </w:cols>
          <w:pgMar w:left="240" w:top="364" w:right="439" w:bottom="1440" w:gutter="0" w:footer="0" w:header="0"/>
        </w:sectPr>
      </w:pPr>
    </w:p>
    <w:bookmarkStart w:id="39" w:name="page40"/>
    <w:bookmarkEnd w:id="39"/>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333-90967</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No.</w:t>
      </w:r>
      <w:r>
        <w:rPr>
          <w:rFonts w:ascii="Arial" w:cs="Arial" w:eastAsia="Arial" w:hAnsi="Arial"/>
          <w:sz w:val="18"/>
          <w:szCs w:val="18"/>
          <w:b w:val="1"/>
          <w:bCs w:val="1"/>
          <w:color w:val="auto"/>
        </w:rPr>
        <w:t xml:space="preserve"> 333-180904</w:t>
      </w:r>
      <w:r>
        <w:rPr>
          <w:rFonts w:ascii="Arial" w:cs="Arial" w:eastAsia="Arial" w:hAnsi="Arial"/>
          <w:sz w:val="18"/>
          <w:szCs w:val="18"/>
          <w:color w:val="auto"/>
        </w:rPr>
        <w:t>, No.</w:t>
      </w:r>
      <w:r>
        <w:rPr>
          <w:rFonts w:ascii="Arial" w:cs="Arial" w:eastAsia="Arial" w:hAnsi="Arial"/>
          <w:sz w:val="18"/>
          <w:szCs w:val="18"/>
          <w:b w:val="1"/>
          <w:bCs w:val="1"/>
          <w:color w:val="auto"/>
        </w:rPr>
        <w:t xml:space="preserve"> 333-199560</w:t>
      </w:r>
      <w:r>
        <w:rPr>
          <w:rFonts w:ascii="Arial" w:cs="Arial" w:eastAsia="Arial" w:hAnsi="Arial"/>
          <w:sz w:val="18"/>
          <w:szCs w:val="18"/>
          <w:color w:val="auto"/>
        </w:rPr>
        <w:t>, and No.</w:t>
      </w:r>
      <w:r>
        <w:rPr>
          <w:rFonts w:ascii="Arial" w:cs="Arial" w:eastAsia="Arial" w:hAnsi="Arial"/>
          <w:sz w:val="18"/>
          <w:szCs w:val="18"/>
          <w:b w:val="1"/>
          <w:bCs w:val="1"/>
          <w:color w:val="auto"/>
        </w:rPr>
        <w:t xml:space="preserve"> 333-212705 </w:t>
      </w:r>
      <w:r>
        <w:rPr>
          <w:rFonts w:ascii="Arial" w:cs="Arial" w:eastAsia="Arial" w:hAnsi="Arial"/>
          <w:sz w:val="18"/>
          <w:szCs w:val="18"/>
          <w:color w:val="auto"/>
        </w:rPr>
        <w:t>.</w:t>
      </w:r>
    </w:p>
    <w:p>
      <w:pPr>
        <w:spacing w:after="0" w:line="3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27, 2016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2016</w:t>
      </w:r>
    </w:p>
    <w:p>
      <w:pPr>
        <w:sectPr>
          <w:pgSz w:w="11900" w:h="16838" w:orient="portrait"/>
          <w:cols w:equalWidth="0" w:num="1">
            <w:col w:w="11420"/>
          </w:cols>
          <w:pgMar w:left="240" w:top="584" w:right="239" w:bottom="1440" w:gutter="0" w:footer="0" w:header="0"/>
          <w:type w:val="continuous"/>
        </w:sectPr>
      </w:pPr>
    </w:p>
    <w:bookmarkStart w:id="40" w:name="page41"/>
    <w:bookmarkEnd w:id="40"/>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27,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41" w:name="page42"/>
    <w:bookmarkEnd w:id="41"/>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27,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42" w:name="page43"/>
    <w:bookmarkEnd w:id="42"/>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2016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5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October 27,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43" w:name="page44"/>
    <w:bookmarkEnd w:id="4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9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2019-12-07T07:51:22Z</dcterms:created>
  <dcterms:modified xsi:type="dcterms:W3CDTF">2019-12-07T07:51:22Z</dcterms:modified>
</cp:coreProperties>
</file>