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852170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817880</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31"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1"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25" w:right="339" w:bottom="1440" w:gutter="0" w:footer="0" w:header="0"/>
        </w:sectPr>
      </w:pPr>
    </w:p>
    <w:p>
      <w:pPr>
        <w:spacing w:after="0" w:line="126"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1" w:lineRule="exact"/>
        <w:rPr>
          <w:sz w:val="24"/>
          <w:szCs w:val="24"/>
          <w:color w:val="auto"/>
        </w:rPr>
      </w:pPr>
    </w:p>
    <w:p>
      <w:pPr>
        <w:sectPr>
          <w:pgSz w:w="11900" w:h="16838" w:orient="portrait"/>
          <w:cols w:equalWidth="0" w:num="2">
            <w:col w:w="7220" w:space="720"/>
            <w:col w:w="3300"/>
          </w:cols>
          <w:pgMar w:left="320" w:top="1425" w:right="33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73" w:lineRule="exact"/>
        <w:rPr>
          <w:sz w:val="24"/>
          <w:szCs w:val="24"/>
          <w:color w:val="auto"/>
        </w:rPr>
      </w:pPr>
    </w:p>
    <w:p>
      <w:pPr>
        <w:sectPr>
          <w:pgSz w:w="11900" w:h="16838" w:orient="portrait"/>
          <w:cols w:equalWidth="0" w:num="2">
            <w:col w:w="6520" w:space="720"/>
            <w:col w:w="4000"/>
          </w:cols>
          <w:pgMar w:left="320" w:top="1425" w:right="339" w:bottom="1440" w:gutter="0" w:footer="0" w:header="0"/>
          <w:type w:val="continuous"/>
        </w:sectPr>
      </w:pPr>
    </w:p>
    <w:p>
      <w:pPr>
        <w:ind w:left="3560"/>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33"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193"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TROW</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480"/>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9"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vMerge w:val="restart"/>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vMerge w:val="restart"/>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8"/>
        </w:trPr>
        <w:tc>
          <w:tcPr>
            <w:tcW w:w="34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4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ind w:right="140"/>
        <w:spacing w:after="0" w:line="213"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April 23, 2024, is 223,299,903.</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12/31/2023</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2,554.7</w:t>
            </w:r>
          </w:p>
        </w:tc>
        <w:tc>
          <w:tcPr>
            <w:tcW w:w="0" w:type="dxa"/>
            <w:vAlign w:val="bottom"/>
          </w:tcPr>
          <w:p>
            <w:pPr>
              <w:spacing w:after="0"/>
              <w:rPr>
                <w:sz w:val="1"/>
                <w:szCs w:val="1"/>
                <w:color w:val="auto"/>
              </w:rPr>
            </w:pPr>
          </w:p>
        </w:tc>
      </w:tr>
      <w:tr>
        <w:trPr>
          <w:trHeight w:val="176"/>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Assets of consolidated sponsored investment products ($1,229.2 million at March 31, 2024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2,117.2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1,959.3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$1,204.4 million at December 31, 2023,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12,278.8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sponsored investment products ($27.7 million at March 31, 2024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$35.2 million at December 31, 2023,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Contingent consideration liability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1,987.6</w:t>
            </w:r>
          </w:p>
        </w:tc>
        <w:tc>
          <w:tcPr>
            <w:tcW w:w="0" w:type="dxa"/>
            <w:vAlign w:val="bottom"/>
          </w:tcPr>
          <w:p>
            <w:pPr>
              <w:spacing w:after="0"/>
              <w:rPr>
                <w:sz w:val="1"/>
                <w:szCs w:val="1"/>
                <w:color w:val="auto"/>
              </w:rPr>
            </w:pPr>
          </w:p>
        </w:tc>
      </w:tr>
      <w:tr>
        <w:trPr>
          <w:trHeight w:val="88"/>
        </w:trPr>
        <w:tc>
          <w:tcPr>
            <w:tcW w:w="8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108"/>
        </w:trPr>
        <w:tc>
          <w:tcPr>
            <w:tcW w:w="8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Common stock, $.20 par value—authorized 750,000,000; issued 223,494,000 shares at March 31,</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2024 and 223,938,000 at December 31, 2023</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9,076.1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9,784.1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9,505.1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redeemable non-controlling interests,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12,278.8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right="5180"/>
        <w:spacing w:after="0" w:line="296"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3/31/2023</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1,554.0</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allocation-based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Administrative, distribution, and servicing fees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1,537.6</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and servicing</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Advertising and promotion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amortization and impairment costs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1,053.4</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Non-operating income (loss)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Net gains (losses) on consolidated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gains (losses), including foreign currency gains (losses)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non-operating income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4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right="3320"/>
        <w:spacing w:after="0" w:line="296"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560" w:type="dxa"/>
            <w:vAlign w:val="bottom"/>
            <w:tcBorders>
              <w:bottom w:val="single" w:sz="8" w:color="auto"/>
            </w:tcBorders>
            <w:gridSpan w:val="4"/>
            <w:shd w:val="clear" w:color="auto" w:fill="CCEEFF"/>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3/31/2023</w:t>
            </w:r>
          </w:p>
        </w:tc>
      </w:tr>
      <w:tr>
        <w:trPr>
          <w:trHeight w:val="25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r>
      <w:tr>
        <w:trPr>
          <w:trHeight w:val="227"/>
        </w:trPr>
        <w:tc>
          <w:tcPr>
            <w:tcW w:w="82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8220" w:type="dxa"/>
            <w:vAlign w:val="bottom"/>
          </w:tcPr>
          <w:p>
            <w:pPr>
              <w:ind w:left="220"/>
              <w:spacing w:after="0"/>
              <w:rPr>
                <w:sz w:val="20"/>
                <w:szCs w:val="20"/>
                <w:color w:val="auto"/>
              </w:rPr>
            </w:pPr>
            <w:r>
              <w:rPr>
                <w:rFonts w:ascii="Arial" w:cs="Arial" w:eastAsia="Arial" w:hAnsi="Arial"/>
                <w:sz w:val="18"/>
                <w:szCs w:val="18"/>
                <w:color w:val="auto"/>
              </w:rPr>
              <w:t>Consolidated T. Rowe Price investment products - variable interest entities</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investments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deferred tax (expense) benefits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50"/>
        </w:trPr>
        <w:tc>
          <w:tcPr>
            <w:tcW w:w="8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0"/>
        </w:trPr>
        <w:tc>
          <w:tcPr>
            <w:tcW w:w="82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449.1</w:t>
            </w:r>
          </w:p>
        </w:tc>
      </w:tr>
      <w:tr>
        <w:trPr>
          <w:trHeight w:val="27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comprehensive income (loss) attributable to redeemable 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comprehensive income attributable to T. Rowe Price Group</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31" w:right="579" w:bottom="1440" w:gutter="0" w:footer="0" w:header="0"/>
        </w:sectPr>
      </w:pPr>
    </w:p>
    <w:bookmarkStart w:id="4" w:name="page5"/>
    <w:bookmarkEnd w:id="4"/>
    <w:p>
      <w:pPr>
        <w:ind w:right="4700"/>
        <w:spacing w:after="0" w:line="296"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3/31/2023</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593.4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and impairment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Fair value remeasurement of contingent consideration liability</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Net redemptions in sponsored investment products used to economically hedge supplemental</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savings plan liability</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Net change in securities held by consolidated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of sponsored investment products on deconsolidation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common stockholders of T. Rowe Price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contributions to non-controlling interests in consolidated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subscriptions from redeemable non-controlling interest holders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$77.2 million at December 31, 2023, and</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1,874.7</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$119.1 million at December 31, 2022, held by consolidated sponsored 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8240" w:type="dxa"/>
            <w:vAlign w:val="bottom"/>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$87.4 million at March 31, 2024, and</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2,503.9</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21"/>
        </w:trPr>
        <w:tc>
          <w:tcPr>
            <w:tcW w:w="8240" w:type="dxa"/>
            <w:vAlign w:val="bottom"/>
          </w:tcPr>
          <w:p>
            <w:pPr>
              <w:ind w:left="20"/>
              <w:spacing w:after="0"/>
              <w:rPr>
                <w:sz w:val="20"/>
                <w:szCs w:val="20"/>
                <w:color w:val="auto"/>
              </w:rPr>
            </w:pPr>
            <w:r>
              <w:rPr>
                <w:rFonts w:ascii="Arial" w:cs="Arial" w:eastAsia="Arial" w:hAnsi="Arial"/>
                <w:sz w:val="18"/>
                <w:szCs w:val="18"/>
                <w:color w:val="auto"/>
              </w:rPr>
              <w:t>$92.1 million at March 31, 2023, held by consolidated sponsored investment products</w:t>
            </w: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right="3560"/>
        <w:spacing w:after="0" w:line="296" w:lineRule="auto"/>
        <w:rPr>
          <w:sz w:val="20"/>
          <w:szCs w:val="20"/>
          <w:color w:val="auto"/>
        </w:rPr>
      </w:pPr>
      <w:r>
        <w:rPr>
          <w:rFonts w:ascii="Arial" w:cs="Arial" w:eastAsia="Arial" w:hAnsi="Arial"/>
          <w:sz w:val="18"/>
          <w:szCs w:val="18"/>
          <w:b w:val="1"/>
          <w:bCs w:val="1"/>
          <w:color w:val="auto"/>
        </w:rPr>
        <w:t>UNAUDITED CONDENSED CONSOLIDATED STATEMENTS OF STOCKHOLDERS’ EQUITY (shares in thousands;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gridSpan w:val="15"/>
            <w:shd w:val="clear" w:color="auto" w:fill="CCEEFF"/>
          </w:tcPr>
          <w:p>
            <w:pPr>
              <w:jc w:val="right"/>
              <w:spacing w:after="0"/>
              <w:rPr>
                <w:sz w:val="20"/>
                <w:szCs w:val="20"/>
                <w:color w:val="auto"/>
              </w:rPr>
            </w:pPr>
            <w:r>
              <w:rPr>
                <w:rFonts w:ascii="Arial" w:cs="Arial" w:eastAsia="Arial" w:hAnsi="Arial"/>
                <w:sz w:val="13"/>
                <w:szCs w:val="13"/>
                <w:b w:val="1"/>
                <w:bCs w:val="1"/>
                <w:color w:val="auto"/>
                <w:w w:val="96"/>
              </w:rPr>
              <w:t>Three months ended 3/31/2024</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4"/>
              </w:rPr>
              <w:t>stockholders’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left="30"/>
              <w:spacing w:after="0" w:line="122" w:lineRule="exact"/>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5"/>
              </w:rPr>
              <w:t>attributable</w:t>
            </w:r>
          </w:p>
        </w:tc>
        <w:tc>
          <w:tcPr>
            <w:tcW w:w="80" w:type="dxa"/>
            <w:vAlign w:val="bottom"/>
          </w:tcPr>
          <w:p>
            <w:pPr>
              <w:spacing w:after="0"/>
              <w:rPr>
                <w:sz w:val="11"/>
                <w:szCs w:val="11"/>
                <w:color w:val="auto"/>
              </w:rPr>
            </w:pPr>
          </w:p>
        </w:tc>
        <w:tc>
          <w:tcPr>
            <w:tcW w:w="90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6"/>
            <w:vMerge w:val="restart"/>
          </w:tcPr>
          <w:p>
            <w:pPr>
              <w:ind w:left="60"/>
              <w:spacing w:after="0"/>
              <w:rPr>
                <w:sz w:val="20"/>
                <w:szCs w:val="20"/>
                <w:color w:val="auto"/>
              </w:rPr>
            </w:pPr>
            <w:r>
              <w:rPr>
                <w:rFonts w:ascii="Arial" w:cs="Arial" w:eastAsia="Arial" w:hAnsi="Arial"/>
                <w:sz w:val="13"/>
                <w:szCs w:val="13"/>
                <w:b w:val="1"/>
                <w:bCs w:val="1"/>
                <w:color w:val="auto"/>
              </w:rPr>
              <w:t>Common</w:t>
            </w: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9"/>
              </w:rPr>
              <w:t>capital in</w:t>
            </w:r>
          </w:p>
        </w:tc>
        <w:tc>
          <w:tcPr>
            <w:tcW w:w="100" w:type="dxa"/>
            <w:vAlign w:val="bottom"/>
          </w:tcPr>
          <w:p>
            <w:pPr>
              <w:spacing w:after="0"/>
              <w:rPr>
                <w:sz w:val="10"/>
                <w:szCs w:val="10"/>
                <w:color w:val="auto"/>
              </w:rPr>
            </w:pPr>
          </w:p>
        </w:tc>
        <w:tc>
          <w:tcPr>
            <w:tcW w:w="640" w:type="dxa"/>
            <w:vAlign w:val="bottom"/>
            <w:gridSpan w:val="4"/>
            <w:vMerge w:val="restart"/>
          </w:tcPr>
          <w:p>
            <w:pPr>
              <w:jc w:val="right"/>
              <w:ind w:right="6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to T. Rowe</w:t>
            </w:r>
          </w:p>
        </w:tc>
        <w:tc>
          <w:tcPr>
            <w:tcW w:w="80" w:type="dxa"/>
            <w:vAlign w:val="bottom"/>
          </w:tcPr>
          <w:p>
            <w:pPr>
              <w:spacing w:after="0"/>
              <w:rPr>
                <w:sz w:val="10"/>
                <w:szCs w:val="10"/>
                <w:color w:val="auto"/>
              </w:rPr>
            </w:pPr>
          </w:p>
        </w:tc>
        <w:tc>
          <w:tcPr>
            <w:tcW w:w="90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shares</w:t>
            </w:r>
          </w:p>
        </w:tc>
        <w:tc>
          <w:tcPr>
            <w:tcW w:w="80" w:type="dxa"/>
            <w:vAlign w:val="bottom"/>
          </w:tcPr>
          <w:p>
            <w:pPr>
              <w:spacing w:after="0"/>
              <w:rPr>
                <w:sz w:val="10"/>
                <w:szCs w:val="10"/>
                <w:color w:val="auto"/>
              </w:rPr>
            </w:pPr>
          </w:p>
        </w:tc>
        <w:tc>
          <w:tcPr>
            <w:tcW w:w="720" w:type="dxa"/>
            <w:vAlign w:val="bottom"/>
            <w:gridSpan w:val="6"/>
            <w:vMerge w:val="continue"/>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4"/>
              </w:rPr>
              <w:t>excess of</w:t>
            </w:r>
          </w:p>
        </w:tc>
        <w:tc>
          <w:tcPr>
            <w:tcW w:w="10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4"/>
            <w:vMerge w:val="restart"/>
          </w:tcPr>
          <w:p>
            <w:pPr>
              <w:jc w:val="right"/>
              <w:ind w:right="37"/>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80" w:type="dxa"/>
            <w:vAlign w:val="bottom"/>
          </w:tcPr>
          <w:p>
            <w:pPr>
              <w:spacing w:after="0"/>
              <w:rPr>
                <w:sz w:val="10"/>
                <w:szCs w:val="10"/>
                <w:color w:val="auto"/>
              </w:rPr>
            </w:pPr>
          </w:p>
        </w:tc>
        <w:tc>
          <w:tcPr>
            <w:tcW w:w="8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80" w:type="dxa"/>
            <w:vAlign w:val="bottom"/>
          </w:tcPr>
          <w:p>
            <w:pPr>
              <w:spacing w:after="0"/>
              <w:rPr>
                <w:sz w:val="10"/>
                <w:szCs w:val="10"/>
                <w:color w:val="auto"/>
              </w:rPr>
            </w:pPr>
          </w:p>
        </w:tc>
        <w:tc>
          <w:tcPr>
            <w:tcW w:w="90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860" w:type="dxa"/>
            <w:vAlign w:val="bottom"/>
            <w:gridSpan w:val="5"/>
          </w:tcPr>
          <w:p>
            <w:pPr>
              <w:ind w:left="20"/>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tcPr>
          <w:p>
            <w:pPr>
              <w:spacing w:after="0"/>
              <w:rPr>
                <w:sz w:val="10"/>
                <w:szCs w:val="10"/>
                <w:color w:val="auto"/>
              </w:rPr>
            </w:pPr>
          </w:p>
        </w:tc>
        <w:tc>
          <w:tcPr>
            <w:tcW w:w="7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3"/>
                <w:szCs w:val="13"/>
                <w:b w:val="1"/>
                <w:bCs w:val="1"/>
                <w:color w:val="auto"/>
              </w:rPr>
              <w:t>stock</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earnings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left="30"/>
              <w:spacing w:after="0"/>
              <w:rPr>
                <w:sz w:val="20"/>
                <w:szCs w:val="20"/>
                <w:color w:val="auto"/>
              </w:rPr>
            </w:pPr>
            <w:r>
              <w:rPr>
                <w:rFonts w:ascii="Arial" w:cs="Arial" w:eastAsia="Arial" w:hAnsi="Arial"/>
                <w:sz w:val="13"/>
                <w:szCs w:val="13"/>
                <w:b w:val="1"/>
                <w:bCs w:val="1"/>
                <w:color w:val="auto"/>
                <w:w w:val="89"/>
              </w:rPr>
              <w:t>Inc.</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3"/>
                <w:szCs w:val="13"/>
                <w:b w:val="1"/>
                <w:bCs w:val="1"/>
                <w:color w:val="auto"/>
                <w:w w:val="96"/>
              </w:rPr>
              <w:t>entities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equity</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December 31, 2023</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223,938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431.7</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$ 9,076.1</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9,505.1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9,697.1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594.1</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740" w:type="dxa"/>
            <w:vAlign w:val="bottom"/>
            <w:gridSpan w:val="5"/>
          </w:tcPr>
          <w:p>
            <w:pPr>
              <w:jc w:val="right"/>
              <w:ind w:right="60"/>
              <w:spacing w:after="0"/>
              <w:rPr>
                <w:sz w:val="20"/>
                <w:szCs w:val="20"/>
                <w:color w:val="auto"/>
              </w:rPr>
            </w:pPr>
            <w:r>
              <w:rPr>
                <w:rFonts w:ascii="Arial" w:cs="Arial" w:eastAsia="Arial" w:hAnsi="Arial"/>
                <w:sz w:val="14"/>
                <w:szCs w:val="14"/>
                <w:color w:val="auto"/>
              </w:rPr>
              <w:t>573.8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573.8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587.0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color w:val="auto"/>
              </w:rPr>
              <w:t>Dividends declared ($1.24 per share)</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85"/>
              </w:rPr>
              <w:t>—</w:t>
            </w:r>
          </w:p>
        </w:tc>
        <w:tc>
          <w:tcPr>
            <w:tcW w:w="740" w:type="dxa"/>
            <w:vAlign w:val="bottom"/>
            <w:gridSpan w:val="5"/>
          </w:tcPr>
          <w:p>
            <w:pPr>
              <w:jc w:val="right"/>
              <w:ind w:right="20"/>
              <w:spacing w:after="0"/>
              <w:rPr>
                <w:sz w:val="20"/>
                <w:szCs w:val="20"/>
                <w:color w:val="auto"/>
              </w:rPr>
            </w:pPr>
            <w:r>
              <w:rPr>
                <w:rFonts w:ascii="Arial" w:cs="Arial" w:eastAsia="Arial" w:hAnsi="Arial"/>
                <w:sz w:val="14"/>
                <w:szCs w:val="14"/>
                <w:color w:val="auto"/>
              </w:rPr>
              <w:t>(285.0)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(285.0)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(285.0)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89"/>
              </w:rPr>
              <w:t>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58.4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740" w:type="dxa"/>
            <w:vAlign w:val="bottom"/>
            <w:gridSpan w:val="5"/>
          </w:tcPr>
          <w:p>
            <w:pPr>
              <w:jc w:val="right"/>
              <w:ind w:right="20"/>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2"/>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contributions to non-controlling interests in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gridSpan w:val="4"/>
            <w:vMerge w:val="restart"/>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color w:val="auto"/>
              </w:rPr>
              <w:t>consolidated entities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deconsolidations of T. Rowe Price investment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products</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2024</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223,494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424.2</w:t>
            </w: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$ 9,364.8</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9,784.1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9,989.5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676.7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gridSpan w:val="14"/>
            <w:shd w:val="clear" w:color="auto" w:fill="CCEEFF"/>
          </w:tcPr>
          <w:p>
            <w:pPr>
              <w:jc w:val="right"/>
              <w:spacing w:after="0"/>
              <w:rPr>
                <w:sz w:val="20"/>
                <w:szCs w:val="20"/>
                <w:color w:val="auto"/>
              </w:rPr>
            </w:pPr>
            <w:r>
              <w:rPr>
                <w:rFonts w:ascii="Arial" w:cs="Arial" w:eastAsia="Arial" w:hAnsi="Arial"/>
                <w:sz w:val="13"/>
                <w:szCs w:val="13"/>
                <w:b w:val="1"/>
                <w:bCs w:val="1"/>
                <w:color w:val="auto"/>
              </w:rPr>
              <w:t>Three months ended 3/31/2023</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50"/>
              <w:spacing w:after="0" w:line="126"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6" w:lineRule="exact"/>
              <w:rPr>
                <w:sz w:val="20"/>
                <w:szCs w:val="20"/>
                <w:color w:val="auto"/>
              </w:rPr>
            </w:pPr>
            <w:r>
              <w:rPr>
                <w:rFonts w:ascii="Arial" w:cs="Arial" w:eastAsia="Arial" w:hAnsi="Arial"/>
                <w:sz w:val="13"/>
                <w:szCs w:val="13"/>
                <w:b w:val="1"/>
                <w:bCs w:val="1"/>
                <w:color w:val="auto"/>
                <w:w w:val="96"/>
              </w:rPr>
              <w:t>stockholders’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center"/>
              <w:ind w:right="129"/>
              <w:spacing w:after="0"/>
              <w:rPr>
                <w:sz w:val="20"/>
                <w:szCs w:val="20"/>
                <w:color w:val="auto"/>
              </w:rPr>
            </w:pPr>
            <w:r>
              <w:rPr>
                <w:rFonts w:ascii="Arial" w:cs="Arial" w:eastAsia="Arial" w:hAnsi="Arial"/>
                <w:sz w:val="13"/>
                <w:szCs w:val="13"/>
                <w:b w:val="1"/>
                <w:bCs w:val="1"/>
                <w:color w:val="auto"/>
                <w:w w:val="94"/>
              </w:rPr>
              <w:t>Non-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10"/>
              <w:spacing w:after="0" w:line="122" w:lineRule="exact"/>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restart"/>
          </w:tcPr>
          <w:p>
            <w:pPr>
              <w:jc w:val="center"/>
              <w:ind w:right="20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11"/>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attributable</w:t>
            </w:r>
          </w:p>
        </w:tc>
        <w:tc>
          <w:tcPr>
            <w:tcW w:w="100" w:type="dxa"/>
            <w:vAlign w:val="bottom"/>
          </w:tcPr>
          <w:p>
            <w:pPr>
              <w:spacing w:after="0"/>
              <w:rPr>
                <w:sz w:val="10"/>
                <w:szCs w:val="10"/>
                <w:color w:val="auto"/>
              </w:rPr>
            </w:pPr>
          </w:p>
        </w:tc>
        <w:tc>
          <w:tcPr>
            <w:tcW w:w="80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5"/>
              </w:rPr>
              <w:t>capital in</w:t>
            </w:r>
          </w:p>
        </w:tc>
        <w:tc>
          <w:tcPr>
            <w:tcW w:w="80" w:type="dxa"/>
            <w:vAlign w:val="bottom"/>
          </w:tcPr>
          <w:p>
            <w:pPr>
              <w:spacing w:after="0"/>
              <w:rPr>
                <w:sz w:val="11"/>
                <w:szCs w:val="11"/>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center"/>
              <w:ind w:right="50"/>
              <w:spacing w:after="0" w:line="135" w:lineRule="exact"/>
              <w:rPr>
                <w:sz w:val="20"/>
                <w:szCs w:val="20"/>
                <w:color w:val="auto"/>
              </w:rPr>
            </w:pPr>
            <w:r>
              <w:rPr>
                <w:rFonts w:ascii="Arial" w:cs="Arial" w:eastAsia="Arial" w:hAnsi="Arial"/>
                <w:sz w:val="13"/>
                <w:szCs w:val="13"/>
                <w:b w:val="1"/>
                <w:bCs w:val="1"/>
                <w:color w:val="auto"/>
                <w:w w:val="94"/>
              </w:rPr>
              <w:t>to T. Rowe</w:t>
            </w:r>
          </w:p>
        </w:tc>
        <w:tc>
          <w:tcPr>
            <w:tcW w:w="100" w:type="dxa"/>
            <w:vAlign w:val="bottom"/>
          </w:tcPr>
          <w:p>
            <w:pPr>
              <w:spacing w:after="0"/>
              <w:rPr>
                <w:sz w:val="11"/>
                <w:szCs w:val="11"/>
                <w:color w:val="auto"/>
              </w:rPr>
            </w:pPr>
          </w:p>
        </w:tc>
        <w:tc>
          <w:tcPr>
            <w:tcW w:w="80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7"/>
              </w:rPr>
              <w:t>interests 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1"/>
              <w:spacing w:after="0" w:line="122"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excess of</w:t>
            </w: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4"/>
            <w:vMerge w:val="restart"/>
          </w:tcPr>
          <w:p>
            <w:pPr>
              <w:jc w:val="right"/>
              <w:ind w:right="9"/>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100" w:type="dxa"/>
            <w:vAlign w:val="bottom"/>
          </w:tcPr>
          <w:p>
            <w:pPr>
              <w:spacing w:after="0"/>
              <w:rPr>
                <w:sz w:val="10"/>
                <w:szCs w:val="10"/>
                <w:color w:val="auto"/>
              </w:rPr>
            </w:pPr>
          </w:p>
        </w:tc>
        <w:tc>
          <w:tcPr>
            <w:tcW w:w="80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4"/>
          </w:tcPr>
          <w:p>
            <w:pPr>
              <w:ind w:left="120"/>
              <w:spacing w:after="0" w:line="122" w:lineRule="exact"/>
              <w:rPr>
                <w:sz w:val="20"/>
                <w:szCs w:val="20"/>
                <w:color w:val="auto"/>
              </w:rPr>
            </w:pPr>
            <w:r>
              <w:rPr>
                <w:rFonts w:ascii="Arial" w:cs="Arial" w:eastAsia="Arial" w:hAnsi="Arial"/>
                <w:sz w:val="13"/>
                <w:szCs w:val="13"/>
                <w:b w:val="1"/>
                <w:bCs w:val="1"/>
                <w:color w:val="auto"/>
                <w:w w:val="94"/>
              </w:rPr>
              <w:t>stockholders’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20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6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3"/>
                <w:szCs w:val="13"/>
                <w:b w:val="1"/>
                <w:bCs w:val="1"/>
                <w:color w:val="auto"/>
                <w:w w:val="99"/>
              </w:rPr>
              <w:t>stock</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earnings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7"/>
              </w:rPr>
              <w:t>Inc.</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6"/>
              </w:rPr>
              <w:t>entities</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9"/>
              </w:rPr>
              <w:t>interests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Balances at December 31, 2022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224,310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44.9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437.9</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$ 8,409.7</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w w:val="98"/>
              </w:rPr>
              <w:t>(53.0)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8,839.5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9,030.2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421.5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Dividends declared ($1.22 per share)</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(280.7)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Shares issued upon option exercises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Net shares issued upon vesting of restricted stock units</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58.8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Restricted stock units issued as dividend equivalents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72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Net contributions to non-controlling interests in</w:t>
            </w:r>
          </w:p>
        </w:tc>
        <w:tc>
          <w:tcPr>
            <w:tcW w:w="1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consolidated entities</w:t>
            </w: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2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Net subscriptions into T. Rowe Price investment</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Balances at March 31, 2023</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224,527</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5"/>
              </w:rPr>
              <w:t>44.9</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501.8</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$ 8,550.4</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4"/>
          </w:tcPr>
          <w:p>
            <w:pPr>
              <w:ind w:left="120"/>
              <w:spacing w:after="0"/>
              <w:rPr>
                <w:sz w:val="20"/>
                <w:szCs w:val="20"/>
                <w:color w:val="auto"/>
              </w:rPr>
            </w:pPr>
            <w:r>
              <w:rPr>
                <w:rFonts w:ascii="Arial" w:cs="Arial" w:eastAsia="Arial" w:hAnsi="Arial"/>
                <w:sz w:val="14"/>
                <w:szCs w:val="14"/>
                <w:color w:val="auto"/>
                <w:w w:val="98"/>
              </w:rPr>
              <w:t>(51.7)</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9,045.4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194.4</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9,239.8</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834.1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that invest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2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investment solutions are provided in a number of vehicles, including the T. Rowe Price U.S. mutual funds ("U.S. mutual funds"), subadvised funds, separately managed accounts, collective investment trusts, and other T. Rowe Price products. The other T. Rowe Price products include: open-ended investment products offered to investors outside the U.S., products offered through variable annuity life insurance plans in the U.S., affiliated private investment funds and collateralized loan obligations.</w:t>
      </w:r>
    </w:p>
    <w:p>
      <w:pPr>
        <w:spacing w:after="0" w:line="20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20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unaudited financial information contained in these condensed consolidated financial statements should be read in conjunction with the consolidated financial statements contained in our 2023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No. 2023-07 - </w:t>
      </w:r>
      <w:r>
        <w:rPr>
          <w:rFonts w:ascii="Arial" w:cs="Arial" w:eastAsia="Arial" w:hAnsi="Arial"/>
          <w:sz w:val="18"/>
          <w:szCs w:val="18"/>
          <w:i w:val="1"/>
          <w:iCs w:val="1"/>
          <w:color w:val="auto"/>
        </w:rPr>
        <w:t>Segment Reporting (Topic 280) - Improvements to Reportable Segment Disclosures</w:t>
      </w:r>
      <w:r>
        <w:rPr>
          <w:rFonts w:ascii="Arial" w:cs="Arial" w:eastAsia="Arial" w:hAnsi="Arial"/>
          <w:sz w:val="18"/>
          <w:szCs w:val="18"/>
          <w:color w:val="auto"/>
        </w:rPr>
        <w:t>. As required by the guidance, we will adopt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significant segment expenses that are regularly provided to the chief operating decision maker  in our 2024 year-end reporting. Interim segment reporting will become effective under the amendment on January 1, 2025.</w:t>
      </w:r>
    </w:p>
    <w:p>
      <w:pPr>
        <w:spacing w:after="0" w:line="20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In December 2023, the FASB issued Accounting Standards Update No. 2023-09 - </w:t>
      </w:r>
      <w:r>
        <w:rPr>
          <w:rFonts w:ascii="Arial" w:cs="Arial" w:eastAsia="Arial" w:hAnsi="Arial"/>
          <w:sz w:val="18"/>
          <w:szCs w:val="18"/>
          <w:i w:val="1"/>
          <w:iCs w:val="1"/>
          <w:color w:val="auto"/>
        </w:rPr>
        <w:t>Income Taxes (Topic 740) - 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requires public entities, on an annual basis, to provide disclosure of specific categories in the rate reconciliation,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disclosure of income taxes paid disaggregated by jurisdiction. This amendment is effective for the firm on January 1, 2025. We are currently evaluating the impact of adopting this standard and have not yet determined our transition approach.</w:t>
      </w:r>
    </w:p>
    <w:p>
      <w:pPr>
        <w:spacing w:after="0" w:line="20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condensed consolidated statements, including those we have not yet adopted. We do not believe that any such guidance has or will have a material effect on our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revenues earned in the first quarter of 2024 and 2023, are included in the table below along with details of investment advisory revenues earned from clients by their underlying asset class. We also included average assets under management by asset class, on which we earn the investment advisory revenues.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82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720" w:type="dxa"/>
            <w:vAlign w:val="bottom"/>
            <w:tcBorders>
              <w:bottom w:val="single" w:sz="8" w:color="auto"/>
            </w:tcBorders>
            <w:gridSpan w:val="4"/>
            <w:shd w:val="clear" w:color="auto" w:fill="CCEEFF"/>
          </w:tcPr>
          <w:p>
            <w:pPr>
              <w:jc w:val="right"/>
              <w:ind w:right="731"/>
              <w:spacing w:after="0"/>
              <w:rPr>
                <w:sz w:val="20"/>
                <w:szCs w:val="20"/>
                <w:color w:val="auto"/>
              </w:rPr>
            </w:pPr>
            <w:r>
              <w:rPr>
                <w:rFonts w:ascii="Arial" w:cs="Arial" w:eastAsia="Arial" w:hAnsi="Arial"/>
                <w:sz w:val="13"/>
                <w:szCs w:val="13"/>
                <w:b w:val="1"/>
                <w:bCs w:val="1"/>
                <w:color w:val="auto"/>
              </w:rPr>
              <w:t>Three months ended</w:t>
            </w:r>
          </w:p>
        </w:tc>
      </w:tr>
      <w:tr>
        <w:trPr>
          <w:trHeight w:val="19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3/31/2023</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Equity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949.6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833.9</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including money market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Multi-asset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386.0</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investment advisory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1,391.8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allocation-based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administrative, distribution, and servicing fees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Average AUM </w:t>
            </w:r>
            <w:r>
              <w:rPr>
                <w:rFonts w:ascii="Arial" w:cs="Arial" w:eastAsia="Arial" w:hAnsi="Arial"/>
                <w:sz w:val="14"/>
                <w:szCs w:val="14"/>
                <w:color w:val="auto"/>
              </w:rPr>
              <w:t>(in billions)</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Equity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687.0</w:t>
            </w:r>
          </w:p>
        </w:tc>
      </w:tr>
      <w:tr>
        <w:trPr>
          <w:trHeight w:val="230"/>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including money market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229"/>
        </w:trPr>
        <w:tc>
          <w:tcPr>
            <w:tcW w:w="8260" w:type="dxa"/>
            <w:vAlign w:val="bottom"/>
          </w:tcPr>
          <w:p>
            <w:pPr>
              <w:ind w:left="120"/>
              <w:spacing w:after="0"/>
              <w:rPr>
                <w:sz w:val="20"/>
                <w:szCs w:val="20"/>
                <w:color w:val="auto"/>
              </w:rPr>
            </w:pPr>
            <w:r>
              <w:rPr>
                <w:rFonts w:ascii="Arial" w:cs="Arial" w:eastAsia="Arial" w:hAnsi="Arial"/>
                <w:sz w:val="18"/>
                <w:szCs w:val="18"/>
                <w:color w:val="auto"/>
              </w:rPr>
              <w:t>Multi-asset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422.2</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Average AUM</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1,322.9</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Total net revenues earned from our sponsored products, primarily our sponsored U.S. mutual funds and collective investment trusts, aggregate $1,443.6 million and $1,268.0 million for the three months ended March 31, 2024 and 2023, respectively. Accounts receivable from our sponsored products aggregate to $582.2 million at March 31, 2024 and $533.9 million at December 31, 2023.</w:t>
      </w:r>
    </w:p>
    <w:p>
      <w:pPr>
        <w:spacing w:after="0" w:line="19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8.5% and 8.6% of our assets under management at March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part of the consolidated sponsored investment products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12/31/2023</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246.4</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806.6</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Supplemental savings plan liability economic hedges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23% Investment in UTI Asset Management Company Limited (India)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253.4</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 partnerships and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Held to maturity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2,554.7</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investment partnerships held at fair value are valued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3"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During the three months ended March 31, 2024, net gains on investments included $64.5 million of net unrealized gains related to investments held at fair value that were still held at March 31, 2024. For the same period of 2023, net gains on investments included $46.7 million of net unrealized gains related to investments held at fair value that were still held at March 31, 2023.</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March 31, 2024 and 2023, certain sponsored investment products in which we provided initial seed capital at the time of formation were deconsolidated, as we no longer had a controlling interest. Depending on our ownership interest, we report our residual interests in these sponsored investment products as either an equity method investment or an investment held at fair value. The net impact of these changes on our unaudited condensed consolidated balance sheets and statements of income as of the dates the products were deconsolidated is detailed below.</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0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3/31/2023</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assets of consolidated sponsored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increase (decrease) in liabilities of consolidated sponsored investment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redeemable non-controlling interests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is debt associated with our long-term investments in affiliated collateralized loan obligations (“CLOs”). This debt is carried at $84.3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million at March 31, 2024 and $89.4 million at December 31, 2023, and is reported in accounts payable and accrued expenses in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 The debt includes outstanding repurchase agreements of €64.2 million (equivalent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$69.3 million at March 31, 2024 and $72.3 million at December 31, 2023 at the respective EUR spot rates) that are collateralized by the CLO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 The debt also includes outstanding note facilities of €13.9 million (equivalent to $15.0 million at March 31, 2024 and $17.1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at December 31, 2023, at the respective EUR spot rates) that are collateralized by first priority security interests in the assets of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subsidiary that is party to the notes. These note facilities bear interest at rates based on EURIBOR plus the initial margin,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equals all-in rates ranging from 1.15% to 12.84% as of March 31, 2024. The debt matures on various dates through 2035 or if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 are paid back in full or cancelled, whichever is sooner.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investments at March 31, 2024 and December 31, 2023 include interests in variable interest entities that we do not consolidate as we are not deemed the primary beneficiary. Our maximum risk of loss related to our involvement with these entities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3/31/2024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910.7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919.3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unfunded capital commitments, totaling $92.0 million at March 31, 2024 and $94.1 million at December 31, 2023, relate primarily to the affiliated private investment funds and the investment partnerships in which we have an existing investment. In addition to such amounts, a percentage of prior distributions may be called under certain circumstances.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FUNDS - CARRIED INTEREST.</w:t>
      </w:r>
    </w:p>
    <w:p>
      <w:pPr>
        <w:spacing w:after="0" w:line="25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Certain of the investments in affiliated funds represent interests in general partners of affiliated private investment funds that are entitled to a disproportionate allocation of income or carried interest. The entities holding such interests are considered variable interest entities and are consolidated as T. Rowe Price was determined to be the primary beneficiary.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total assets, liabilities and non-controlling interests of these consolidated variable interest entities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millions)</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3/31/2024</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12/31/2023</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bottom w:val="single" w:sz="8" w:color="auto"/>
            </w:tcBorders>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1580" w:type="dxa"/>
            <w:vAlign w:val="bottom"/>
            <w:tcBorders>
              <w:bottom w:val="single" w:sz="8" w:color="auto"/>
            </w:tcBorders>
          </w:tcPr>
          <w:p>
            <w:pPr>
              <w:jc w:val="right"/>
              <w:ind w:right="1375"/>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192.0</w:t>
            </w:r>
          </w:p>
        </w:tc>
      </w:tr>
      <w:tr>
        <w:trPr>
          <w:trHeight w:val="20"/>
        </w:trPr>
        <w:tc>
          <w:tcPr>
            <w:tcW w:w="6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determine the fair value of our cash equivalents and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260" w:right="2240" w:hanging="249"/>
        <w:spacing w:after="0" w:line="258"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ind w:left="740" w:right="200" w:hanging="728"/>
        <w:spacing w:after="0" w:line="26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condensed consolidated balance sheets using fair value measurements determined based on the differing levels of inputs. This table excludes investments held by the consolidated sponsored investment products which are presented separately on our unaudited condensed consolidated balance sheets and are detailed in Note 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3/31/2024</w:t>
            </w:r>
          </w:p>
        </w:tc>
        <w:tc>
          <w:tcPr>
            <w:tcW w:w="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b w:val="1"/>
                <w:bCs w:val="1"/>
                <w:color w:val="auto"/>
                <w:w w:val="99"/>
              </w:rPr>
              <w:t>12/31/2023</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r>
      <w:tr>
        <w:trPr>
          <w:trHeight w:val="195"/>
        </w:trPr>
        <w:tc>
          <w:tcPr>
            <w:tcW w:w="4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savings plan liability economic hedges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9"/>
        </w:trPr>
        <w:tc>
          <w:tcPr>
            <w:tcW w:w="4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The carrying value of these investments as disclosed in Note 3 were $67.1 million at March 31, 2024, and $69.0 million at December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Consideration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purchase consideration for our acquisition of OHA in December 2021, there was contingent</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consideration in the amount of up to $900 million, payable in cash, that may be due as part of an earnout payment starting in 2025 and ending in 2027 upon satisfying or exceeding certain defined revenue targets. These defined revenue targets will be evaluated on a cumulative basis beginning at the end of 2024, with the ability to extend two additional years if the defined revenue targets are not achieved. About 22% of the earnout is conditioned upon continued service with T. Rowe Price and was excluded from the purchase consideration and deemed compensatory. The fair value of the earnout deemed compensatory is remeasured each reporting period and recognized over the related service period. The amount recorded as compensation expense for the three months ended March 31, 2024 was immaterial.</w:t>
      </w:r>
    </w:p>
    <w:p>
      <w:pPr>
        <w:spacing w:after="0" w:line="21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change in the contingent consideration liability measured at fair value for which we used Level 3 inputs to determine fair value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3/31/2023</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595"/>
              <w:spacing w:after="0"/>
              <w:rPr>
                <w:sz w:val="20"/>
                <w:szCs w:val="20"/>
                <w:color w:val="auto"/>
              </w:rPr>
            </w:pPr>
            <w:r>
              <w:rPr>
                <w:rFonts w:ascii="Arial" w:cs="Arial" w:eastAsia="Arial" w:hAnsi="Arial"/>
                <w:sz w:val="18"/>
                <w:szCs w:val="18"/>
                <w:color w:val="auto"/>
                <w:w w:val="96"/>
              </w:rPr>
              <w:t>95.8</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Unrealized gains, included in earnings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center"/>
              <w:ind w:left="575"/>
              <w:spacing w:after="0"/>
              <w:rPr>
                <w:sz w:val="20"/>
                <w:szCs w:val="20"/>
                <w:color w:val="auto"/>
              </w:rPr>
            </w:pPr>
            <w:r>
              <w:rPr>
                <w:rFonts w:ascii="Arial" w:cs="Arial" w:eastAsia="Arial" w:hAnsi="Arial"/>
                <w:sz w:val="18"/>
                <w:szCs w:val="18"/>
                <w:color w:val="auto"/>
              </w:rPr>
              <w:t>(49.6)</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96"/>
              </w:rPr>
              <w:t>46.2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fair value of the contingent consideration is measured using the Monte Carlo simulation methodology of valuation. The most significant assumptions used relate to the discount rates and from changes pertaining to the achievement of the defined financial targets.</w:t>
      </w:r>
    </w:p>
    <w:p>
      <w:pPr>
        <w:spacing w:after="0" w:line="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In addition, simultaneously with the OHA acquisition, a Value Creation Agreement was entered into whereby certain employees of OHA will receive incentive payments in the aggregate equal to 10% of the appreciated value of the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ind w:right="140"/>
        <w:spacing w:after="0" w:line="262" w:lineRule="auto"/>
        <w:rPr>
          <w:sz w:val="20"/>
          <w:szCs w:val="20"/>
          <w:color w:val="auto"/>
        </w:rPr>
      </w:pPr>
      <w:r>
        <w:rPr>
          <w:rFonts w:ascii="Arial" w:cs="Arial" w:eastAsia="Arial" w:hAnsi="Arial"/>
          <w:sz w:val="18"/>
          <w:szCs w:val="18"/>
          <w:color w:val="auto"/>
        </w:rPr>
        <w:t>OHA business, subject to an annualized preferred return to T. Rowe Price, on the fifth anniversary of the acquisition date. This arrangement is treated as a post-combination compensation expense. This arrangement will be remeasured at fair value at each reporting date and recognized over the related service period. For the three months ended March 31, 2024 and 2023, the amounts recognized as part of compensation expense in our unaudited condensed consolidated statements of income were immaterial.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SPONSORED INVESTMENT PRODUCTS.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sponsored investment products that we consolidate in our unaudited condensed consolidated financial statements are generally those products we provided initial seed capital at the time of their formation and have a controlling interest. Our U.S. mutual funds and certain other sponsored products are considered voting interest entities, while those regulated outside the U.S. are considered variable interest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sponsored investment products: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12/31/2023</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1,847.0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1,959.3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1,311.0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i w:val="1"/>
          <w:iCs w:val="1"/>
          <w:color w:val="auto"/>
        </w:rPr>
      </w:pPr>
      <w:r>
        <w:rPr>
          <w:rFonts w:ascii="Arial" w:cs="Arial" w:eastAsia="Arial" w:hAnsi="Arial"/>
          <w:sz w:val="14"/>
          <w:szCs w:val="14"/>
          <w:i w:val="1"/>
          <w:iCs w:val="1"/>
          <w:color w:val="auto"/>
        </w:rPr>
        <w:t>Cash and cash equivalents includes $22.5 million at March 31, 2024, and $16.2 million at December 31, 2023, of investments in T. Rowe Price money market mutual funds.</w:t>
      </w:r>
    </w:p>
    <w:p>
      <w:pPr>
        <w:spacing w:after="0" w:line="26" w:lineRule="exact"/>
        <w:rPr>
          <w:rFonts w:ascii="Arial" w:cs="Arial" w:eastAsia="Arial" w:hAnsi="Arial"/>
          <w:sz w:val="9"/>
          <w:szCs w:val="9"/>
          <w:i w:val="1"/>
          <w:iCs w:val="1"/>
          <w:color w:val="auto"/>
        </w:rPr>
      </w:pPr>
    </w:p>
    <w:p>
      <w:pPr>
        <w:ind w:left="140" w:hanging="132"/>
        <w:spacing w:after="0" w:line="229"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$6.4 million at March 31, 2024, and $6.2 million at December 31, 2023 of other sponsored investment products.</w:t>
      </w:r>
    </w:p>
    <w:p>
      <w:pPr>
        <w:spacing w:after="0" w:line="2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Although we can redeem our interest in these consolidated sponsored investment products at any time, we cannot directly access or sell the assets held by these products to obtain cash for general operations. Additionally, the assets of these investment products are not available to our general creditors.</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sponsored investment products is limited to valuation changes associated with our interest. We, however, are required to recognize the valuation changes associated with all underlying investments held by these products in our unaudited condensed consolidated statements of income and disclose the portion attributable to third party investors as net income attributable to redeemable non-controlling interests.</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operating results of the consolidated sponsored investment products for the three months ended March 31, 2024 and 2023, are reflected in our unaudited condensed consolidated statements of income as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3"/>
        </w:trPr>
        <w:tc>
          <w:tcPr>
            <w:tcW w:w="4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3/31/2023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20"/>
              <w:spacing w:after="0" w:line="156" w:lineRule="exact"/>
              <w:rPr>
                <w:sz w:val="20"/>
                <w:szCs w:val="20"/>
                <w:color w:val="auto"/>
              </w:rPr>
            </w:pPr>
            <w:r>
              <w:rPr>
                <w:rFonts w:ascii="Arial" w:cs="Arial" w:eastAsia="Arial" w:hAnsi="Arial"/>
                <w:sz w:val="18"/>
                <w:szCs w:val="18"/>
                <w:color w:val="auto"/>
              </w:rPr>
              <w:t>Operating expenses reflected in net operating</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center"/>
              <w:ind w:left="336"/>
              <w:spacing w:after="0"/>
              <w:rPr>
                <w:sz w:val="20"/>
                <w:szCs w:val="20"/>
                <w:color w:val="auto"/>
              </w:rPr>
            </w:pPr>
            <w:r>
              <w:rPr>
                <w:rFonts w:ascii="Arial" w:cs="Arial" w:eastAsia="Arial" w:hAnsi="Arial"/>
                <w:sz w:val="18"/>
                <w:szCs w:val="18"/>
                <w:color w:val="auto"/>
                <w:w w:val="97"/>
              </w:rPr>
              <w:t>(1.7)</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356"/>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35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center"/>
              <w:ind w:left="356"/>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condensed consolidated financial statements, we eliminated operating expenses of $1.2 million and $0.6 million for the three months ended March 31, 2024 and 2023, respectively, against the investment advisory and administrative fees earned from these products. The net investment income (loss) reflected in non-operating income (loss) includes dividend and interest income as well as realized and unrealized gains and losses on the underlying securities held by the consolidated sponsored investment products.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1" w:right="379" w:bottom="1440" w:gutter="0" w:footer="0" w:header="0"/>
        </w:sectPr>
      </w:pPr>
    </w:p>
    <w:bookmarkStart w:id="13" w:name="page14"/>
    <w:bookmarkEnd w:id="13"/>
    <w:p>
      <w:pPr>
        <w:ind w:right="1040"/>
        <w:spacing w:after="0" w:line="287"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condensed consolidated statements of cash flows for the three months ended March 31, 2024 and 2023.</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3/31/2024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3/31/2023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Effect of exchange rate changes on cash and cash</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equivalents of consolidated sponsored investment products</w:t>
            </w: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For the three months ended March 31, 2024, the net cash provided by or used in financing activities includes $19.4 million of net redemptions we made from the consolidated sponsored investment products and dividends received. For the three months ended March 31, 2023, the net cash provided by or used in financing activities included $4.4 million of net subscriptions we made into the consolidated sponsored investment products, net of dividends received. These cash flows were eliminated in consolidation.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determine the fair value of investments held by consolidated sponsored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7" w:lineRule="exact"/>
        <w:rPr>
          <w:sz w:val="20"/>
          <w:szCs w:val="20"/>
          <w:color w:val="auto"/>
        </w:rPr>
      </w:pPr>
    </w:p>
    <w:p>
      <w:pPr>
        <w:ind w:left="740" w:right="24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0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sponsored investment products using fair value measurements determined based on the differing levels of inputs.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3/31/2024</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12/31/2023</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r>
      <w:tr>
        <w:trPr>
          <w:trHeight w:val="195"/>
        </w:trPr>
        <w:tc>
          <w:tcPr>
            <w:tcW w:w="58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9"/>
        </w:trPr>
        <w:tc>
          <w:tcPr>
            <w:tcW w:w="586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1,308.9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1,241.9</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58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1,486.3</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5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3/31/2024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3,150.1</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Amortization and impairment expense for the definite-lived intangible assets was $25.5 million and $26.0 million for the three months ended March 31, 2024 and 2023, respectively. Estimated amortization expense for the definite-lived intangible assets for the five succeeding years is a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5720" w:type="dxa"/>
            <w:vAlign w:val="bottom"/>
          </w:tcPr>
          <w:p>
            <w:pPr>
              <w:ind w:left="140"/>
              <w:spacing w:after="0"/>
              <w:rPr>
                <w:sz w:val="20"/>
                <w:szCs w:val="20"/>
                <w:color w:val="auto"/>
              </w:rPr>
            </w:pPr>
            <w:r>
              <w:rPr>
                <w:rFonts w:ascii="Arial" w:cs="Arial" w:eastAsia="Arial" w:hAnsi="Arial"/>
                <w:sz w:val="18"/>
                <w:szCs w:val="18"/>
                <w:color w:val="auto"/>
              </w:rPr>
              <w:t>Remaining 2024</w:t>
            </w:r>
          </w:p>
        </w:tc>
        <w:tc>
          <w:tcPr>
            <w:tcW w:w="4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29"/>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4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2026</w:t>
            </w:r>
          </w:p>
        </w:tc>
        <w:tc>
          <w:tcPr>
            <w:tcW w:w="4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4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39"/>
        </w:trPr>
        <w:tc>
          <w:tcPr>
            <w:tcW w:w="5720" w:type="dxa"/>
            <w:vAlign w:val="bottom"/>
          </w:tcPr>
          <w:p>
            <w:pPr>
              <w:ind w:left="140"/>
              <w:spacing w:after="0"/>
              <w:rPr>
                <w:sz w:val="20"/>
                <w:szCs w:val="20"/>
                <w:color w:val="auto"/>
              </w:rPr>
            </w:pPr>
            <w:r>
              <w:rPr>
                <w:rFonts w:ascii="Arial" w:cs="Arial" w:eastAsia="Arial" w:hAnsi="Arial"/>
                <w:sz w:val="18"/>
                <w:szCs w:val="18"/>
                <w:color w:val="auto"/>
              </w:rPr>
              <w:t>2028</w:t>
            </w:r>
          </w:p>
        </w:tc>
        <w:tc>
          <w:tcPr>
            <w:tcW w:w="4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29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evaluate the carrying amount of goodwill in our unaudited condensed consolidated balance sheets for possible impairment on an annual basis in the fourth quarter or if triggering events occur that require us to evaluate for impairment earlier. No triggering events arose during the three months ended March 31,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three months ended March 31,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8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53"/>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8"/>
              <w:spacing w:after="0" w:line="14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58"/>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2023</w:t>
            </w:r>
          </w:p>
        </w:tc>
        <w:tc>
          <w:tcPr>
            <w:tcW w:w="1420" w:type="dxa"/>
            <w:vAlign w:val="bottom"/>
          </w:tcPr>
          <w:p>
            <w:pPr>
              <w:jc w:val="right"/>
              <w:spacing w:after="0"/>
              <w:rPr>
                <w:sz w:val="20"/>
                <w:szCs w:val="20"/>
                <w:color w:val="auto"/>
              </w:rPr>
            </w:pPr>
            <w:r>
              <w:rPr>
                <w:rFonts w:ascii="Arial" w:cs="Arial" w:eastAsia="Arial" w:hAnsi="Arial"/>
                <w:sz w:val="18"/>
                <w:szCs w:val="18"/>
                <w:color w:val="auto"/>
              </w:rPr>
              <w:t>1,476,104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(348,728)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1,125,608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Exercisable at March 31, 2024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1,125,608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5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three months ended March 31, 2024.</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Restricted</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672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Nonvested at December 31, 2023</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56,740</w:t>
            </w:r>
          </w:p>
        </w:tc>
        <w:tc>
          <w:tcPr>
            <w:tcW w:w="12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6,485,253</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Dividend equivalents granted to non-employee directors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973</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121.92</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(40,241)</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(30,035)</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127.15</w:t>
            </w:r>
          </w:p>
        </w:tc>
        <w:tc>
          <w:tcPr>
            <w:tcW w:w="0" w:type="dxa"/>
            <w:vAlign w:val="bottom"/>
          </w:tcPr>
          <w:p>
            <w:pPr>
              <w:spacing w:after="0"/>
              <w:rPr>
                <w:sz w:val="1"/>
                <w:szCs w:val="1"/>
                <w:color w:val="auto"/>
              </w:rPr>
            </w:pPr>
          </w:p>
        </w:tc>
      </w:tr>
      <w:tr>
        <w:trPr>
          <w:trHeight w:val="248"/>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6,429,086</w:t>
            </w:r>
          </w:p>
        </w:tc>
        <w:tc>
          <w:tcPr>
            <w:tcW w:w="380" w:type="dxa"/>
            <w:vAlign w:val="bottom"/>
            <w:tcBorders>
              <w:top w:val="single" w:sz="8" w:color="CCEEFF"/>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Nonvested at March 31, 2024, includes performance-based restricted stock units of 334,548. These nonvested performance-based restricted stock units include 108,775 units for which the performance period has lapsed, and the performance threshold has been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March 31, 2024.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 through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007" w:hanging="1007"/>
        <w:spacing w:after="0"/>
        <w:tabs>
          <w:tab w:leader="none" w:pos="1007" w:val="left"/>
        </w:tabs>
        <w:numPr>
          <w:ilvl w:val="0"/>
          <w:numId w:val="5"/>
        </w:numPr>
        <w:rPr>
          <w:rFonts w:ascii="Arial" w:cs="Arial" w:eastAsia="Arial" w:hAnsi="Arial"/>
          <w:sz w:val="17"/>
          <w:szCs w:val="17"/>
          <w:color w:val="auto"/>
        </w:rPr>
      </w:pPr>
      <w:r>
        <w:rPr>
          <w:rFonts w:ascii="Arial" w:cs="Arial" w:eastAsia="Arial" w:hAnsi="Arial"/>
          <w:sz w:val="17"/>
          <w:szCs w:val="17"/>
          <w:color w:val="auto"/>
        </w:rPr>
        <w:t>58.2</w:t>
      </w:r>
    </w:p>
    <w:p>
      <w:pPr>
        <w:spacing w:after="0" w:line="43"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57.2</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50.2</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118.8</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88.4</w:t>
      </w:r>
    </w:p>
    <w:p>
      <w:pPr>
        <w:spacing w:after="0" w:line="27" w:lineRule="exact"/>
        <w:rPr>
          <w:sz w:val="20"/>
          <w:szCs w:val="20"/>
          <w:color w:val="auto"/>
        </w:rPr>
      </w:pPr>
    </w:p>
    <w:p>
      <w:pPr>
        <w:ind w:left="907" w:hanging="907"/>
        <w:spacing w:after="0"/>
        <w:tabs>
          <w:tab w:leader="none" w:pos="907" w:val="left"/>
        </w:tabs>
        <w:numPr>
          <w:ilvl w:val="0"/>
          <w:numId w:val="6"/>
        </w:numPr>
        <w:rPr>
          <w:rFonts w:ascii="Arial" w:cs="Arial" w:eastAsia="Arial" w:hAnsi="Arial"/>
          <w:sz w:val="17"/>
          <w:szCs w:val="17"/>
          <w:color w:val="auto"/>
        </w:rPr>
      </w:pPr>
      <w:r>
        <w:rPr>
          <w:rFonts w:ascii="Arial" w:cs="Arial" w:eastAsia="Arial" w:hAnsi="Arial"/>
          <w:sz w:val="17"/>
          <w:szCs w:val="17"/>
          <w:color w:val="auto"/>
        </w:rPr>
        <w:t>372.8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917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93" w:space="720"/>
            <w:col w:w="1427"/>
          </w:cols>
          <w:pgMar w:left="320" w:top="1133"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3/31/2023</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9"/>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0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changes in currency translation adjustments included in accumulated other comprehensive loss for the three months ended March 31, 2024 and 2023 are presented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0" w:type="dxa"/>
            <w:vAlign w:val="bottom"/>
            <w:gridSpan w:val="8"/>
            <w:shd w:val="clear" w:color="auto" w:fill="CCEEFF"/>
          </w:tcPr>
          <w:p>
            <w:pPr>
              <w:ind w:left="800"/>
              <w:spacing w:after="0"/>
              <w:rPr>
                <w:sz w:val="20"/>
                <w:szCs w:val="20"/>
                <w:color w:val="auto"/>
              </w:rPr>
            </w:pPr>
            <w:r>
              <w:rPr>
                <w:rFonts w:ascii="Arial" w:cs="Arial" w:eastAsia="Arial" w:hAnsi="Arial"/>
                <w:sz w:val="14"/>
                <w:szCs w:val="14"/>
                <w:b w:val="1"/>
                <w:bCs w:val="1"/>
                <w:color w:val="auto"/>
              </w:rPr>
              <w:t>Three months ended 3/31/2024</w:t>
            </w:r>
          </w:p>
        </w:tc>
        <w:tc>
          <w:tcPr>
            <w:tcW w:w="120" w:type="dxa"/>
            <w:vAlign w:val="bottom"/>
            <w:shd w:val="clear" w:color="auto" w:fill="CCEEFF"/>
          </w:tcPr>
          <w:p>
            <w:pPr>
              <w:spacing w:after="0"/>
              <w:rPr>
                <w:sz w:val="17"/>
                <w:szCs w:val="17"/>
                <w:color w:val="auto"/>
              </w:rPr>
            </w:pPr>
          </w:p>
        </w:tc>
        <w:tc>
          <w:tcPr>
            <w:tcW w:w="3800" w:type="dxa"/>
            <w:vAlign w:val="bottom"/>
            <w:gridSpan w:val="7"/>
            <w:shd w:val="clear" w:color="auto" w:fill="CCEEFF"/>
          </w:tcPr>
          <w:p>
            <w:pPr>
              <w:jc w:val="right"/>
              <w:ind w:right="842"/>
              <w:spacing w:after="0"/>
              <w:rPr>
                <w:sz w:val="20"/>
                <w:szCs w:val="20"/>
                <w:color w:val="auto"/>
              </w:rPr>
            </w:pPr>
            <w:r>
              <w:rPr>
                <w:rFonts w:ascii="Arial" w:cs="Arial" w:eastAsia="Arial" w:hAnsi="Arial"/>
                <w:sz w:val="14"/>
                <w:szCs w:val="14"/>
                <w:b w:val="1"/>
                <w:bCs w:val="1"/>
                <w:color w:val="auto"/>
              </w:rPr>
              <w:t>Three months ended 3/31/2023</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Consolidated T.</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Consolidated T.</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Rowe Price</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 currency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products -</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gridSpan w:val="3"/>
            <w:vMerge w:val="continue"/>
          </w:tcPr>
          <w:p>
            <w:pPr>
              <w:spacing w:after="0"/>
              <w:rPr>
                <w:sz w:val="12"/>
                <w:szCs w:val="12"/>
                <w:color w:val="auto"/>
              </w:rPr>
            </w:pPr>
          </w:p>
        </w:tc>
        <w:tc>
          <w:tcPr>
            <w:tcW w:w="14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translation</w:t>
            </w:r>
          </w:p>
        </w:tc>
        <w:tc>
          <w:tcPr>
            <w:tcW w:w="1280" w:type="dxa"/>
            <w:vAlign w:val="bottom"/>
            <w:gridSpan w:val="3"/>
            <w:vMerge w:val="continue"/>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6"/>
                <w:szCs w:val="16"/>
                <w:color w:val="auto"/>
              </w:rPr>
            </w:pPr>
          </w:p>
        </w:tc>
        <w:tc>
          <w:tcPr>
            <w:tcW w:w="1140" w:type="dxa"/>
            <w:vAlign w:val="bottom"/>
          </w:tcPr>
          <w:p>
            <w:pPr>
              <w:jc w:val="center"/>
              <w:ind w:right="6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center"/>
              <w:ind w:left="724"/>
              <w:spacing w:after="0"/>
              <w:rPr>
                <w:sz w:val="20"/>
                <w:szCs w:val="20"/>
                <w:color w:val="auto"/>
              </w:rPr>
            </w:pPr>
            <w:r>
              <w:rPr>
                <w:rFonts w:ascii="Arial" w:cs="Arial" w:eastAsia="Arial" w:hAnsi="Arial"/>
                <w:sz w:val="16"/>
                <w:szCs w:val="16"/>
                <w:color w:val="auto"/>
                <w:w w:val="98"/>
              </w:rPr>
              <w:t>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center"/>
              <w:ind w:left="623"/>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42"/>
        </w:trPr>
        <w:tc>
          <w:tcPr>
            <w:tcW w:w="318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2"/>
                <w:szCs w:val="12"/>
                <w:color w:val="auto"/>
              </w:rPr>
            </w:pPr>
          </w:p>
        </w:tc>
        <w:tc>
          <w:tcPr>
            <w:tcW w:w="1040" w:type="dxa"/>
            <w:vAlign w:val="bottom"/>
            <w:vMerge w:val="restart"/>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ind w:left="724"/>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ind w:left="643"/>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3180" w:type="dxa"/>
            <w:vAlign w:val="bottom"/>
          </w:tcPr>
          <w:p>
            <w:pPr>
              <w:ind w:left="20"/>
              <w:spacing w:after="0"/>
              <w:rPr>
                <w:sz w:val="20"/>
                <w:szCs w:val="20"/>
                <w:color w:val="auto"/>
              </w:rPr>
            </w:pPr>
            <w:r>
              <w:rPr>
                <w:rFonts w:ascii="Arial" w:cs="Arial" w:eastAsia="Arial" w:hAnsi="Arial"/>
                <w:sz w:val="16"/>
                <w:szCs w:val="16"/>
                <w:color w:val="auto"/>
              </w:rPr>
              <w:t>reclassifications and income taxes</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center"/>
              <w:ind w:left="724"/>
              <w:spacing w:after="0"/>
              <w:rPr>
                <w:sz w:val="20"/>
                <w:szCs w:val="20"/>
                <w:color w:val="auto"/>
              </w:rPr>
            </w:pPr>
            <w:r>
              <w:rPr>
                <w:rFonts w:ascii="Arial" w:cs="Arial" w:eastAsia="Arial" w:hAnsi="Arial"/>
                <w:sz w:val="16"/>
                <w:szCs w:val="16"/>
                <w:color w:val="auto"/>
                <w:w w:val="98"/>
              </w:rPr>
              <w:t>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623"/>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724"/>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643"/>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center"/>
              <w:ind w:left="724"/>
              <w:spacing w:after="0"/>
              <w:rPr>
                <w:sz w:val="20"/>
                <w:szCs w:val="20"/>
                <w:color w:val="auto"/>
              </w:rPr>
            </w:pPr>
            <w:r>
              <w:rPr>
                <w:rFonts w:ascii="Arial" w:cs="Arial" w:eastAsia="Arial" w:hAnsi="Arial"/>
                <w:sz w:val="16"/>
                <w:szCs w:val="16"/>
                <w:color w:val="auto"/>
                <w:w w:val="98"/>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center"/>
              <w:ind w:left="623"/>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other comprehensive income (loss) in the table above excludes other comprehensive losses of $1.6 million for the three months ended March 31, 2024, and other comprehensive income of $6.1 million for the three months ended March 31, 2023 related to redeemable non-controlling interests held in our consolidated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 Rowe Price has committed $397 million to fund OHA products over the next three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March 31, 2024, the related condensed consolidated statements of income, comprehensive income, stockholders’ equity, and cash flows for the three-month periods ended March 31, 2024 and 2023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2023, and the related consolidated statements of income, comprehensive income, stockholders’ equity, and cash flows for the year then ended (not presented herein); and in our report dated February 16, 2024, we expressed an unqualified opinion on those consolidated financial statements. In our opinion, the information set forth in the accompanying condensed consolidated balance sheet as of December 31, 2023,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 through model delivery.</w:t>
      </w:r>
    </w:p>
    <w:p>
      <w:pPr>
        <w:spacing w:after="0" w:line="19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investment management industry has been evolving and industry participants are facing several challenging trends including passive investments taking market share from traditional active strategies; continued downward fee pressure; demand for new investment vehicles to</w:t>
      </w:r>
    </w:p>
    <w:p>
      <w:pPr>
        <w:ind w:right="280"/>
        <w:spacing w:after="0" w:line="245" w:lineRule="auto"/>
        <w:rPr>
          <w:sz w:val="20"/>
          <w:szCs w:val="20"/>
          <w:color w:val="auto"/>
        </w:rPr>
      </w:pPr>
      <w:r>
        <w:rPr>
          <w:rFonts w:ascii="Arial" w:cs="Arial" w:eastAsia="Arial" w:hAnsi="Arial"/>
          <w:sz w:val="18"/>
          <w:szCs w:val="18"/>
          <w:color w:val="auto"/>
        </w:rPr>
        <w:t>meet client needs; and an ever-changing regulatory landscape. In this regard, we have ample liquidity and resources that allow us to take advantage of attractive growth opportunities. We are investing in key capabilities, including investment professionals, distribution</w:t>
      </w:r>
    </w:p>
    <w:p>
      <w:pPr>
        <w:ind w:right="440"/>
        <w:spacing w:after="0" w:line="237" w:lineRule="auto"/>
        <w:rPr>
          <w:sz w:val="20"/>
          <w:szCs w:val="20"/>
          <w:color w:val="auto"/>
        </w:rPr>
      </w:pPr>
      <w:r>
        <w:rPr>
          <w:rFonts w:ascii="Arial" w:cs="Arial" w:eastAsia="Arial" w:hAnsi="Arial"/>
          <w:sz w:val="18"/>
          <w:szCs w:val="18"/>
          <w:color w:val="auto"/>
        </w:rPr>
        <w:t>professionals, technologies, and new product offerings in order to provide our clients with strong investment management expertise and service.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37"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U.S. stocks produced strong first-quarter gains that lifted several broad indexes to all-time highs. The market was driven by investors’ optimism about the corporate profit potential stemming from advances in artificial intelligence (AI). Investors were also encouraged by the outcome of the Federal Reserve’s most recent monetary policy meeting. Although the central bank kept short-term interest rates steady throughout the quarter, policymakers in March maintained their December 2023 projections for three quarter-point interest rate cuts by the end of 2024 despite recent upticks in inflation readings.</w:t>
      </w:r>
    </w:p>
    <w:p>
      <w:pPr>
        <w:spacing w:after="0" w:line="20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Developed non-U.S. equity markets appreciated in U.S. dollar terms, but total returns to U.S. investors were hurt by a stronger dollar versus other major currencies. In Europe, equity markets were mostly positive, as investors hoped that easing inflation pressures would enable major central banks to begin reducing short-term interest rates later this year. Asian markets were widely mixed: Japanese shares led the region with a gain exceeding 11%, while Hong Kong stocks dropped almost 12%.</w:t>
      </w:r>
    </w:p>
    <w:p>
      <w:pPr>
        <w:spacing w:after="0" w:line="20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Emerging equity markets generally rose but trailed stocks in developed markets in dollar terms. In Europe, Turkish shares advanced as investors were encouraged that the central bank continued to raise interest rates to fight elevated inflation. In Asia, several markets produced</w:t>
      </w:r>
    </w:p>
    <w:p>
      <w:pPr>
        <w:spacing w:after="0" w:line="237" w:lineRule="auto"/>
        <w:rPr>
          <w:sz w:val="20"/>
          <w:szCs w:val="20"/>
          <w:color w:val="auto"/>
        </w:rPr>
      </w:pPr>
      <w:r>
        <w:rPr>
          <w:rFonts w:ascii="Arial" w:cs="Arial" w:eastAsia="Arial" w:hAnsi="Arial"/>
          <w:sz w:val="18"/>
          <w:szCs w:val="18"/>
          <w:color w:val="auto"/>
        </w:rPr>
        <w:t>gains, but Chinese stocks fell slightly, as the property market remained in distress. In Latin America, a few markets rose sharply, but stocks in regional heavyweight Brazil fell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Returns of several major equity market indexes were as follows for the three months ended: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3/31/2024</w:t>
            </w:r>
          </w:p>
        </w:tc>
      </w:tr>
      <w:tr>
        <w:trPr>
          <w:trHeight w:val="223"/>
        </w:trPr>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S&amp;P 500 Index</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10.6%</w:t>
            </w:r>
          </w:p>
        </w:tc>
      </w:tr>
      <w:tr>
        <w:trPr>
          <w:trHeight w:val="230"/>
        </w:trPr>
        <w:tc>
          <w:tcPr>
            <w:tcW w:w="97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9.1%</w:t>
            </w:r>
          </w:p>
        </w:tc>
      </w:tr>
      <w:tr>
        <w:trPr>
          <w:trHeight w:val="229"/>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Russell 2000 Index</w:t>
            </w:r>
          </w:p>
        </w:tc>
        <w:tc>
          <w:tcPr>
            <w:tcW w:w="1500" w:type="dxa"/>
            <w:vAlign w:val="bottom"/>
          </w:tcPr>
          <w:p>
            <w:pPr>
              <w:jc w:val="center"/>
              <w:spacing w:after="0"/>
              <w:rPr>
                <w:sz w:val="20"/>
                <w:szCs w:val="20"/>
                <w:color w:val="auto"/>
              </w:rPr>
            </w:pPr>
            <w:r>
              <w:rPr>
                <w:rFonts w:ascii="Arial" w:cs="Arial" w:eastAsia="Arial" w:hAnsi="Arial"/>
                <w:sz w:val="18"/>
                <w:szCs w:val="18"/>
                <w:color w:val="auto"/>
              </w:rPr>
              <w:t>5.2%</w:t>
            </w:r>
          </w:p>
        </w:tc>
      </w:tr>
      <w:tr>
        <w:trPr>
          <w:trHeight w:val="229"/>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5.9%</w:t>
            </w:r>
          </w:p>
        </w:tc>
      </w:tr>
      <w:tr>
        <w:trPr>
          <w:trHeight w:val="239"/>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MSCI Emerging Markets Index</w:t>
            </w:r>
          </w:p>
        </w:tc>
        <w:tc>
          <w:tcPr>
            <w:tcW w:w="1500" w:type="dxa"/>
            <w:vAlign w:val="bottom"/>
          </w:tcPr>
          <w:p>
            <w:pPr>
              <w:jc w:val="center"/>
              <w:spacing w:after="0"/>
              <w:rPr>
                <w:sz w:val="20"/>
                <w:szCs w:val="20"/>
                <w:color w:val="auto"/>
              </w:rPr>
            </w:pPr>
            <w:r>
              <w:rPr>
                <w:rFonts w:ascii="Arial" w:cs="Arial" w:eastAsia="Arial" w:hAnsi="Arial"/>
                <w:sz w:val="18"/>
                <w:szCs w:val="18"/>
                <w:color w:val="auto"/>
              </w:rPr>
              <w:t>2.4%</w:t>
            </w:r>
          </w:p>
        </w:tc>
      </w:tr>
    </w:tbl>
    <w:p>
      <w:pPr>
        <w:spacing w:after="0" w:line="78" w:lineRule="exact"/>
        <w:rPr>
          <w:sz w:val="20"/>
          <w:szCs w:val="20"/>
          <w:color w:val="auto"/>
        </w:rPr>
      </w:pPr>
    </w:p>
    <w:p>
      <w:pPr>
        <w:ind w:left="180" w:hanging="132"/>
        <w:spacing w:after="0"/>
        <w:tabs>
          <w:tab w:leader="none" w:pos="18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i w:val="1"/>
          <w:iCs w:val="1"/>
          <w:color w:val="auto"/>
        </w:rPr>
        <w:t>Returns exclude dividends</w:t>
      </w:r>
    </w:p>
    <w:p>
      <w:pPr>
        <w:spacing w:after="0" w:line="19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Global bond returns were mixed in U.S. dollar terms in the first quarter of 2024. In the U.S., Treasury bill yields increased, even though the fed funds target rate remained in the 5.25% to 5.50% range. Yields of Treasuries with intermediate- and long-term maturities rose to a greater degree due in part to some recent upticks in inflation readings. The 10-year U.S. Treasury note yield increased from 3.88% to 4.20% during the quarter.</w:t>
      </w:r>
    </w:p>
    <w:p>
      <w:pPr>
        <w:spacing w:after="0" w:line="20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the U.S. investment-grade bond universe, sector performance was mixed. Mortgage-backed and Treasury securities performed worst. Corporate bonds held up somewhat better but still posted mild losses. Asset-backed securities rose slightly, while non-agency commercial mortgage-backed securities produced a solid gain. Tax-free municipal bonds held up slightly better than the broad taxable bond market. High yield corporate bonds produced gains and outperformed the broad investment-grade market.</w:t>
      </w:r>
    </w:p>
    <w:p>
      <w:pPr>
        <w:spacing w:after="0" w:line="20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Bonds in developed non-U.S. markets declined in dollar terms. In Europe, longer-term bond yields generally increased while major European currencies weakened versus the dollar. While the European Central Bank and the Bank of England held short-term interest rates steady, Switzerland’s central bank surprised investors in March with a quarter-point rate cut. In Japan, long-term government bond yields increased and the yen fell to 34-year lows versus the dollar, even though the Bank of Japan decided in March to lift its benchmark interest rate out of</w:t>
      </w:r>
    </w:p>
    <w:p>
      <w:pPr>
        <w:ind w:right="740"/>
        <w:spacing w:after="0" w:line="237" w:lineRule="auto"/>
        <w:rPr>
          <w:sz w:val="20"/>
          <w:szCs w:val="20"/>
          <w:color w:val="auto"/>
        </w:rPr>
      </w:pPr>
      <w:r>
        <w:rPr>
          <w:rFonts w:ascii="Arial" w:cs="Arial" w:eastAsia="Arial" w:hAnsi="Arial"/>
          <w:sz w:val="18"/>
          <w:szCs w:val="18"/>
          <w:color w:val="auto"/>
        </w:rPr>
        <w:t>negative territory. Emerging markets bonds were mixed: Dollar-denominated issues produced gains, but bonds denominated in local currencies declined, as many developing markets currencies depreciated versus the U.S. dollar.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were as follows for the three months ended: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3/31/2024</w:t>
            </w:r>
          </w:p>
        </w:tc>
      </w:tr>
      <w:tr>
        <w:trPr>
          <w:trHeight w:val="223"/>
        </w:trPr>
        <w:tc>
          <w:tcPr>
            <w:tcW w:w="9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Bloomberg U.S. Aggregate Bond Index</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(0.8)%</w:t>
            </w:r>
          </w:p>
        </w:tc>
      </w:tr>
      <w:tr>
        <w:trPr>
          <w:trHeight w:val="22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Global High Yield 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2.2%</w:t>
            </w:r>
          </w:p>
        </w:tc>
      </w:tr>
      <w:tr>
        <w:trPr>
          <w:trHeight w:val="230"/>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Bloomberg Municipal Bond Index</w:t>
            </w: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(0.4)%</w:t>
            </w:r>
          </w:p>
        </w:tc>
      </w:tr>
      <w:tr>
        <w:trPr>
          <w:trHeight w:val="230"/>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(3.2)%</w:t>
            </w:r>
          </w:p>
        </w:tc>
      </w:tr>
      <w:tr>
        <w:trPr>
          <w:trHeight w:val="230"/>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2.3%</w:t>
            </w:r>
          </w:p>
        </w:tc>
      </w:tr>
      <w:tr>
        <w:trPr>
          <w:trHeight w:val="22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ICE Bank of America U.S. High Yield 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1.5%</w:t>
            </w:r>
          </w:p>
        </w:tc>
      </w:tr>
      <w:tr>
        <w:trPr>
          <w:trHeight w:val="239"/>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Credit Suisse Leveraged Loan Index</w:t>
            </w: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color w:val="auto"/>
          <w:vertAlign w:val="superscript"/>
        </w:rPr>
        <w:t>(1)</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Assets under management ended the first quarter of 2024 at $1,542.2 billion, an increase of $97.7 billion from December 31, 2023. The increase in assets under management during the first quarter of 2024 was driven by market appreciation and income, net of distributions not reinvested, of $105.7 billion, offset by net cash outflows of $8.0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changes in our assets under management, by asset class, during the first quarter of 2024:</w:t>
      </w:r>
    </w:p>
    <w:p>
      <w:pPr>
        <w:spacing w:after="0" w:line="34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Fixed income,</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billions)</w:t>
            </w:r>
          </w:p>
        </w:tc>
        <w:tc>
          <w:tcPr>
            <w:tcW w:w="2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60"/>
              <w:spacing w:after="0" w:line="145" w:lineRule="exact"/>
              <w:rPr>
                <w:sz w:val="20"/>
                <w:szCs w:val="20"/>
                <w:color w:val="auto"/>
              </w:rPr>
            </w:pPr>
            <w:r>
              <w:rPr>
                <w:rFonts w:ascii="Arial" w:cs="Arial" w:eastAsia="Arial" w:hAnsi="Arial"/>
                <w:sz w:val="14"/>
                <w:szCs w:val="14"/>
                <w:b w:val="1"/>
                <w:bCs w:val="1"/>
                <w:color w:val="auto"/>
              </w:rPr>
              <w:t>including</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8"/>
                <w:szCs w:val="18"/>
                <w:b w:val="1"/>
                <w:bCs w:val="1"/>
                <w:color w:val="auto"/>
                <w:vertAlign w:val="superscript"/>
              </w:rPr>
              <w:t>(1)</w:t>
            </w: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(2)</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8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18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money market</w:t>
            </w: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under management at beginning of period</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743.6</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170.0</w:t>
            </w: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483.0</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47.9</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1,444.5</w:t>
            </w:r>
          </w:p>
        </w:tc>
        <w:tc>
          <w:tcPr>
            <w:tcW w:w="0" w:type="dxa"/>
            <w:vAlign w:val="bottom"/>
          </w:tcPr>
          <w:p>
            <w:pPr>
              <w:spacing w:after="0"/>
              <w:rPr>
                <w:sz w:val="1"/>
                <w:szCs w:val="1"/>
                <w:color w:val="auto"/>
              </w:rPr>
            </w:pPr>
          </w:p>
        </w:tc>
      </w:tr>
      <w:tr>
        <w:trPr>
          <w:trHeight w:val="198"/>
        </w:trPr>
        <w:tc>
          <w:tcPr>
            <w:tcW w:w="48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Net cash flows prior to manager-driven distributions</w:t>
            </w:r>
          </w:p>
        </w:tc>
        <w:tc>
          <w:tcPr>
            <w:tcW w:w="2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7"/>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Manager-driven distributions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4860" w:type="dxa"/>
            <w:vAlign w:val="bottom"/>
          </w:tcPr>
          <w:p>
            <w:pPr>
              <w:ind w:left="20"/>
              <w:spacing w:after="0"/>
              <w:rPr>
                <w:sz w:val="20"/>
                <w:szCs w:val="20"/>
                <w:color w:val="auto"/>
              </w:rPr>
            </w:pPr>
            <w:r>
              <w:rPr>
                <w:rFonts w:ascii="Arial" w:cs="Arial" w:eastAsia="Arial" w:hAnsi="Arial"/>
                <w:sz w:val="14"/>
                <w:szCs w:val="14"/>
                <w:color w:val="auto"/>
              </w:rPr>
              <w:t>Net cash flows</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7"/>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market appreciation (depreciation) and income</w:t>
            </w:r>
            <w:r>
              <w:rPr>
                <w:rFonts w:ascii="Arial" w:cs="Arial" w:eastAsia="Arial" w:hAnsi="Arial"/>
                <w:sz w:val="18"/>
                <w:szCs w:val="18"/>
                <w:color w:val="auto"/>
                <w:vertAlign w:val="superscript"/>
              </w:rPr>
              <w:t>(3)</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during the period</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under management at March 31, 2024</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1" w:lineRule="exact"/>
        <w:rPr>
          <w:rFonts w:ascii="Arial" w:cs="Arial" w:eastAsia="Arial" w:hAnsi="Arial"/>
          <w:sz w:val="16"/>
          <w:szCs w:val="16"/>
          <w:i w:val="1"/>
          <w:iCs w:val="1"/>
          <w:color w:val="auto"/>
          <w:vertAlign w:val="superscript"/>
        </w:rPr>
      </w:pPr>
    </w:p>
    <w:p>
      <w:pPr>
        <w:ind w:left="180" w:right="100" w:hanging="172"/>
        <w:spacing w:after="0" w:line="224" w:lineRule="auto"/>
        <w:tabs>
          <w:tab w:leader="none" w:pos="157"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 xml:space="preserve">The alternatives asset class includes strategies authorized to invest more than 50% of its holdings in private credit, leveraged loans, mezzanine, real assets/CRE, structured products, stressed / distressed, non-investment grade CLOs, special situations, or have absolute return as its investment objective. Generally, only those strategies with longer than daily liquidity are included. Unfunded capital commitments as of </w:t>
      </w:r>
      <w:r>
        <w:rPr>
          <w:rFonts w:ascii="Arial" w:cs="Arial" w:eastAsia="Arial" w:hAnsi="Arial"/>
          <w:sz w:val="13"/>
          <w:szCs w:val="13"/>
          <w:color w:val="auto"/>
        </w:rPr>
        <w:t>March 31, 2024</w:t>
      </w:r>
      <w:r>
        <w:rPr>
          <w:rFonts w:ascii="Arial" w:cs="Arial" w:eastAsia="Arial" w:hAnsi="Arial"/>
          <w:sz w:val="13"/>
          <w:szCs w:val="13"/>
          <w:i w:val="1"/>
          <w:iCs w:val="1"/>
          <w:color w:val="auto"/>
        </w:rPr>
        <w:t xml:space="preserve"> were $12.0 billion and are not reflected in fee basis AUM above.</w:t>
      </w:r>
    </w:p>
    <w:p>
      <w:pPr>
        <w:ind w:left="140" w:hanging="132"/>
        <w:spacing w:after="0" w:line="228" w:lineRule="auto"/>
        <w:tabs>
          <w:tab w:leader="none" w:pos="14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for the first quarter of 2024 of $0.2 billion.</w:t>
      </w:r>
    </w:p>
    <w:p>
      <w:pPr>
        <w:spacing w:after="0" w:line="239" w:lineRule="exact"/>
        <w:rPr>
          <w:sz w:val="20"/>
          <w:szCs w:val="20"/>
          <w:color w:val="auto"/>
        </w:rPr>
      </w:pPr>
    </w:p>
    <w:p>
      <w:pPr>
        <w:jc w:val="both"/>
        <w:ind w:right="380"/>
        <w:spacing w:after="0" w:line="287" w:lineRule="auto"/>
        <w:rPr>
          <w:sz w:val="20"/>
          <w:szCs w:val="20"/>
          <w:color w:val="auto"/>
        </w:rPr>
      </w:pPr>
      <w:r>
        <w:rPr>
          <w:rFonts w:ascii="Arial" w:cs="Arial" w:eastAsia="Arial" w:hAnsi="Arial"/>
          <w:sz w:val="18"/>
          <w:szCs w:val="18"/>
          <w:color w:val="auto"/>
        </w:rPr>
        <w:t>Investment advisory clients outside the United States account for 8.5% of our assets under management at March 31, 2024 and 8.6% at December 31, 2023.</w:t>
      </w:r>
    </w:p>
    <w:p>
      <w:pPr>
        <w:spacing w:after="0" w:line="180"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Assets under management in our target date retirement products, which are included in the multi-asset totals shown above, were $443.0 billion at March 31, 2024, compared with $408.4 billion at December 31, 2023. Net flows into these portfolios were $6.8 billion in the first quarter of 2024.</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provide strategic investment advice solutions for certain portfolios. These advice solutions, which the vast majority is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March 31, 2024, total assets in these solutions were $537 billion, of which $525 billion are included in our reported assets under management in the tables above.</w:t>
      </w:r>
    </w:p>
    <w:p>
      <w:pPr>
        <w:spacing w:after="0" w:line="20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provide participant accounting and plan administration for retirement plans that invest in the firm's U.S. mutual funds, collective investment trusts and funds outside of the firm's complex. As of March 31, 2024, our assets under administration were $266 billion, of which nearly $156 billion are assets we manage.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19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tables present investment performance for the one-, three-, five-, and 10-years ended March 31, 2024. Past performance is no guarantee of future results.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8"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20" w:type="dxa"/>
            <w:vAlign w:val="bottom"/>
            <w:shd w:val="clear" w:color="auto" w:fill="CCEEFF"/>
          </w:tcPr>
          <w:p>
            <w:pPr>
              <w:spacing w:after="0"/>
              <w:rPr>
                <w:sz w:val="21"/>
                <w:szCs w:val="21"/>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55%</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45%</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68%</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65%</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84%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70%</w:t>
            </w:r>
          </w:p>
        </w:tc>
      </w:tr>
      <w:tr>
        <w:trPr>
          <w:trHeight w:val="109"/>
        </w:trPr>
        <w:tc>
          <w:tcPr>
            <w:tcW w:w="2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74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40%</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54%</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57%</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58%</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58%</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31%</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r>
      <w:tr>
        <w:trPr>
          <w:trHeight w:val="148"/>
        </w:trPr>
        <w:tc>
          <w:tcPr>
            <w:tcW w:w="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358"/>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4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5"/>
        </w:trPr>
        <w:tc>
          <w:tcPr>
            <w:tcW w:w="20" w:type="dxa"/>
            <w:vAlign w:val="bottom"/>
            <w:shd w:val="clear" w:color="auto" w:fill="CCEEFF"/>
          </w:tcPr>
          <w:p>
            <w:pPr>
              <w:spacing w:after="0"/>
              <w:rPr>
                <w:sz w:val="15"/>
                <w:szCs w:val="15"/>
                <w:color w:val="auto"/>
              </w:rPr>
            </w:pPr>
          </w:p>
        </w:tc>
        <w:tc>
          <w:tcPr>
            <w:tcW w:w="442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69%</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40%</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82%</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49%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80%</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93%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96%</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85%</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58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66%</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32%</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37%</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53%</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85%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96%</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74%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54%</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64%</w:t>
            </w:r>
          </w:p>
        </w:tc>
      </w:tr>
      <w:tr>
        <w:trPr>
          <w:trHeight w:val="163"/>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60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34%</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62%</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60%</w:t>
            </w:r>
          </w:p>
        </w:tc>
      </w:tr>
    </w:tbl>
    <w:p>
      <w:pPr>
        <w:spacing w:after="0" w:line="307"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As of March 31, 2024, 69 of 130 (53.1%)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(5)</w:t>
      </w:r>
      <w:r>
        <w:rPr>
          <w:rFonts w:ascii="Arial" w:cs="Arial" w:eastAsia="Arial" w:hAnsi="Arial"/>
          <w:sz w:val="18"/>
          <w:szCs w:val="18"/>
          <w:color w:val="auto"/>
        </w:rPr>
        <w:t>. In addition, 65%</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March 31, 2024 with an overall rating of 4 or 5 stars.</w:t>
      </w:r>
    </w:p>
    <w:p>
      <w:pPr>
        <w:spacing w:after="0" w:line="233" w:lineRule="exact"/>
        <w:rPr>
          <w:sz w:val="20"/>
          <w:szCs w:val="20"/>
          <w:color w:val="auto"/>
        </w:rPr>
      </w:pPr>
    </w:p>
    <w:p>
      <w:pPr>
        <w:ind w:left="140" w:hanging="132"/>
        <w:spacing w:after="0"/>
        <w:tabs>
          <w:tab w:leader="none" w:pos="140"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The investment performance reflects that of T. Rowe Price sponsored mutual funds and composites AUM and not of OHA’s products.</w:t>
      </w:r>
    </w:p>
    <w:p>
      <w:pPr>
        <w:spacing w:after="0" w:line="13" w:lineRule="exact"/>
        <w:rPr>
          <w:rFonts w:ascii="Arial" w:cs="Arial" w:eastAsia="Arial" w:hAnsi="Arial"/>
          <w:sz w:val="9"/>
          <w:szCs w:val="9"/>
          <w:i w:val="1"/>
          <w:iCs w:val="1"/>
          <w:color w:val="auto"/>
        </w:rPr>
      </w:pPr>
    </w:p>
    <w:p>
      <w:pPr>
        <w:ind w:firstLine="8"/>
        <w:spacing w:after="0" w:line="342" w:lineRule="auto"/>
        <w:tabs>
          <w:tab w:leader="none" w:pos="140" w:val="left"/>
        </w:tabs>
        <w:numPr>
          <w:ilvl w:val="0"/>
          <w:numId w:val="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Source: © 2024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ind w:right="60" w:firstLine="8"/>
        <w:spacing w:after="0" w:line="242" w:lineRule="auto"/>
        <w:tabs>
          <w:tab w:leader="none" w:pos="154" w:val="left"/>
        </w:tabs>
        <w:numPr>
          <w:ilvl w:val="0"/>
          <w:numId w:val="9"/>
        </w:numPr>
        <w:rPr>
          <w:rFonts w:ascii="Arial" w:cs="Arial" w:eastAsia="Arial" w:hAnsi="Arial"/>
          <w:sz w:val="9"/>
          <w:szCs w:val="9"/>
          <w:i w:val="1"/>
          <w:iCs w:val="1"/>
          <w:color w:val="auto"/>
        </w:rPr>
      </w:pPr>
      <w:r>
        <w:rPr>
          <w:rFonts w:ascii="Arial" w:cs="Arial" w:eastAsia="Arial" w:hAnsi="Arial"/>
          <w:sz w:val="14"/>
          <w:szCs w:val="14"/>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3-, 5-, and 10-year track record that are outperforming the Morningstar category median. The bottom chart reflects the percentage of T. Rowe Price funds AUM that has outperformed for the time periods indicated. Total AUM included for this analysis includes $327B for 1 year,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color w:val="auto"/>
        </w:rPr>
        <w:t>$326B for 3 years, $326B for 5 years, and $323B for 10 years.</w:t>
      </w:r>
    </w:p>
    <w:p>
      <w:pPr>
        <w:ind w:firstLine="8"/>
        <w:spacing w:after="0" w:line="229" w:lineRule="auto"/>
        <w:tabs>
          <w:tab w:leader="none" w:pos="154" w:val="left"/>
        </w:tabs>
        <w:numPr>
          <w:ilvl w:val="0"/>
          <w:numId w:val="10"/>
        </w:numPr>
        <w:rPr>
          <w:rFonts w:ascii="Arial" w:cs="Arial" w:eastAsia="Arial" w:hAnsi="Arial"/>
          <w:sz w:val="9"/>
          <w:szCs w:val="9"/>
          <w:i w:val="1"/>
          <w:iCs w:val="1"/>
          <w:color w:val="auto"/>
        </w:rPr>
      </w:pPr>
      <w:r>
        <w:rPr>
          <w:rFonts w:ascii="Arial" w:cs="Arial" w:eastAsia="Arial" w:hAnsi="Arial"/>
          <w:sz w:val="14"/>
          <w:szCs w:val="14"/>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other funds. This analysis compares T. Rowe Price active funds to the applicable universe of passive/index open-end funds and ETFs of peer firms. The top chart reflects the percentage of T. Rowe Price funds with 1-, 3-, 5-, and 10-year track record that are outperforming the passive peer universe. The bottom chart reflects the percentage of T. Rowe Price funds AUM that has outperformed for the time periods indicated. Total AUM included for this analysis includes $310B for 1 year, $310B for 3 years, $273B for 5 years, and $265B for 10 years.</w:t>
      </w:r>
    </w:p>
    <w:p>
      <w:pPr>
        <w:spacing w:after="0" w:line="1" w:lineRule="exact"/>
        <w:rPr>
          <w:rFonts w:ascii="Arial" w:cs="Arial" w:eastAsia="Arial" w:hAnsi="Arial"/>
          <w:sz w:val="9"/>
          <w:szCs w:val="9"/>
          <w:i w:val="1"/>
          <w:iCs w:val="1"/>
          <w:color w:val="auto"/>
        </w:rPr>
      </w:pPr>
    </w:p>
    <w:p>
      <w:pPr>
        <w:ind w:right="120"/>
        <w:spacing w:after="0" w:line="231" w:lineRule="auto"/>
        <w:rPr>
          <w:rFonts w:ascii="Arial" w:cs="Arial" w:eastAsia="Arial" w:hAnsi="Arial"/>
          <w:sz w:val="9"/>
          <w:szCs w:val="9"/>
          <w:i w:val="1"/>
          <w:iCs w:val="1"/>
          <w:color w:val="auto"/>
        </w:rPr>
      </w:pPr>
      <w:r>
        <w:rPr>
          <w:rFonts w:ascii="Arial" w:cs="Arial" w:eastAsia="Arial" w:hAnsi="Arial"/>
          <w:sz w:val="9"/>
          <w:szCs w:val="9"/>
          <w:i w:val="1"/>
          <w:iCs w:val="1"/>
          <w:color w:val="auto"/>
        </w:rPr>
        <w:t>(5)</w:t>
      </w:r>
      <w:r>
        <w:rPr>
          <w:rFonts w:ascii="Arial" w:cs="Arial" w:eastAsia="Arial" w:hAnsi="Arial"/>
          <w:sz w:val="14"/>
          <w:szCs w:val="14"/>
          <w:i w:val="1"/>
          <w:iCs w:val="1"/>
          <w:color w:val="auto"/>
        </w:rPr>
        <w:t>Composite net returns are calculated using the highest applicable separate account fee schedule. Excludes money market composites. All composites compared with the</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official GIPS composite primary benchmark. The top chart reflects the percentage of T. Rowe Price composites with 1-, 3-, 5-, and 10-year track record that are outperforming their benchmarks. The bottom chart reflects the percentage of T. Rowe Price composite AUM that has outperformed for the time periods indicated. Total AUM included for this analysis includes $1,377B for 1 year, $1,372B for 3 years, $1,365B for 5 years, and $1,317B for 10 years.</w:t>
      </w:r>
    </w:p>
    <w:p>
      <w:pPr>
        <w:spacing w:after="0" w:line="1" w:lineRule="exact"/>
        <w:rPr>
          <w:rFonts w:ascii="Arial" w:cs="Arial" w:eastAsia="Arial" w:hAnsi="Arial"/>
          <w:sz w:val="9"/>
          <w:szCs w:val="9"/>
          <w:i w:val="1"/>
          <w:iCs w:val="1"/>
          <w:color w:val="auto"/>
        </w:rPr>
      </w:pPr>
    </w:p>
    <w:p>
      <w:pPr>
        <w:ind w:right="40" w:firstLine="8"/>
        <w:spacing w:after="0" w:line="241" w:lineRule="auto"/>
        <w:tabs>
          <w:tab w:leader="none" w:pos="154"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10-year (if applicable) Morningstar 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8"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first quarter of 2024 and 2023 on a U.S. GAAP basis and a non-GAAP basis. The non-GAAP basis adjusts for the impact of our consolidated sponsored investment products, the impact of market movements on the supplemental savings plan liability and related economic hedges, investment income related to certain other investments, acquisition-related amortization and costs, impairment charges, and certain nonrecurring charges and gains.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Q1 2024 vs. Q1 2023</w:t>
            </w:r>
          </w:p>
        </w:tc>
      </w:tr>
      <w:tr>
        <w:trPr>
          <w:trHeight w:val="196"/>
        </w:trPr>
        <w:tc>
          <w:tcPr>
            <w:tcW w:w="20" w:type="dxa"/>
            <w:vAlign w:val="bottom"/>
          </w:tcPr>
          <w:p>
            <w:pPr>
              <w:spacing w:after="0"/>
              <w:rPr>
                <w:sz w:val="17"/>
                <w:szCs w:val="17"/>
                <w:color w:val="auto"/>
              </w:rPr>
            </w:pPr>
          </w:p>
        </w:tc>
        <w:tc>
          <w:tcPr>
            <w:tcW w:w="6000" w:type="dxa"/>
            <w:vAlign w:val="bottom"/>
            <w:gridSpan w:val="4"/>
          </w:tcPr>
          <w:p>
            <w:pPr>
              <w:spacing w:after="0"/>
              <w:rPr>
                <w:sz w:val="20"/>
                <w:szCs w:val="20"/>
                <w:color w:val="auto"/>
              </w:rPr>
            </w:pPr>
            <w:r>
              <w:rPr>
                <w:rFonts w:ascii="Arial" w:cs="Arial" w:eastAsia="Arial" w:hAnsi="Arial"/>
                <w:sz w:val="13"/>
                <w:szCs w:val="13"/>
                <w:color w:val="auto"/>
              </w:rPr>
              <w:t>(in millions, except per-share data)</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3/31/2024</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3/31/2023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20" w:type="dxa"/>
            <w:vAlign w:val="bottom"/>
            <w:tcBorders>
              <w:top w:val="single" w:sz="8" w:color="auto"/>
            </w:tcBorders>
          </w:tcPr>
          <w:p>
            <w:pPr>
              <w:jc w:val="right"/>
              <w:ind w:right="18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U.S. GAAP basis</w:t>
            </w:r>
          </w:p>
        </w:tc>
        <w:tc>
          <w:tcPr>
            <w:tcW w:w="47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rPr>
              <w:t>Investment advisory fees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1,554.0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1,391.8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4"/>
            <w:shd w:val="clear" w:color="auto" w:fill="CCEEFF"/>
          </w:tcPr>
          <w:p>
            <w:pPr>
              <w:spacing w:after="0" w:line="217" w:lineRule="exact"/>
              <w:rPr>
                <w:sz w:val="20"/>
                <w:szCs w:val="20"/>
                <w:color w:val="auto"/>
              </w:rPr>
            </w:pPr>
            <w:r>
              <w:rPr>
                <w:rFonts w:ascii="Arial" w:cs="Arial" w:eastAsia="Arial" w:hAnsi="Arial"/>
                <w:sz w:val="16"/>
                <w:szCs w:val="16"/>
                <w:color w:val="auto"/>
              </w:rPr>
              <w:t>Capital allocation-based income</w:t>
            </w:r>
            <w:r>
              <w:rPr>
                <w:rFonts w:ascii="Arial" w:cs="Arial" w:eastAsia="Arial" w:hAnsi="Arial"/>
                <w:sz w:val="21"/>
                <w:szCs w:val="21"/>
                <w:color w:val="auto"/>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2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rPr>
              <w:t>Net revenues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1,750.2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1,537.6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212.6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13.8 %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15"/>
        </w:trPr>
        <w:tc>
          <w:tcPr>
            <w:tcW w:w="2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rPr>
              <w:t>Net operating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586.6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21.1 %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2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rPr>
              <w:t>Net income attributable to T. Rowe Price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573.8</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421.5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36.1 %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36.1 %</w:t>
            </w:r>
          </w:p>
        </w:tc>
      </w:tr>
      <w:tr>
        <w:trPr>
          <w:trHeight w:val="215"/>
        </w:trPr>
        <w:tc>
          <w:tcPr>
            <w:tcW w:w="2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rPr>
              <w:t>Weighted average common shares outstanding assuming dilution</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71"/>
        </w:trPr>
        <w:tc>
          <w:tcPr>
            <w:tcW w:w="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76"/>
        </w:trPr>
        <w:tc>
          <w:tcPr>
            <w:tcW w:w="20" w:type="dxa"/>
            <w:vAlign w:val="bottom"/>
          </w:tcPr>
          <w:p>
            <w:pPr>
              <w:spacing w:after="0"/>
              <w:rPr>
                <w:sz w:val="15"/>
                <w:szCs w:val="15"/>
                <w:color w:val="auto"/>
              </w:rPr>
            </w:pPr>
          </w:p>
        </w:tc>
        <w:tc>
          <w:tcPr>
            <w:tcW w:w="6000" w:type="dxa"/>
            <w:vAlign w:val="bottom"/>
            <w:gridSpan w:val="4"/>
          </w:tcPr>
          <w:p>
            <w:pPr>
              <w:spacing w:after="0" w:line="176" w:lineRule="exact"/>
              <w:rPr>
                <w:sz w:val="20"/>
                <w:szCs w:val="20"/>
                <w:color w:val="auto"/>
              </w:rPr>
            </w:pPr>
            <w:r>
              <w:rPr>
                <w:rFonts w:ascii="Arial" w:cs="Arial" w:eastAsia="Arial" w:hAnsi="Arial"/>
                <w:sz w:val="15"/>
                <w:szCs w:val="15"/>
                <w:b w:val="1"/>
                <w:bCs w:val="1"/>
                <w:color w:val="auto"/>
              </w:rPr>
              <w:t>Adjusted non-GAAP basis</w:t>
            </w:r>
            <w:r>
              <w:rPr>
                <w:rFonts w:ascii="Arial" w:cs="Arial" w:eastAsia="Arial" w:hAnsi="Arial"/>
                <w:sz w:val="20"/>
                <w:szCs w:val="20"/>
                <w:b w:val="1"/>
                <w:bCs w:val="1"/>
                <w:color w:val="auto"/>
                <w:vertAlign w:val="superscript"/>
              </w:rPr>
              <w:t>(3)</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15"/>
        </w:trPr>
        <w:tc>
          <w:tcPr>
            <w:tcW w:w="2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rPr>
              <w:t>Net operating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692.4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528.0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2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rPr>
              <w:t>Net income attributable to T. Rowe Price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548.5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389.4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40.9 %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40.8 %</w:t>
            </w:r>
          </w:p>
        </w:tc>
      </w:tr>
      <w:tr>
        <w:trPr>
          <w:trHeight w:val="270"/>
        </w:trPr>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175"/>
        </w:trPr>
        <w:tc>
          <w:tcPr>
            <w:tcW w:w="20" w:type="dxa"/>
            <w:vAlign w:val="bottom"/>
            <w:shd w:val="clear" w:color="auto" w:fill="CCEEFF"/>
          </w:tcPr>
          <w:p>
            <w:pPr>
              <w:spacing w:after="0"/>
              <w:rPr>
                <w:sz w:val="15"/>
                <w:szCs w:val="15"/>
                <w:color w:val="auto"/>
              </w:rPr>
            </w:pPr>
          </w:p>
        </w:tc>
        <w:tc>
          <w:tcPr>
            <w:tcW w:w="6000" w:type="dxa"/>
            <w:vAlign w:val="bottom"/>
            <w:gridSpan w:val="4"/>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 xml:space="preserve">Assets under management </w:t>
            </w:r>
            <w:r>
              <w:rPr>
                <w:rFonts w:ascii="Arial" w:cs="Arial" w:eastAsia="Arial" w:hAnsi="Arial"/>
                <w:sz w:val="16"/>
                <w:szCs w:val="16"/>
                <w:color w:val="auto"/>
              </w:rPr>
              <w:t>(in billions)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gridSpan w:val="4"/>
          </w:tcPr>
          <w:p>
            <w:pPr>
              <w:spacing w:after="0"/>
              <w:rPr>
                <w:sz w:val="20"/>
                <w:szCs w:val="20"/>
                <w:color w:val="auto"/>
              </w:rPr>
            </w:pPr>
            <w:r>
              <w:rPr>
                <w:rFonts w:ascii="Arial" w:cs="Arial" w:eastAsia="Arial" w:hAnsi="Arial"/>
                <w:sz w:val="16"/>
                <w:szCs w:val="16"/>
                <w:color w:val="auto"/>
              </w:rPr>
              <w:t>Average assets under management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1,484.4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1,322.9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Ending assets under management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r>
    </w:tbl>
    <w:p>
      <w:pPr>
        <w:spacing w:after="0" w:line="74"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6" w:lineRule="exact"/>
        <w:rPr>
          <w:rFonts w:ascii="Arial" w:cs="Arial" w:eastAsia="Arial" w:hAnsi="Arial"/>
          <w:sz w:val="9"/>
          <w:szCs w:val="9"/>
          <w:i w:val="1"/>
          <w:iCs w:val="1"/>
          <w:color w:val="auto"/>
        </w:rPr>
      </w:pPr>
    </w:p>
    <w:p>
      <w:pPr>
        <w:ind w:left="140" w:hanging="132"/>
        <w:spacing w:after="0" w:line="228"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Capital allocation-based income represents the change in accrued carried interest.</w:t>
      </w:r>
    </w:p>
    <w:p>
      <w:pPr>
        <w:ind w:left="140" w:hanging="132"/>
        <w:spacing w:after="0" w:line="229"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March 31, 2024</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administrative, distribution, and servicing fees; and capital allocation -based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90% of our net revenues are related to investment advisory fees. Total net revenues were $1,750.2 million in the first quarter of 2024, a 13.8% increase compared with $1,537.6 million in the first quarter of 2023. The increase was primarily driven by an 11.7% increase in investment advisory fee revenue as higher overall markets increased average assets under management by 12.2% and a $30.2 million increase in accrued carried interest from investments in affiliated funds.</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classes, vehicles, price changes in existing products, and asset level changes in products with tiered-fee structures.</w:t>
      </w:r>
    </w:p>
    <w:p>
      <w:pPr>
        <w:spacing w:after="0" w:line="2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Capital allocation-based income will fluctuate quarter-to-quarter to reflect the adjustment to accrued carried interest for the change in value of certain affiliated funds, assuming the funds’ underlying investments were realized as of the end of the period, regardless of whether the funds’ underlying investments have been realized.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4" w:name="page25"/>
    <w:bookmarkEnd w:id="24"/>
    <w:p>
      <w:pPr>
        <w:ind w:right="320"/>
        <w:spacing w:after="0" w:line="28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$1,163.6 million in the first quarter of 2024, a 10.5% increase over the comparable 2023</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 a non-GAAP basis, operating expenses were $1,071.4 million, a 4.8% increase over the comparable 2023 period.</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comparison to the first quarter of 2023, about 45% of the increase in U.S. GAAP operating expenses were driven by the remeasurement of the contingent consideration liability, as the 2023 quarter reflected a $49.6 million reduction in the liability compared to no change in the first quarter of 2024. Also contributing to the increase in U.S. GAAP operating expenses and the primary drivers of the increase in non-GAAP operating expenses over the prior year were higher compensation and related benefits along with higher accrued carried interest related compensation.</w:t>
      </w:r>
    </w:p>
    <w:p>
      <w:pPr>
        <w:spacing w:after="0" w:line="2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2024 was 33.5% on a U.S. GAAP basis, compared to 31.5% earned in the 2023 quarter.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our U.S. GAAP operating margin for the first quarter of 2024 compared to the 2023 period was driven by net revenue growth outpacing operating expense growth.</w:t>
      </w:r>
    </w:p>
    <w:p>
      <w:pPr>
        <w:spacing w:after="0" w:line="198" w:lineRule="exact"/>
        <w:rPr>
          <w:sz w:val="20"/>
          <w:szCs w:val="20"/>
          <w:color w:val="auto"/>
        </w:rPr>
      </w:pPr>
    </w:p>
    <w:p>
      <w:pPr>
        <w:ind w:right="620"/>
        <w:spacing w:after="0" w:line="318" w:lineRule="auto"/>
        <w:rPr>
          <w:sz w:val="20"/>
          <w:szCs w:val="20"/>
          <w:color w:val="auto"/>
        </w:rPr>
      </w:pPr>
      <w:r>
        <w:rPr>
          <w:rFonts w:ascii="Arial" w:cs="Arial" w:eastAsia="Arial" w:hAnsi="Arial"/>
          <w:sz w:val="17"/>
          <w:szCs w:val="17"/>
          <w:i w:val="1"/>
          <w:iCs w:val="1"/>
          <w:u w:val="single" w:color="auto"/>
          <w:color w:val="auto"/>
        </w:rPr>
        <w:t>Diluted earnings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was $2.49 for the first quarter of 2024 as compared to $1.83 for the first quarter of 2023.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driven by higher operating income, higher net investment gains, and a lower effective tax rate compared to the 2023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On a non-GAAP basis, diluted earnings per share was $2.38 for the first quarter of 2024 as compared to $1.69 for the first quarter of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higher adjusted operating income and a lower effective tax rate compared to the 2023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6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17"/>
                <w:szCs w:val="17"/>
                <w:color w:val="auto"/>
              </w:rPr>
            </w:pPr>
          </w:p>
        </w:tc>
        <w:tc>
          <w:tcPr>
            <w:tcW w:w="2800" w:type="dxa"/>
            <w:vAlign w:val="bottom"/>
            <w:gridSpan w:val="3"/>
            <w:shd w:val="clear" w:color="auto" w:fill="CCEEFF"/>
          </w:tcPr>
          <w:p>
            <w:pPr>
              <w:jc w:val="right"/>
              <w:ind w:right="760"/>
              <w:spacing w:after="0"/>
              <w:rPr>
                <w:sz w:val="20"/>
                <w:szCs w:val="20"/>
                <w:color w:val="auto"/>
              </w:rPr>
            </w:pPr>
            <w:r>
              <w:rPr>
                <w:rFonts w:ascii="Arial" w:cs="Arial" w:eastAsia="Arial" w:hAnsi="Arial"/>
                <w:sz w:val="14"/>
                <w:szCs w:val="14"/>
                <w:b w:val="1"/>
                <w:bCs w:val="1"/>
                <w:color w:val="auto"/>
              </w:rPr>
              <w:t>Q1 2024 vs. Q1 2023</w:t>
            </w:r>
          </w:p>
        </w:tc>
      </w:tr>
      <w:tr>
        <w:trPr>
          <w:trHeight w:val="195"/>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3/31/2023</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 change</w:t>
            </w:r>
          </w:p>
        </w:tc>
      </w:tr>
      <w:tr>
        <w:trPr>
          <w:trHeight w:val="197"/>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5"/>
        </w:trPr>
        <w:tc>
          <w:tcPr>
            <w:tcW w:w="5160" w:type="dxa"/>
            <w:vAlign w:val="bottom"/>
          </w:tcPr>
          <w:p>
            <w:pPr>
              <w:ind w:left="140"/>
              <w:spacing w:after="0"/>
              <w:rPr>
                <w:sz w:val="20"/>
                <w:szCs w:val="20"/>
                <w:color w:val="auto"/>
              </w:rPr>
            </w:pPr>
            <w:r>
              <w:rPr>
                <w:rFonts w:ascii="Arial" w:cs="Arial" w:eastAsia="Arial" w:hAnsi="Arial"/>
                <w:sz w:val="16"/>
                <w:szCs w:val="16"/>
                <w:color w:val="auto"/>
              </w:rPr>
              <w:t>Equity</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949.6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833.9</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13.9 %</w:t>
            </w:r>
          </w:p>
        </w:tc>
      </w:tr>
      <w:tr>
        <w:trPr>
          <w:trHeight w:val="217"/>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516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09"/>
        </w:trPr>
        <w:tc>
          <w:tcPr>
            <w:tcW w:w="5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11.7 %</w:t>
            </w:r>
          </w:p>
        </w:tc>
      </w:tr>
      <w:tr>
        <w:trPr>
          <w:trHeight w:val="75"/>
        </w:trPr>
        <w:tc>
          <w:tcPr>
            <w:tcW w:w="5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1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Capital allocation-based income</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75"/>
        </w:trPr>
        <w:tc>
          <w:tcPr>
            <w:tcW w:w="5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Administrative, distribution, and servicing fees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Administrative fees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r>
      <w:tr>
        <w:trPr>
          <w:trHeight w:val="215"/>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Distribution and servicing fees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5.9 %</w:t>
            </w:r>
          </w:p>
        </w:tc>
      </w:tr>
      <w:tr>
        <w:trPr>
          <w:trHeight w:val="209"/>
        </w:trPr>
        <w:tc>
          <w:tcPr>
            <w:tcW w:w="5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15.7 %</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Net revenues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166"/>
        </w:trPr>
        <w:tc>
          <w:tcPr>
            <w:tcW w:w="5160" w:type="dxa"/>
            <w:vAlign w:val="bottom"/>
          </w:tcPr>
          <w:p>
            <w:pPr>
              <w:ind w:left="20"/>
              <w:spacing w:after="0" w:line="166" w:lineRule="exact"/>
              <w:rPr>
                <w:sz w:val="20"/>
                <w:szCs w:val="20"/>
                <w:color w:val="auto"/>
              </w:rPr>
            </w:pPr>
            <w:r>
              <w:rPr>
                <w:rFonts w:ascii="Arial" w:cs="Arial" w:eastAsia="Arial" w:hAnsi="Arial"/>
                <w:sz w:val="16"/>
                <w:szCs w:val="16"/>
                <w:b w:val="1"/>
                <w:bCs w:val="1"/>
                <w:color w:val="auto"/>
              </w:rPr>
              <w:t>Average assets under management</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94"/>
        </w:trPr>
        <w:tc>
          <w:tcPr>
            <w:tcW w:w="5160" w:type="dxa"/>
            <w:vAlign w:val="bottom"/>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20"/>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15"/>
        </w:trPr>
        <w:tc>
          <w:tcPr>
            <w:tcW w:w="5160" w:type="dxa"/>
            <w:vAlign w:val="bottom"/>
          </w:tcPr>
          <w:p>
            <w:pPr>
              <w:ind w:left="140"/>
              <w:spacing w:after="0"/>
              <w:rPr>
                <w:sz w:val="20"/>
                <w:szCs w:val="20"/>
                <w:color w:val="auto"/>
              </w:rPr>
            </w:pPr>
            <w:r>
              <w:rPr>
                <w:rFonts w:ascii="Arial" w:cs="Arial" w:eastAsia="Arial" w:hAnsi="Arial"/>
                <w:sz w:val="16"/>
                <w:szCs w:val="16"/>
                <w:color w:val="auto"/>
              </w:rPr>
              <w:t>Fixed income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7"/>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Multi-asset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r>
      <w:tr>
        <w:trPr>
          <w:trHeight w:val="215"/>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Alternatives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r>
      <w:tr>
        <w:trPr>
          <w:trHeight w:val="23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Average assets under management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effective fee rate (bps)</w:t>
            </w: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ind w:right="960"/>
        <w:spacing w:after="0" w:line="287"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2024 increased 11.7% over the comparable 2023 quarter as average assets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increased $161.5 billion or 12.2%, to $1,484.4 billion.</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investment advisory average annualized effective fee rate of 42.1 bps in the first quarter of 2024 declined compared with 42.7 basis points earned in the 2023 quarter and 42.2 basis points earned during the fourth quarter of 2023. In comparison to the first quarter of 2023, net outflows and client transfers over the past year drove a mix shift in assets under management toward lower fee vehicles leading to an unfavorable impact on the annualized effective fee rate. These unfavorable impacts were slightly offset by strong market returns over the last year and $17.6 million in performance-based fees earned predominantly on certain U.S. equity strategies in the 2024 quarter.</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u w:val="single" w:color="auto"/>
          <w:color w:val="auto"/>
        </w:rPr>
        <w:t>Administrative, distribution, and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2024 were $149.1 million, an increase of $20.2 million, or 15.7%,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2023 quarter. The increase in the first quarter of 2024 is primarily driven by higher fees related to transfer agent services provided to the T. Rowe Price mutual funds.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sponsored investment products. The corresponding expenses recognized by these products, and consolidated in our financial statements, were also eliminated from operating expenses. For the first quarter, we eliminated net revenue of $1.2 million in 2024 and $0.6 million in 2023.</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2024 increased net revenues by $47.1 million. The first quarter of 2024 amount</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an increase of $59.5 million in accrued carried interest from investments in affiliated investment funds, partially offset by $12.4 million in non-cash acquisition-related amortization. Comparatively, capital allocation-based income in the first quarter of 2023 increased net revenues by $16.9 million, which consists of an increase in accrued carried interest from investments in affiliated investment funds of $29.2 million, partially offset by $12.3 million in non-cash amortization. The increase in accrued carried interest in the 2024 quarter compared to the 2023 quarter was largely driven by stronger relative performance.</w:t>
      </w:r>
    </w:p>
    <w:p>
      <w:pPr>
        <w:spacing w:after="0" w:line="20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 portion of the capital allocation-based income is passed through to certain associates as compensation and the related expense is recognized in compensation and related costs with the unpaid amount reported as non-controlling interest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6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17"/>
                <w:szCs w:val="17"/>
                <w:color w:val="auto"/>
              </w:rPr>
            </w:pPr>
          </w:p>
        </w:tc>
        <w:tc>
          <w:tcPr>
            <w:tcW w:w="2800" w:type="dxa"/>
            <w:vAlign w:val="bottom"/>
            <w:gridSpan w:val="3"/>
            <w:shd w:val="clear" w:color="auto" w:fill="CCEEFF"/>
          </w:tcPr>
          <w:p>
            <w:pPr>
              <w:jc w:val="right"/>
              <w:ind w:right="760"/>
              <w:spacing w:after="0"/>
              <w:rPr>
                <w:sz w:val="20"/>
                <w:szCs w:val="20"/>
                <w:color w:val="auto"/>
              </w:rPr>
            </w:pPr>
            <w:r>
              <w:rPr>
                <w:rFonts w:ascii="Arial" w:cs="Arial" w:eastAsia="Arial" w:hAnsi="Arial"/>
                <w:sz w:val="14"/>
                <w:szCs w:val="14"/>
                <w:b w:val="1"/>
                <w:bCs w:val="1"/>
                <w:color w:val="auto"/>
              </w:rPr>
              <w:t>Q1 2024 vs. Q1 2023</w:t>
            </w:r>
          </w:p>
        </w:tc>
      </w:tr>
      <w:tr>
        <w:trPr>
          <w:trHeight w:val="195"/>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3/31/2023</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4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 change</w:t>
            </w: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benefits and related costs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Acquisition-related retention agreements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allocation-based income compensation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1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Supplemental savings plan</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compensation and related costs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14.5 %</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Product and recordkeeping related costs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occupancy, and facility costs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General, administrative, and other</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Acquisition-related amortization and impairment costs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15.0 %</w:t>
            </w:r>
          </w:p>
        </w:tc>
      </w:tr>
      <w:tr>
        <w:trPr>
          <w:trHeight w:val="235"/>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i w:val="1"/>
          <w:iCs w:val="1"/>
          <w:color w:val="auto"/>
        </w:rPr>
        <w:t>The impact of the market on the supplemental savings plan liability drives the expense recognized each period.</w:t>
      </w:r>
    </w:p>
    <w:p>
      <w:pPr>
        <w:spacing w:after="0" w:line="20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i w:val="1"/>
          <w:iCs w:val="1"/>
          <w:u w:val="single" w:color="auto"/>
          <w:color w:val="auto"/>
        </w:rPr>
        <w:t>Compensation, benefits,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$ 629.3 million in the first quarter of 2024, an increase of $36.0 million, or 6.1%,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2023 quarter. The increase was primarily due to a higher interim bonus accrual and higher salaries and related benefits, primarily due to base salary increases in January 2024. These increases were partially offset by higher labor capitalization in the first quarter of 2024.</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firm employed 7,878 associates at March 31, 2024, a decrease of 0.4% from the end of 2023, and an increase of 0.5% from March 31, 2023.</w:t>
      </w:r>
    </w:p>
    <w:p>
      <w:pPr>
        <w:spacing w:after="0" w:line="18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$81.9 million for the first quarter of 2024, an increase of $10.4 million, or 14.5%, from the $71.5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2023 quarter. The increase from 2023 was primarily driven by higher costs incurred to distribute products through U.S. intermediaries and higher average assets under management.</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costs in this expense category primarily include amounts paid to third-party intermediaries that source the assets of certain share classes of our U.S. mutual funds and our international products, such as our Japanese ITMs and SICAVs. These costs were offset entirely by the distribution revenue we earn and report in net revenues: 12b-1 revenue is recognized in administrative, distribution, and servicing fees for the Advisor and R share classes of the U.S. mutual funds and investment advisory fee revenue for our international products.</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$149.9 million in the first quarter of 2024, an increase of $3.3 million, or 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$146.6 million recognized in the 2023 quarter. The increase was primarily related to higher costs from the firm's ongoing investment in its technology capabilities, including depreciation and hosted solution licenses, slightly offset by a non-recurring cost benefit realized in the first quarter of 2024 related to the firm's new UK facility.</w:t>
      </w:r>
    </w:p>
    <w:p>
      <w:pPr>
        <w:spacing w:after="0" w:line="20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i w:val="1"/>
          <w:iCs w:val="1"/>
          <w:u w:val="single" w:color="auto"/>
          <w:color w:val="auto"/>
        </w:rPr>
        <w:t>General, administrative, and other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$92.6 million in the first quarter of 2024, a decrease of $14.9 million, or 13.9%,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$107.5 million recognized in the 2023 quarter. The decrease was primarily due to lower research fee expense as the firm changed its approach to paying for research, consistent with regulations and general industry practice.</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u w:val="single" w:color="auto"/>
          <w:color w:val="auto"/>
        </w:rPr>
        <w:t>Change in fair value of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contingent consideration represents the earnout arrangement related to our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OHA in which additional purchase price may be due upon satisfying or exceeding certain defined revenue targets. Every reporting period, we record the potential amount due under this arrangement at fair value. During the first quarter of 2024, there was no change in the fair value of the contingent consideration liability. During the first quarter of 2023, the liability was reduced by $49.6 million.</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i w:val="1"/>
          <w:iCs w:val="1"/>
          <w:u w:val="single" w:color="auto"/>
          <w:color w:val="auto"/>
        </w:rPr>
        <w:t>Acquisition-related amortization and impairment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the purchase accounting for our acquisitions, we identified and separately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fair value certain intangible assets. During the first quarter of 2024 and 2023,</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ind w:right="540"/>
        <w:spacing w:after="0" w:line="268" w:lineRule="auto"/>
        <w:rPr>
          <w:sz w:val="20"/>
          <w:szCs w:val="20"/>
          <w:color w:val="auto"/>
        </w:rPr>
      </w:pPr>
      <w:r>
        <w:rPr>
          <w:rFonts w:ascii="Arial" w:cs="Arial" w:eastAsia="Arial" w:hAnsi="Arial"/>
          <w:sz w:val="18"/>
          <w:szCs w:val="18"/>
          <w:color w:val="auto"/>
        </w:rPr>
        <w:t>we recognized $29.9 million and $26.0 million, respectively, in amortization related to the definite-lived intangible assets. Immaterial impairment costs were recognized during the first quarter of 2024 and 2023. Should conditions that led us to recognize the impairment charges deteriorate, additional impairments may be recognized in future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Non-operating income for the first quarter of 2024 was $188.9 million compared to $135.4 million in the 2023 quarter. The following table details the components of non-operating income for both the first quarter of 2024 and 2023.</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3/31/2023</w:t>
            </w:r>
          </w:p>
        </w:tc>
      </w:tr>
      <w:tr>
        <w:trPr>
          <w:trHeight w:val="211"/>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from non-consolidated T. Rowe Price investment products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Market-related gains (losses) and equity in earnings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discretionary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Seed capital investments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200" w:type="dxa"/>
            <w:vAlign w:val="bottom"/>
          </w:tcPr>
          <w:p>
            <w:pPr>
              <w:ind w:left="200"/>
              <w:spacing w:after="0"/>
              <w:rPr>
                <w:sz w:val="20"/>
                <w:szCs w:val="20"/>
                <w:color w:val="auto"/>
              </w:rPr>
            </w:pPr>
            <w:r>
              <w:rPr>
                <w:rFonts w:ascii="Arial" w:cs="Arial" w:eastAsia="Arial" w:hAnsi="Arial"/>
                <w:sz w:val="18"/>
                <w:szCs w:val="18"/>
                <w:color w:val="auto"/>
              </w:rPr>
              <w:t>Market-related gains (losses) and equity in earnings (losses)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Total net gains (losses) from non-consolidated T. Rowe Price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91.1</w:t>
            </w:r>
          </w:p>
        </w:tc>
      </w:tr>
      <w:tr>
        <w:trPr>
          <w:trHeight w:val="22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income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Net gains (losses)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93.9</w:t>
            </w:r>
          </w:p>
        </w:tc>
      </w:tr>
      <w:tr>
        <w:trPr>
          <w:trHeight w:val="22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consolidated sponsored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gains (losses), including foreign currency gains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Non-operating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investment gains recognized by our investment portfolio during the first quarter of 2024 and 2023 were primarily due to strong market returns over both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the net investment income of the underlying portfolios included in the consolidated</w:t>
      </w:r>
    </w:p>
    <w:p>
      <w:pPr>
        <w:spacing w:after="0" w:line="2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sponsored investment products and not just the net investment income related to our ownership interest in the products. The table below shows the impact that the consolidated sponsored investment products had on the individual lines of our unaudited condensed consolidated statements of income and the portion attributable to our interest: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3/31/2023</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income (loss) reflected in non-operating income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on income before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1"/>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our interest in the consolidated T. Rowe Price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redeemable non-controlling interests (unrelated third-party investors)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48"/>
        </w:trPr>
        <w:tc>
          <w:tcPr>
            <w:tcW w:w="8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reconciles the statutory federal income tax rate to our effective tax rate on a U.S. GAAP basis for both the three months ended March 31, 2024 and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shd w:val="clear" w:color="auto" w:fill="CCEEFF"/>
          </w:tcPr>
          <w:p>
            <w:pPr>
              <w:spacing w:after="0"/>
              <w:rPr>
                <w:sz w:val="17"/>
                <w:szCs w:val="17"/>
                <w:color w:val="auto"/>
              </w:rPr>
            </w:pPr>
          </w:p>
        </w:tc>
        <w:tc>
          <w:tcPr>
            <w:tcW w:w="3220" w:type="dxa"/>
            <w:vAlign w:val="bottom"/>
            <w:tcBorders>
              <w:bottom w:val="single" w:sz="8" w:color="auto"/>
            </w:tcBorders>
            <w:gridSpan w:val="3"/>
            <w:shd w:val="clear" w:color="auto" w:fill="CCEEFF"/>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3/31/2023</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3.0</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losses attributable to redeemable non-controlling interests</w:t>
            </w:r>
            <w:r>
              <w:rPr>
                <w:rFonts w:ascii="Arial" w:cs="Arial" w:eastAsia="Arial" w:hAnsi="Arial"/>
                <w:sz w:val="23"/>
                <w:szCs w:val="23"/>
                <w:color w:val="auto"/>
                <w:vertAlign w:val="superscript"/>
              </w:rPr>
              <w:t>(2)</w:t>
            </w: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5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 including valuation allowances</w:t>
            </w:r>
          </w:p>
        </w:tc>
        <w:tc>
          <w:tcPr>
            <w:tcW w:w="15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ind w:left="140" w:hanging="132"/>
        <w:spacing w:after="0"/>
        <w:tabs>
          <w:tab w:leader="none" w:pos="140" w:val="left"/>
        </w:tabs>
        <w:numPr>
          <w:ilvl w:val="0"/>
          <w:numId w:val="14"/>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the firm despite being included in pre-tax income.</w:t>
      </w:r>
    </w:p>
    <w:p>
      <w:pPr>
        <w:spacing w:after="0" w:line="9"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The non-GAAP effective tax rate primarily adjusts for the impact of the consolidated investment products, including the net income attributable to the redeemable non-controlling interests. Our non-GAAP effective tax rate was 23.9% in the first quarter of 2024 compared with 30.3% in first quarter of 2023.</w:t>
      </w:r>
    </w:p>
    <w:p>
      <w:pPr>
        <w:spacing w:after="0" w:line="20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first quarter of 2024 U.S. GAAP and non-GAAP effective tax rates decreased compared to the first quarter of 2023 due to lower valuation allowances recognized. In the first quarter of 2023, valuation allowances were recognized against cumulative UK-based deferred tax assets. The 2024 rate was also favorably impacted by changes in state income apportionment rules in certain jurisdictions.</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currently estimate that our effective tax rate for the full year 2024, on a U.S. GAAP basis, will be in the range of 23% to 27%. On a non-GAAP basis, the range is 23% to 26%</w:t>
      </w:r>
      <w:r>
        <w:rPr>
          <w:rFonts w:ascii="Arial" w:cs="Arial" w:eastAsia="Arial" w:hAnsi="Arial"/>
          <w:sz w:val="17"/>
          <w:szCs w:val="17"/>
          <w:color w:val="auto"/>
        </w:rPr>
        <w:t>.</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the timing of option exercises. The rate also experiences volatility from the remeasurement of the contingent consideration liability, as well as changes in deferred tax asset valuation allowances, primarily in foreign jurisdictions, based on the sufficiency of taxable income in future periods. Our U.S. GAAP rate will also be impacted by changes in the proportion of net income that is attributable to our redeemable non-controlling interests and non-controlling interests reflected in permanent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ind w:right="3240"/>
        <w:spacing w:after="0" w:line="287" w:lineRule="auto"/>
        <w:rPr>
          <w:sz w:val="20"/>
          <w:szCs w:val="20"/>
          <w:color w:val="auto"/>
        </w:rPr>
      </w:pPr>
      <w:r>
        <w:rPr>
          <w:rFonts w:ascii="Arial" w:cs="Arial" w:eastAsia="Arial" w:hAnsi="Arial"/>
          <w:sz w:val="18"/>
          <w:szCs w:val="18"/>
          <w:color w:val="auto"/>
        </w:rPr>
        <w:t>The following schedules reconcile certain U.S. GAAP financial measures for the three months ended March 31, 2024 and 2023.</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gridSpan w:val="7"/>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Three months ended 3/31/2024</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Provision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color w:val="auto"/>
              </w:rPr>
              <w:t>(benefit)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60"/>
              <w:spacing w:after="0" w:line="145" w:lineRule="exact"/>
              <w:rPr>
                <w:sz w:val="20"/>
                <w:szCs w:val="20"/>
                <w:color w:val="auto"/>
              </w:rPr>
            </w:pPr>
            <w:r>
              <w:rPr>
                <w:rFonts w:ascii="Arial" w:cs="Arial" w:eastAsia="Arial" w:hAnsi="Arial"/>
                <w:sz w:val="14"/>
                <w:szCs w:val="14"/>
                <w:b w:val="1"/>
                <w:bCs w:val="1"/>
                <w:color w:val="auto"/>
              </w:rPr>
              <w:t>attributable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10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expenses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income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income taxes</w:t>
            </w:r>
            <w:r>
              <w:rPr>
                <w:rFonts w:ascii="Arial" w:cs="Arial" w:eastAsia="Arial" w:hAnsi="Arial"/>
                <w:sz w:val="9"/>
                <w:szCs w:val="9"/>
                <w:b w:val="1"/>
                <w:bCs w:val="1"/>
                <w:color w:val="auto"/>
              </w:rPr>
              <w:t>(5)</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 Rowe Price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19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rPr>
              <w:t>1,163.6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586.6</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188.9</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center"/>
              <w:ind w:left="488"/>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95"/>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Non-GAAP adjustments:</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40" w:type="dxa"/>
            <w:vAlign w:val="bottom"/>
          </w:tcPr>
          <w:p>
            <w:pPr>
              <w:ind w:left="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40" w:type="dxa"/>
            <w:vAlign w:val="bottom"/>
          </w:tcPr>
          <w:p>
            <w:pPr>
              <w:ind w:left="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6"/>
                <w:szCs w:val="16"/>
                <w:color w:val="auto"/>
              </w:rPr>
              <w:t>and related costs)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left="48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63"/>
        </w:trPr>
        <w:tc>
          <w:tcPr>
            <w:tcW w:w="100" w:type="dxa"/>
            <w:vAlign w:val="bottom"/>
            <w:shd w:val="clear" w:color="auto" w:fill="CCEEFF"/>
          </w:tcPr>
          <w:p>
            <w:pPr>
              <w:spacing w:after="0"/>
              <w:rPr>
                <w:sz w:val="14"/>
                <w:szCs w:val="14"/>
                <w:color w:val="auto"/>
              </w:rPr>
            </w:pPr>
          </w:p>
        </w:tc>
        <w:tc>
          <w:tcPr>
            <w:tcW w:w="3840" w:type="dxa"/>
            <w:vAlign w:val="bottom"/>
            <w:shd w:val="clear" w:color="auto" w:fill="CCEEFF"/>
          </w:tcPr>
          <w:p>
            <w:pPr>
              <w:ind w:left="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and related costs)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8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16"/>
        </w:trPr>
        <w:tc>
          <w:tcPr>
            <w:tcW w:w="100" w:type="dxa"/>
            <w:vAlign w:val="bottom"/>
            <w:tcBorders>
              <w:bottom w:val="single" w:sz="8" w:color="CCEEFF"/>
            </w:tcBorders>
          </w:tcPr>
          <w:p>
            <w:pPr>
              <w:spacing w:after="0"/>
              <w:rPr>
                <w:sz w:val="18"/>
                <w:szCs w:val="18"/>
                <w:color w:val="auto"/>
              </w:rPr>
            </w:pPr>
          </w:p>
        </w:tc>
        <w:tc>
          <w:tcPr>
            <w:tcW w:w="38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21.6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9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center"/>
              <w:ind w:left="48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42"/>
        </w:trPr>
        <w:tc>
          <w:tcPr>
            <w:tcW w:w="394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and related costs)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53.0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left="48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7"/>
        </w:trPr>
        <w:tc>
          <w:tcPr>
            <w:tcW w:w="3940" w:type="dxa"/>
            <w:vAlign w:val="bottom"/>
            <w:gridSpan w:val="2"/>
            <w:shd w:val="clear" w:color="auto" w:fill="CCEEFF"/>
          </w:tcPr>
          <w:p>
            <w:pPr>
              <w:ind w:left="20"/>
              <w:spacing w:after="0" w:line="217"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88"/>
              <w:spacing w:after="0"/>
              <w:rPr>
                <w:sz w:val="20"/>
                <w:szCs w:val="20"/>
                <w:color w:val="auto"/>
              </w:rPr>
            </w:pPr>
            <w:r>
              <w:rPr>
                <w:rFonts w:ascii="Arial" w:cs="Arial" w:eastAsia="Arial" w:hAnsi="Arial"/>
                <w:sz w:val="14"/>
                <w:szCs w:val="14"/>
                <w:color w:val="auto"/>
                <w:w w:val="98"/>
              </w:rPr>
              <w:t>(0.16)</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(10.7)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color w:val="auto"/>
                <w:w w:val="98"/>
              </w:rPr>
              <w:t>(0.12)</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shd w:val="clear" w:color="auto" w:fill="CCEEFF"/>
          </w:tcPr>
          <w:p>
            <w:pPr>
              <w:jc w:val="center"/>
              <w:ind w:left="288"/>
              <w:spacing w:after="0"/>
              <w:rPr>
                <w:sz w:val="20"/>
                <w:szCs w:val="20"/>
                <w:color w:val="auto"/>
              </w:rPr>
            </w:pPr>
            <w:r>
              <w:rPr>
                <w:rFonts w:ascii="Arial" w:cs="Arial" w:eastAsia="Arial" w:hAnsi="Arial"/>
                <w:sz w:val="14"/>
                <w:szCs w:val="14"/>
                <w:color w:val="auto"/>
              </w:rPr>
              <w:t>1,071.4</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692.4</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172.4</w:t>
            </w: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548.5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CEEFF"/>
          </w:tcPr>
          <w:p>
            <w:pPr>
              <w:jc w:val="center"/>
              <w:ind w:left="488"/>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10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8"/>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3/31/2023</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11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Net operating</w:t>
            </w:r>
          </w:p>
        </w:tc>
        <w:tc>
          <w:tcPr>
            <w:tcW w:w="20" w:type="dxa"/>
            <w:vAlign w:val="bottom"/>
          </w:tcPr>
          <w:p>
            <w:pPr>
              <w:spacing w:after="0"/>
              <w:rPr>
                <w:sz w:val="12"/>
                <w:szCs w:val="12"/>
                <w:color w:val="auto"/>
              </w:rPr>
            </w:pPr>
          </w:p>
        </w:tc>
        <w:tc>
          <w:tcPr>
            <w:tcW w:w="11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Non-operating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rPr>
              <w:t>Provision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Net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100"/>
              <w:spacing w:after="0" w:line="143" w:lineRule="exact"/>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(benefit) for</w:t>
            </w:r>
          </w:p>
        </w:tc>
        <w:tc>
          <w:tcPr>
            <w:tcW w:w="20" w:type="dxa"/>
            <w:vAlign w:val="bottom"/>
          </w:tcPr>
          <w:p>
            <w:pPr>
              <w:spacing w:after="0"/>
              <w:rPr>
                <w:sz w:val="12"/>
                <w:szCs w:val="12"/>
                <w:color w:val="auto"/>
              </w:rPr>
            </w:pPr>
          </w:p>
        </w:tc>
        <w:tc>
          <w:tcPr>
            <w:tcW w:w="120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rPr>
              <w:t>attributable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gridSpan w:val="3"/>
          </w:tcPr>
          <w:p>
            <w:pPr>
              <w:ind w:left="20"/>
              <w:spacing w:after="0" w:line="189" w:lineRule="exact"/>
              <w:rPr>
                <w:sz w:val="20"/>
                <w:szCs w:val="20"/>
                <w:color w:val="auto"/>
              </w:rPr>
            </w:pPr>
            <w:r>
              <w:rPr>
                <w:rFonts w:ascii="Arial" w:cs="Arial" w:eastAsia="Arial" w:hAnsi="Arial"/>
                <w:sz w:val="14"/>
                <w:szCs w:val="14"/>
                <w:b w:val="1"/>
                <w:bCs w:val="1"/>
                <w:color w:val="auto"/>
              </w:rPr>
              <w:t>income taxes</w:t>
            </w:r>
            <w:r>
              <w:rPr>
                <w:rFonts w:ascii="Arial" w:cs="Arial" w:eastAsia="Arial" w:hAnsi="Arial"/>
                <w:sz w:val="18"/>
                <w:szCs w:val="18"/>
                <w:b w:val="1"/>
                <w:bCs w:val="1"/>
                <w:color w:val="auto"/>
                <w:vertAlign w:val="superscript"/>
              </w:rPr>
              <w:t>(5)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 Rowe Price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U.S. GAAP Basis (FS line item)</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1,053.4</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421.5</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Non-GAAP adjustments:</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Acquisition-related: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40" w:type="dxa"/>
            <w:vAlign w:val="bottom"/>
          </w:tcPr>
          <w:p>
            <w:pPr>
              <w:ind w:left="120"/>
              <w:spacing w:after="0" w:line="162" w:lineRule="exact"/>
              <w:rPr>
                <w:sz w:val="20"/>
                <w:szCs w:val="20"/>
                <w:color w:val="auto"/>
              </w:rPr>
            </w:pPr>
            <w:r>
              <w:rPr>
                <w:rFonts w:ascii="Arial" w:cs="Arial" w:eastAsia="Arial" w:hAnsi="Arial"/>
                <w:sz w:val="16"/>
                <w:szCs w:val="16"/>
                <w:color w:val="auto"/>
              </w:rPr>
              <w:t>Investment and NCI amortization and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840" w:type="dxa"/>
            <w:vAlign w:val="bottom"/>
          </w:tcPr>
          <w:p>
            <w:pPr>
              <w:ind w:left="120"/>
              <w:spacing w:after="0" w:line="162" w:lineRule="exact"/>
              <w:rPr>
                <w:sz w:val="20"/>
                <w:szCs w:val="20"/>
                <w:color w:val="auto"/>
              </w:rPr>
            </w:pPr>
            <w:r>
              <w:rPr>
                <w:rFonts w:ascii="Arial" w:cs="Arial" w:eastAsia="Arial" w:hAnsi="Arial"/>
                <w:sz w:val="14"/>
                <w:szCs w:val="14"/>
                <w:color w:val="auto"/>
              </w:rPr>
              <w:t>impairments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(Capital allocation-based 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840" w:type="dxa"/>
            <w:vAlign w:val="bottom"/>
          </w:tcPr>
          <w:p>
            <w:pPr>
              <w:ind w:left="120"/>
              <w:spacing w:after="0"/>
              <w:rPr>
                <w:sz w:val="20"/>
                <w:szCs w:val="20"/>
                <w:color w:val="auto"/>
              </w:rPr>
            </w:pPr>
            <w:r>
              <w:rPr>
                <w:rFonts w:ascii="Arial" w:cs="Arial" w:eastAsia="Arial" w:hAnsi="Arial"/>
                <w:sz w:val="16"/>
                <w:szCs w:val="16"/>
                <w:color w:val="auto"/>
              </w:rPr>
              <w:t>and Compensation and related costs)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428"/>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84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2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tcPr>
          <w:p>
            <w:pPr>
              <w:ind w:left="120"/>
              <w:spacing w:after="0" w:line="216" w:lineRule="exact"/>
              <w:rPr>
                <w:sz w:val="20"/>
                <w:szCs w:val="20"/>
                <w:color w:val="auto"/>
              </w:rPr>
            </w:pPr>
            <w:r>
              <w:rPr>
                <w:rFonts w:ascii="Arial" w:cs="Arial" w:eastAsia="Arial" w:hAnsi="Arial"/>
                <w:sz w:val="16"/>
                <w:szCs w:val="16"/>
                <w:color w:val="auto"/>
              </w:rPr>
              <w:t>Contingent consideration</w:t>
            </w:r>
            <w:r>
              <w:rPr>
                <w:rFonts w:ascii="Arial" w:cs="Arial" w:eastAsia="Arial" w:hAnsi="Arial"/>
                <w:sz w:val="21"/>
                <w:szCs w:val="21"/>
                <w:color w:val="auto"/>
                <w:vertAlign w:val="superscript"/>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408"/>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Total acquisition-related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40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38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Supplemental savings plan liability</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w:t>
            </w: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and related costs)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tcPr>
          <w:p>
            <w:pPr>
              <w:spacing w:after="0" w:line="216" w:lineRule="exact"/>
              <w:rPr>
                <w:sz w:val="20"/>
                <w:szCs w:val="20"/>
                <w:color w:val="auto"/>
              </w:rPr>
            </w:pPr>
            <w:r>
              <w:rPr>
                <w:rFonts w:ascii="Arial" w:cs="Arial" w:eastAsia="Arial" w:hAnsi="Arial"/>
                <w:sz w:val="16"/>
                <w:szCs w:val="16"/>
                <w:color w:val="auto"/>
              </w:rPr>
              <w:t>Consolidated T. Rowe Price investment products</w:t>
            </w:r>
            <w:r>
              <w:rPr>
                <w:rFonts w:ascii="Arial" w:cs="Arial" w:eastAsia="Arial" w:hAnsi="Arial"/>
                <w:sz w:val="21"/>
                <w:szCs w:val="21"/>
                <w:color w:val="auto"/>
                <w:vertAlign w:val="superscript"/>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left="408"/>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b w:val="1"/>
                <w:bCs w:val="1"/>
                <w:color w:val="auto"/>
              </w:rPr>
              <w:t>Adjusted Non-GAAP Basis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1,022.5</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528.0</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7"/>
                <w:szCs w:val="17"/>
                <w:color w:val="auto"/>
              </w:rPr>
            </w:pPr>
          </w:p>
        </w:tc>
        <w:tc>
          <w:tcPr>
            <w:tcW w:w="100" w:type="dxa"/>
            <w:vAlign w:val="bottom"/>
            <w:gridSpan w:val="2"/>
          </w:tcPr>
          <w:p>
            <w:pPr>
              <w:ind w:left="20"/>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169.4</w:t>
            </w: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389.4</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center"/>
              <w:ind w:left="42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160" w:hanging="332"/>
        <w:spacing w:after="0" w:line="241" w:lineRule="auto"/>
        <w:tabs>
          <w:tab w:leader="none" w:pos="341"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intangible assets and acquired assets amortization and impairments, contingent consideration liability fair value remeasurements, amortization and impairments of acquired investments and non-controlling interest basis differences, and amortization of compensation-related arrangements. Management believes adjusting for these charges helps the reader's ability to understand our core operating results and to increase comparability period to period.</w:t>
      </w:r>
    </w:p>
    <w:p>
      <w:pPr>
        <w:spacing w:after="0" w:line="231" w:lineRule="exact"/>
        <w:rPr>
          <w:rFonts w:ascii="Arial" w:cs="Arial" w:eastAsia="Arial" w:hAnsi="Arial"/>
          <w:sz w:val="22"/>
          <w:szCs w:val="22"/>
          <w:color w:val="auto"/>
          <w:vertAlign w:val="superscript"/>
        </w:rPr>
      </w:pPr>
    </w:p>
    <w:p>
      <w:pPr>
        <w:ind w:left="340" w:hanging="332"/>
        <w:spacing w:after="0" w:line="241" w:lineRule="auto"/>
        <w:tabs>
          <w:tab w:leader="none" w:pos="341"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compensation expense impact from market valuation changes in the supplemental savings plan liability and the related net gains (losses) on investments designated as an economic hedge against the related liability. Amounts deferred under the supplemental savings plan are adjusted for appreciation (depreciation) of hypothetical investments chosen by participants. We use T. Rowe Price investment products to economically hedge the exposure to</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ind w:left="340" w:right="460"/>
        <w:spacing w:after="0" w:line="275" w:lineRule="auto"/>
        <w:rPr>
          <w:sz w:val="20"/>
          <w:szCs w:val="20"/>
          <w:color w:val="auto"/>
        </w:rPr>
      </w:pPr>
      <w:r>
        <w:rPr>
          <w:rFonts w:ascii="Arial" w:cs="Arial" w:eastAsia="Arial" w:hAnsi="Arial"/>
          <w:sz w:val="16"/>
          <w:szCs w:val="16"/>
          <w:color w:val="auto"/>
        </w:rPr>
        <w:t>these market movements. Management believes it is useful to offset the non-operating investment income (loss) realized on the economic hedges against the related compensation expense and remove the net impact to help the reader's ability to understand our core operating results and to increase comparability period to period.</w:t>
      </w:r>
    </w:p>
    <w:p>
      <w:pPr>
        <w:spacing w:after="0" w:line="191" w:lineRule="exact"/>
        <w:rPr>
          <w:sz w:val="20"/>
          <w:szCs w:val="20"/>
          <w:color w:val="auto"/>
        </w:rPr>
      </w:pPr>
    </w:p>
    <w:p>
      <w:pPr>
        <w:ind w:left="340" w:right="100" w:hanging="332"/>
        <w:spacing w:after="0" w:line="246"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that the consolidated T. Rowe Price investment products have on our U.S. GAAP consolidated statements of income. Specifically, we add back the operating expenses and subtract the investment income of the consolidated T. Rowe Price investment products. The adjustment to operating expenses represents the operating expenses of the consolidated products, net of the elimination of related management and administrative fees. The adjustment to net income attributable to T. Rowe Price represents the net income of the consolidated products, net of redeemable non-controlling interests. Management believes the consolidated T. Rowe Price investment products may impact the reader’s ability to understand our core operating results.</w:t>
      </w:r>
    </w:p>
    <w:p>
      <w:pPr>
        <w:spacing w:after="0" w:line="215" w:lineRule="exact"/>
        <w:rPr>
          <w:rFonts w:ascii="Arial" w:cs="Arial" w:eastAsia="Arial" w:hAnsi="Arial"/>
          <w:sz w:val="22"/>
          <w:szCs w:val="22"/>
          <w:color w:val="auto"/>
          <w:vertAlign w:val="superscript"/>
        </w:rPr>
      </w:pPr>
    </w:p>
    <w:p>
      <w:pPr>
        <w:ind w:left="340" w:hanging="332"/>
        <w:spacing w:after="0" w:line="246"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represents the other non-operating income (loss) and the net gains (losses) earned on our investment portfolio that are not designated as economic hedges of the supplemental savings plan liability, and that are not part of the cash and discretionary investment portfolio. We retain in our non-GAAP measures the investment gains recognized on the cash and discretionary investments as these assets and related income (loss) are considered part of our core operations. Management believes adjusting for these non-operating income (loss) items helps the reader’s ability to understand our core operating results and increases comparability to prior years. Additionally, management does not emphasize the impact of the portion of non-operating income (loss) removed when managing and evaluating our performance.</w:t>
      </w:r>
    </w:p>
    <w:p>
      <w:pPr>
        <w:spacing w:after="0" w:line="215" w:lineRule="exact"/>
        <w:rPr>
          <w:rFonts w:ascii="Arial" w:cs="Arial" w:eastAsia="Arial" w:hAnsi="Arial"/>
          <w:sz w:val="22"/>
          <w:szCs w:val="22"/>
          <w:color w:val="auto"/>
          <w:vertAlign w:val="superscript"/>
        </w:rPr>
      </w:pPr>
    </w:p>
    <w:p>
      <w:pPr>
        <w:ind w:left="340" w:right="380" w:hanging="332"/>
        <w:spacing w:after="0" w:line="236"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non-GAAP effective tax rate for the three months ended March 31, 2024 and 2023 was 23.9% and 30.3%, respectively.</w:t>
      </w:r>
    </w:p>
    <w:p>
      <w:pPr>
        <w:spacing w:after="0" w:line="218" w:lineRule="exact"/>
        <w:rPr>
          <w:rFonts w:ascii="Arial" w:cs="Arial" w:eastAsia="Arial" w:hAnsi="Arial"/>
          <w:sz w:val="22"/>
          <w:szCs w:val="22"/>
          <w:color w:val="auto"/>
          <w:vertAlign w:val="superscript"/>
        </w:rPr>
      </w:pPr>
    </w:p>
    <w:p>
      <w:pPr>
        <w:ind w:left="340" w:right="20" w:hanging="332"/>
        <w:spacing w:after="0" w:line="229" w:lineRule="auto"/>
        <w:tabs>
          <w:tab w:leader="none" w:pos="341"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divided by the weighted-average common shares outstanding assuming dilution. The calculation of adjusted net income allocated to common stockholders is as follows:</w:t>
      </w:r>
    </w:p>
    <w:p>
      <w:pPr>
        <w:spacing w:after="0" w:line="272"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80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640" w:type="dxa"/>
            <w:vAlign w:val="bottom"/>
            <w:tcBorders>
              <w:bottom w:val="single" w:sz="8" w:color="auto"/>
            </w:tcBorders>
            <w:gridSpan w:val="3"/>
            <w:shd w:val="clear" w:color="auto" w:fill="CCEEFF"/>
          </w:tcPr>
          <w:p>
            <w:pPr>
              <w:jc w:val="right"/>
              <w:ind w:right="661"/>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3/31/2024</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3/31/2023</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389.4</w:t>
            </w: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533.3</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379.8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3/31/2024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12/31/2023</w:t>
            </w:r>
          </w:p>
        </w:tc>
      </w:tr>
      <w:tr>
        <w:trPr>
          <w:trHeight w:val="223"/>
        </w:trPr>
        <w:tc>
          <w:tcPr>
            <w:tcW w:w="81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2,066.6</w:t>
            </w:r>
          </w:p>
        </w:tc>
      </w:tr>
      <w:tr>
        <w:trPr>
          <w:trHeight w:val="22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r>
      <w:tr>
        <w:trPr>
          <w:trHeight w:val="223"/>
        </w:trPr>
        <w:tc>
          <w:tcPr>
            <w:tcW w:w="8180" w:type="dxa"/>
            <w:vAlign w:val="bottom"/>
          </w:tcPr>
          <w:p>
            <w:pPr>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2,530.3</w:t>
            </w:r>
          </w:p>
        </w:tc>
      </w:tr>
      <w:tr>
        <w:trPr>
          <w:trHeight w:val="22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w:t>
            </w:r>
          </w:p>
        </w:tc>
      </w:tr>
      <w:tr>
        <w:trPr>
          <w:trHeight w:val="230"/>
        </w:trPr>
        <w:tc>
          <w:tcPr>
            <w:tcW w:w="8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Investments used to hedge the supplemental savings plan liability</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894.6</w:t>
            </w:r>
          </w:p>
        </w:tc>
      </w:tr>
      <w:tr>
        <w:trPr>
          <w:trHeight w:val="248"/>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discretionary investment portfolio is comprised of short duration bond funds, which typically yield higher than money market rates. Our subsidiaries outside the United States held cash and discretionary investments of $708.0 million at March 31, 2024 and $699.0 million at December 31, 2023. Given the availability of our financial resources and cash expected to be generated through future operations, we do not maintain an available external source of additional liquidity.</w:t>
      </w:r>
    </w:p>
    <w:p>
      <w:pPr>
        <w:spacing w:after="0" w:line="20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ind w:right="40"/>
        <w:spacing w:after="0" w:line="268" w:lineRule="auto"/>
        <w:rPr>
          <w:sz w:val="20"/>
          <w:szCs w:val="20"/>
          <w:color w:val="auto"/>
        </w:rPr>
      </w:pPr>
      <w:r>
        <w:rPr>
          <w:rFonts w:ascii="Arial" w:cs="Arial" w:eastAsia="Arial" w:hAnsi="Arial"/>
          <w:sz w:val="18"/>
          <w:szCs w:val="18"/>
          <w:color w:val="auto"/>
        </w:rPr>
        <w:t>The cash and investment presentation on the unaudited condensed consolidated balance sheet is based on the accounting treatment for the cash equivalent or investment item. The following table details how T. Rowe Price’s interests in cash and investments relate to where they are presented on the unaudited condensed consolidated balance sheet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60325</wp:posOffset>
            </wp:positionV>
            <wp:extent cx="7037705" cy="497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97205"/>
                    </a:xfrm>
                    <a:prstGeom prst="rect">
                      <a:avLst/>
                    </a:prstGeom>
                    <a:noFill/>
                  </pic:spPr>
                </pic:pic>
              </a:graphicData>
            </a:graphic>
          </wp:anchor>
        </w:drawing>
      </w:r>
    </w:p>
    <w:p>
      <w:pPr>
        <w:spacing w:after="0" w:line="67"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Net assets of</w:t>
      </w:r>
    </w:p>
    <w:p>
      <w:pPr>
        <w:jc w:val="center"/>
        <w:ind w:left="7120"/>
        <w:spacing w:after="0" w:line="221" w:lineRule="auto"/>
        <w:rPr>
          <w:sz w:val="20"/>
          <w:szCs w:val="20"/>
          <w:color w:val="auto"/>
        </w:rPr>
      </w:pPr>
      <w:r>
        <w:rPr>
          <w:rFonts w:ascii="Arial" w:cs="Arial" w:eastAsia="Arial" w:hAnsi="Arial"/>
          <w:sz w:val="14"/>
          <w:szCs w:val="14"/>
          <w:b w:val="1"/>
          <w:bCs w:val="1"/>
          <w:color w:val="auto"/>
        </w:rPr>
        <w:t>consolidated T.</w:t>
      </w:r>
    </w:p>
    <w:p>
      <w:pPr>
        <w:ind w:left="8820"/>
        <w:spacing w:after="0" w:line="221" w:lineRule="auto"/>
        <w:rPr>
          <w:sz w:val="20"/>
          <w:szCs w:val="20"/>
          <w:color w:val="auto"/>
        </w:rPr>
      </w:pPr>
      <w:r>
        <w:rPr>
          <w:rFonts w:ascii="Arial" w:cs="Arial" w:eastAsia="Arial" w:hAnsi="Arial"/>
          <w:sz w:val="14"/>
          <w:szCs w:val="14"/>
          <w:b w:val="1"/>
          <w:bCs w:val="1"/>
          <w:color w:val="auto"/>
        </w:rPr>
        <w:t>Rowe Price</w:t>
      </w:r>
    </w:p>
    <w:tbl>
      <w:tblPr>
        <w:tblLayout w:type="fixed"/>
        <w:tblInd w:w="80" w:type="dxa"/>
        <w:tblCellMar>
          <w:top w:w="0" w:type="dxa"/>
          <w:left w:w="0" w:type="dxa"/>
          <w:bottom w:w="0" w:type="dxa"/>
          <w:right w:w="0" w:type="dxa"/>
        </w:tblCellMar>
      </w:tblPr>
      <w:tr>
        <w:trPr>
          <w:trHeight w:val="144"/>
        </w:trPr>
        <w:tc>
          <w:tcPr>
            <w:tcW w:w="5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Cash and cash</w:t>
            </w:r>
          </w:p>
        </w:tc>
        <w:tc>
          <w:tcPr>
            <w:tcW w:w="14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Pr>
          <w:p>
            <w:pPr>
              <w:spacing w:after="0"/>
              <w:rPr>
                <w:sz w:val="12"/>
                <w:szCs w:val="12"/>
                <w:color w:val="auto"/>
              </w:rPr>
            </w:pPr>
          </w:p>
        </w:tc>
        <w:tc>
          <w:tcPr>
            <w:tcW w:w="134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rPr>
              <w:t>investment</w:t>
            </w:r>
          </w:p>
        </w:tc>
        <w:tc>
          <w:tcPr>
            <w:tcW w:w="24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products</w:t>
            </w:r>
            <w:r>
              <w:rPr>
                <w:rFonts w:ascii="Arial" w:cs="Arial" w:eastAsia="Arial" w:hAnsi="Arial"/>
                <w:sz w:val="9"/>
                <w:szCs w:val="9"/>
                <w:b w:val="1"/>
                <w:bCs w:val="1"/>
                <w:color w:val="auto"/>
              </w:rPr>
              <w:t>(1)</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2,416.5</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2,894.0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1,418.7</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155"/>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1,455.8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5,241.7</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w:t>
            </w:r>
          </w:p>
        </w:tc>
        <w:tc>
          <w:tcPr>
            <w:tcW w:w="1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768.8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CLOs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w:t>
            </w: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6,374.6</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155"/>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As reported on unaudited condensed consolidated balance sheet at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2,588.7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7,051.3</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2024</w:t>
            </w: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80" w:right="100" w:hanging="172"/>
        <w:spacing w:after="0" w:line="266" w:lineRule="auto"/>
        <w:tabs>
          <w:tab w:leader="none" w:pos="158" w:val="left"/>
        </w:tabs>
        <w:numPr>
          <w:ilvl w:val="0"/>
          <w:numId w:val="17"/>
        </w:numPr>
        <w:rPr>
          <w:rFonts w:ascii="Arial" w:cs="Arial" w:eastAsia="Arial" w:hAnsi="Arial"/>
          <w:sz w:val="9"/>
          <w:szCs w:val="9"/>
          <w:i w:val="1"/>
          <w:iCs w:val="1"/>
          <w:color w:val="auto"/>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as well as those funds regulated outside the U.S. The $1,369.4 million represents the total value at March 31, 2024 of our interest in the consolidated T. Rowe Price investment products. The total net assets of the T. Rowe Price investment products at March 31, 2024 of $2,046.1 million includes assets of $2,117.2 million, less liabilities of $71.1 million as reflected in our unaudited condensed consolidated balance sheets.</w:t>
      </w:r>
    </w:p>
    <w:p>
      <w:pPr>
        <w:ind w:left="180" w:hanging="172"/>
        <w:spacing w:after="0" w:line="213" w:lineRule="auto"/>
        <w:tabs>
          <w:tab w:leader="none" w:pos="172"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$205.4 million of non-controlling interests in consolidated entities and represents the portion of these investments, held by third parties, that we cannot sell in order to obtain cash for general operations.</w:t>
      </w:r>
    </w:p>
    <w:p>
      <w:pPr>
        <w:spacing w:after="0" w:line="2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unaudited condensed consolidated balance sheet reflects the cash and cash equivalents, investments, other assets and liabilities of those sponsored investment products we consolidate, as well as redeemable non-controlling interests for the portion of these sponsored investment products that are held by unrelated third-party investors. Although we can redeem our net interest in these sponsored investment products at any time, we cannot directly access or sell the assets held by the products to obtain cash for general operations. Additionally, the assets of these sponsored investment products are not available to our general creditors. Our interest in these sponsored investment products was generally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increased our quarterly recurring dividend per common share in February 2024 by 1.6% to $1.24 per common share from $1.22 per common share. Further, we expended $80.1 million in the first quarter of 2024 to repurchase 717 thousand shares of our outstanding common stock, at an average price of $111.11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Since the end of 2021, we have returned nearly $3.7 billion to stockholders through stock repurchases and regular quarterly dividends, as follows: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2" w:name="page33"/>
    <w:bookmarkEnd w:id="32"/>
    <w:tbl>
      <w:tblPr>
        <w:tblLayout w:type="fixed"/>
        <w:tblInd w:w="100" w:type="dxa"/>
        <w:tblCellMar>
          <w:top w:w="0" w:type="dxa"/>
          <w:left w:w="0" w:type="dxa"/>
          <w:bottom w:w="0" w:type="dxa"/>
          <w:right w:w="0" w:type="dxa"/>
        </w:tblCellMar>
      </w:tblPr>
      <w:tr>
        <w:trPr>
          <w:trHeight w:val="161"/>
        </w:trPr>
        <w:tc>
          <w:tcPr>
            <w:tcW w:w="65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 dividend</w:t>
            </w:r>
          </w:p>
        </w:tc>
        <w:tc>
          <w:tcPr>
            <w:tcW w:w="156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Stock repurchases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89"/>
        </w:trPr>
        <w:tc>
          <w:tcPr>
            <w:tcW w:w="6500" w:type="dxa"/>
            <w:vAlign w:val="bottom"/>
            <w:vMerge w:val="continue"/>
            <w:shd w:val="clear" w:color="auto" w:fill="CCEEFF"/>
          </w:tcPr>
          <w:p>
            <w:pPr>
              <w:spacing w:after="0"/>
              <w:rPr>
                <w:sz w:val="16"/>
                <w:szCs w:val="16"/>
                <w:color w:val="auto"/>
              </w:rPr>
            </w:pPr>
          </w:p>
        </w:tc>
        <w:tc>
          <w:tcPr>
            <w:tcW w:w="1540" w:type="dxa"/>
            <w:vAlign w:val="bottom"/>
            <w:gridSpan w:val="3"/>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tcPr>
          <w:p>
            <w:pPr>
              <w:spacing w:after="0"/>
              <w:rPr>
                <w:sz w:val="19"/>
                <w:szCs w:val="19"/>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1,376.2</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Three months ended 3/31/2024</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3,705.4</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anticipate property, equipment, software and other capital expenditures, including internal labor capitalization, for the full-year 2024 to be about $485 million of which approximately 50% is planned for technology initiatives with the remaining primarily related to the build out of our new Baltimore headquarters.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8"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 summarizes the cash flows for the three months ended March 31, 2024 and 2023, that are attributable to T. Rowe Price, our consolidated sponsored investment products, and the related eliminations required in preparing the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3/31/2024</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3/31/2023</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7" w:lineRule="exact"/>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1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110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vMerge w:val="continue"/>
            <w:shd w:val="clear" w:color="auto" w:fill="CCEEFF"/>
          </w:tcPr>
          <w:p>
            <w:pPr>
              <w:spacing w:after="0"/>
              <w:rPr>
                <w:sz w:val="12"/>
                <w:szCs w:val="12"/>
                <w:color w:val="auto"/>
              </w:rPr>
            </w:pPr>
          </w:p>
        </w:tc>
        <w:tc>
          <w:tcPr>
            <w:tcW w:w="112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00"/>
              <w:spacing w:after="0" w:line="139" w:lineRule="exact"/>
              <w:rPr>
                <w:sz w:val="20"/>
                <w:szCs w:val="20"/>
                <w:color w:val="auto"/>
              </w:rPr>
            </w:pPr>
            <w:r>
              <w:rPr>
                <w:rFonts w:ascii="Arial" w:cs="Arial" w:eastAsia="Arial" w:hAnsi="Arial"/>
                <w:sz w:val="14"/>
                <w:szCs w:val="14"/>
                <w:b w:val="1"/>
                <w:bCs w:val="1"/>
                <w:color w:val="auto"/>
              </w:rPr>
              <w:t>sponsored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As</w:t>
            </w:r>
          </w:p>
        </w:tc>
        <w:tc>
          <w:tcPr>
            <w:tcW w:w="96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b w:val="1"/>
                <w:bCs w:val="1"/>
                <w:color w:val="auto"/>
              </w:rPr>
              <w:t>sponsored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4"/>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5" w:lineRule="exact"/>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96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5"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164"/>
        </w:trPr>
        <w:tc>
          <w:tcPr>
            <w:tcW w:w="3820" w:type="dxa"/>
            <w:vAlign w:val="bottom"/>
          </w:tcPr>
          <w:p>
            <w:pPr>
              <w:ind w:left="140"/>
              <w:spacing w:after="0" w:line="164" w:lineRule="exact"/>
              <w:rPr>
                <w:sz w:val="20"/>
                <w:szCs w:val="20"/>
                <w:color w:val="auto"/>
              </w:rPr>
            </w:pPr>
            <w:r>
              <w:rPr>
                <w:rFonts w:ascii="Arial" w:cs="Arial" w:eastAsia="Arial" w:hAnsi="Arial"/>
                <w:sz w:val="18"/>
                <w:szCs w:val="18"/>
                <w:color w:val="auto"/>
              </w:rPr>
              <w:t>Adjustments to reconcile net income (loss) to</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140"/>
              <w:spacing w:after="0" w:line="181"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Depreciation, amortization and impairments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property, equipment and software</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Amortization and impairment of acquisition-</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related assets and retention agreements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Fair value remeasurement of contingent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16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(gains) losses recognized on</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140"/>
              <w:spacing w:after="0"/>
              <w:rPr>
                <w:sz w:val="20"/>
                <w:szCs w:val="20"/>
                <w:color w:val="auto"/>
              </w:rPr>
            </w:pPr>
            <w:r>
              <w:rPr>
                <w:rFonts w:ascii="Arial" w:cs="Arial" w:eastAsia="Arial" w:hAnsi="Arial"/>
                <w:sz w:val="18"/>
                <w:szCs w:val="18"/>
                <w:color w:val="auto"/>
              </w:rPr>
              <w:t>Total non-cash adjustments</w:t>
            </w: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redemptions in sponsored investment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20"/>
              <w:spacing w:after="0" w:line="181" w:lineRule="exact"/>
              <w:rPr>
                <w:sz w:val="20"/>
                <w:szCs w:val="20"/>
                <w:color w:val="auto"/>
              </w:rPr>
            </w:pPr>
            <w:r>
              <w:rPr>
                <w:rFonts w:ascii="Arial" w:cs="Arial" w:eastAsia="Arial" w:hAnsi="Arial"/>
                <w:sz w:val="18"/>
                <w:szCs w:val="18"/>
                <w:color w:val="auto"/>
              </w:rPr>
              <w:t>products used to economically hedge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supplemental savings plan liability</w:t>
            </w: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Net change in trading securities held by</w:t>
            </w:r>
          </w:p>
        </w:tc>
        <w:tc>
          <w:tcPr>
            <w:tcW w:w="16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(158.3)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consolidated sponsored investment products</w:t>
            </w:r>
          </w:p>
        </w:tc>
        <w:tc>
          <w:tcPr>
            <w:tcW w:w="16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changes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164"/>
        </w:trPr>
        <w:tc>
          <w:tcPr>
            <w:tcW w:w="3820" w:type="dxa"/>
            <w:vAlign w:val="bottom"/>
          </w:tcPr>
          <w:p>
            <w:pPr>
              <w:ind w:left="20"/>
              <w:spacing w:after="0" w:line="163"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739.5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637.3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672.7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511.7</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cash provided by (used in) investing</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Net cash provided by (used in) financing</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(267.8)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(282.2)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Effect of exchange rate changes on cash and</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cash equivalents of consolidated sponsored</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820" w:type="dxa"/>
            <w:vAlign w:val="bottom"/>
          </w:tcPr>
          <w:p>
            <w:pPr>
              <w:ind w:left="20"/>
              <w:spacing w:after="0" w:line="163"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349.9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360.1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338.5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during period</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Cash and cash equivalents at beginning of</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2,143.8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1,874.7</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2,503.9</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2,186.2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Operating activities attributable to T. Rowe Price Group during the first quarter of 2024 provided cash flows of $739.5 million, an increase of $66.8 million from $672.7 million during the 2023 period. The increase was primarily driven by a $152.3 million increase in net income. This was offset in part by a higher reduction of operating cash flows of $17.9 million from non-cash items and by a $64.3 million decrease in timing differences related to the cash settlement of our assets and liabilities. The details of our non-cash adjustments are detailed in the table above. Additionally, in 2024, we made $3.3 million in more net investments in certain investment products that economically hedge our supplemental savings plan liability. The remaining change in reported cash flows from operating activities was attributable to the net change in trading securities held in our consolidated investment products’ underlying portfolios.</w:t>
      </w:r>
    </w:p>
    <w:p>
      <w:pPr>
        <w:spacing w:after="0" w:line="21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Our interim operating cash flows does not include the cash impact of variable compensation that is accrued throughout the year before being substantially paid out in December.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Net cash used in investing activities that were attributable to T. Rowe Price Group totaled $34.4 million in 2024 compared with $52.0 million in 2023. During 2024, net proceeds from the sale of investments of $65.3 million were higher compared to $ 9.3 million during the 2023 period. In 2024, we increased our property and equipment expenditures by $41.8 million and decreased our other investing activity by $3.4 million. We eliminate our capital in those sponsored investment products we consolidate in preparing our consolidated statements of cash flows. The remaining change in reported cash flows from investing activities of $2.4 million is primarily related to the net cash removed from our balance sheet from consolidating and deconsolidating investment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Net cash used in financing activities attributable to T. Rowe Price Group totaled $355.2 million in 2024 compared with $282.2 million in 2023. During 2024, we used $83.1 million to repurchase 0.7 million shares compared to $8.2 million to repurchase 25 thousand shares in 2023. The $4.3 million increase in dividends paid in 2024 is a result of the 1.6% increase in our quarterly dividend per share in 2024. In addition, cash flow related to common stock issued under stock compensation plans increased by $6.2 million during 2024 compared to 2023. The remaining change in reported cash flows from financing activities is primarily attributable to a $50.6 million increase in net subscriptions from redeemable non-controlling interest holders of our consolidated investment products during 2024.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condensed consolidated balance sheets, the revenues and expenses in our unaudited condensed consolidated statements of income, and the information that is contained in our significant accounting policies and notes to unaudited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condensed consolidated financial statements, significant accounting policies, and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2023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tax rate;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2023.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ability to attract and retain investors’ assets under our management is dependent on investor sentiment and confidence;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exchange rates applicable to the costs of our international operations; expenses and capital costs, such as technology assets, depreciation, amortization, and research and development, incurred to maintain and enhance our administrative and operating services infrastructure; the</w:t>
      </w:r>
    </w:p>
    <w:p>
      <w:pPr>
        <w:spacing w:after="0" w:line="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timing of the assumption of all third party research payments, unanticipated costs that may be incurred to protect investor accounts and the goodwill of our clients; and disruptions of services, including those provided by third parties, such as fund and product recordkeeping,</w:t>
      </w:r>
    </w:p>
    <w:p>
      <w:pPr>
        <w:spacing w:after="0" w:line="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facilities, communications, power, and the mutual fund transfer agent and accounting systems, as a result of extreme events, cyberattacks or otherwise.</w:t>
      </w:r>
    </w:p>
    <w:p>
      <w:pPr>
        <w:spacing w:after="0" w:line="19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sponsored investment products and investing in general or in particular classes of mutual funds or other investments.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March 31, 2024. Based on that evaluation, our principal executive and principal financial officers have concluded that our disclosure controls and procedures as of March 31, 2024,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2024, and has concluded that there was no change during the first quarter of 2024 that has materially affected, or is reasonably likely to materially affect, our internal control over financial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condensed consolidated financial statements in Part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2024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3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7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Month</w:t>
            </w:r>
          </w:p>
        </w:tc>
        <w:tc>
          <w:tcPr>
            <w:tcW w:w="1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740" w:type="dxa"/>
            <w:vAlign w:val="bottom"/>
            <w:gridSpan w:val="2"/>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January</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320,712</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108.26</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274,914</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6,073,603</w:t>
            </w: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February</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231,120</w:t>
            </w:r>
          </w:p>
        </w:tc>
        <w:tc>
          <w:tcPr>
            <w:tcW w:w="1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5,842,483</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March</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117.28</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210,600</w:t>
            </w:r>
          </w:p>
        </w:tc>
        <w:tc>
          <w:tcPr>
            <w:tcW w:w="18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5,631,883</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716,634</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us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2024, 92,328 were related to shares surrendered in connection with employee stock option exercises and no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5420" w:type="dxa"/>
            <w:vAlign w:val="bottom"/>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00" w:type="dxa"/>
            <w:vAlign w:val="bottom"/>
            <w:vMerge w:val="restart"/>
            <w:shd w:val="clear" w:color="auto" w:fill="CCEEFF"/>
          </w:tcPr>
          <w:p>
            <w:pPr>
              <w:spacing w:after="0"/>
              <w:rPr>
                <w:sz w:val="12"/>
                <w:szCs w:val="12"/>
                <w:color w:val="auto"/>
              </w:rPr>
            </w:pPr>
          </w:p>
        </w:tc>
        <w:tc>
          <w:tcPr>
            <w:tcW w:w="1780" w:type="dxa"/>
            <w:vAlign w:val="bottom"/>
            <w:vMerge w:val="restart"/>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1/1/2024</w:t>
            </w:r>
          </w:p>
        </w:tc>
        <w:tc>
          <w:tcPr>
            <w:tcW w:w="100" w:type="dxa"/>
            <w:vAlign w:val="bottom"/>
            <w:shd w:val="clear" w:color="auto" w:fill="CCEEFF"/>
          </w:tcPr>
          <w:p>
            <w:pPr>
              <w:spacing w:after="0"/>
              <w:rPr>
                <w:sz w:val="12"/>
                <w:szCs w:val="12"/>
                <w:color w:val="auto"/>
              </w:rPr>
            </w:pPr>
          </w:p>
        </w:tc>
        <w:tc>
          <w:tcPr>
            <w:tcW w:w="2020" w:type="dxa"/>
            <w:vAlign w:val="bottom"/>
            <w:gridSpan w:val="2"/>
            <w:vMerge w:val="continue"/>
            <w:shd w:val="clear" w:color="auto" w:fill="CCEEFF"/>
          </w:tcPr>
          <w:p>
            <w:pPr>
              <w:spacing w:after="0"/>
              <w:rPr>
                <w:sz w:val="12"/>
                <w:szCs w:val="12"/>
                <w:color w:val="auto"/>
              </w:rPr>
            </w:pPr>
          </w:p>
        </w:tc>
        <w:tc>
          <w:tcPr>
            <w:tcW w:w="17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89"/>
        </w:trPr>
        <w:tc>
          <w:tcPr>
            <w:tcW w:w="5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at 3/31/2024</w:t>
            </w:r>
          </w:p>
        </w:tc>
        <w:tc>
          <w:tcPr>
            <w:tcW w:w="0" w:type="dxa"/>
            <w:vAlign w:val="bottom"/>
          </w:tcPr>
          <w:p>
            <w:pPr>
              <w:spacing w:after="0"/>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March 2020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6,348,517</w:t>
            </w:r>
          </w:p>
        </w:tc>
        <w:tc>
          <w:tcPr>
            <w:tcW w:w="1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(716,634)</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5,631,883</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31" w:lineRule="exact"/>
        <w:rPr>
          <w:sz w:val="20"/>
          <w:szCs w:val="20"/>
          <w:color w:val="auto"/>
        </w:rPr>
      </w:pPr>
    </w:p>
    <w:p>
      <w:pPr>
        <w:ind w:left="20"/>
        <w:spacing w:after="0"/>
        <w:tabs>
          <w:tab w:leader="none" w:pos="1380" w:val="left"/>
        </w:tabs>
        <w:rPr>
          <w:rFonts w:ascii="Arial" w:cs="Arial" w:eastAsia="Arial" w:hAnsi="Arial"/>
          <w:sz w:val="18"/>
          <w:szCs w:val="18"/>
          <w:color w:val="auto"/>
        </w:rPr>
      </w:pPr>
      <w:r>
        <w:rPr>
          <w:rFonts w:ascii="Arial" w:cs="Arial" w:eastAsia="Arial" w:hAnsi="Arial"/>
          <w:sz w:val="18"/>
          <w:szCs w:val="18"/>
          <w:color w:val="auto"/>
        </w:rPr>
        <w:t>3(i)</w:t>
      </w:r>
      <w:r>
        <w:rPr>
          <w:sz w:val="20"/>
          <w:szCs w:val="20"/>
          <w:color w:val="auto"/>
        </w:rPr>
        <w:tab/>
      </w:r>
      <w:hyperlink r:id="rId55">
        <w:r>
          <w:rPr>
            <w:rFonts w:ascii="Arial" w:cs="Arial" w:eastAsia="Arial" w:hAnsi="Arial"/>
            <w:sz w:val="18"/>
            <w:szCs w:val="18"/>
            <w:color w:val="auto"/>
          </w:rPr>
          <w:t>Charter of T. Rowe Price Group, Inc., as reflected by Articles of Restatement dated June 20, 2018. (Incorporated by</w:t>
        </w:r>
      </w:hyperlink>
    </w:p>
    <w:p>
      <w:pPr>
        <w:ind w:left="1400"/>
        <w:spacing w:after="0"/>
        <w:rPr>
          <w:rFonts w:ascii="Arial" w:cs="Arial" w:eastAsia="Arial" w:hAnsi="Arial"/>
          <w:sz w:val="18"/>
          <w:szCs w:val="18"/>
          <w:color w:val="auto"/>
        </w:rPr>
      </w:pPr>
      <w:hyperlink r:id="rId55">
        <w:r>
          <w:rPr>
            <w:rFonts w:ascii="Arial" w:cs="Arial" w:eastAsia="Arial" w:hAnsi="Arial"/>
            <w:sz w:val="18"/>
            <w:szCs w:val="18"/>
            <w:color w:val="auto"/>
          </w:rPr>
          <w:t>reference from Form 10-Q Quarterly Report filed on July 25, 2018.)</w:t>
        </w:r>
      </w:hyperlink>
    </w:p>
    <w:p>
      <w:pPr>
        <w:spacing w:after="0" w:line="59" w:lineRule="exact"/>
        <w:rPr>
          <w:sz w:val="20"/>
          <w:szCs w:val="20"/>
          <w:color w:val="auto"/>
        </w:rPr>
      </w:pPr>
    </w:p>
    <w:p>
      <w:pPr>
        <w:ind w:left="20"/>
        <w:spacing w:after="0"/>
        <w:tabs>
          <w:tab w:leader="none" w:pos="1380" w:val="left"/>
        </w:tabs>
        <w:rPr>
          <w:rFonts w:ascii="Arial" w:cs="Arial" w:eastAsia="Arial" w:hAnsi="Arial"/>
          <w:sz w:val="18"/>
          <w:szCs w:val="18"/>
          <w:color w:val="auto"/>
        </w:rPr>
      </w:pPr>
      <w:r>
        <w:rPr>
          <w:rFonts w:ascii="Arial" w:cs="Arial" w:eastAsia="Arial" w:hAnsi="Arial"/>
          <w:sz w:val="18"/>
          <w:szCs w:val="18"/>
          <w:color w:val="auto"/>
        </w:rPr>
        <w:t>3(ii)</w:t>
      </w:r>
      <w:r>
        <w:rPr>
          <w:sz w:val="20"/>
          <w:szCs w:val="20"/>
          <w:color w:val="auto"/>
        </w:rPr>
        <w:tab/>
      </w:r>
      <w:hyperlink r:id="rId56">
        <w:r>
          <w:rPr>
            <w:rFonts w:ascii="Arial" w:cs="Arial" w:eastAsia="Arial" w:hAnsi="Arial"/>
            <w:sz w:val="18"/>
            <w:szCs w:val="18"/>
            <w:color w:val="auto"/>
          </w:rPr>
          <w:t>Amended and Restated By-Laws of T. Rowe Price Group, Inc. as of February 9, 2021. (Incorporated by reference from</w:t>
        </w:r>
      </w:hyperlink>
    </w:p>
    <w:p>
      <w:pPr>
        <w:ind w:left="1400"/>
        <w:spacing w:after="0"/>
        <w:rPr>
          <w:rFonts w:ascii="Arial" w:cs="Arial" w:eastAsia="Arial" w:hAnsi="Arial"/>
          <w:sz w:val="18"/>
          <w:szCs w:val="18"/>
          <w:color w:val="auto"/>
        </w:rPr>
      </w:pPr>
      <w:hyperlink r:id="rId56">
        <w:r>
          <w:rPr>
            <w:rFonts w:ascii="Arial" w:cs="Arial" w:eastAsia="Arial" w:hAnsi="Arial"/>
            <w:sz w:val="18"/>
            <w:szCs w:val="18"/>
            <w:color w:val="auto"/>
          </w:rPr>
          <w:t>Form 10-K Annual Report filed on February 11, 2021.)</w:t>
        </w:r>
      </w:hyperlink>
    </w:p>
    <w:p>
      <w:pPr>
        <w:sectPr>
          <w:pgSz w:w="11900" w:h="16838" w:orient="portrait"/>
          <w:cols w:equalWidth="0" w:num="1">
            <w:col w:w="11200"/>
          </w:cols>
          <w:pgMar w:left="320" w:top="890" w:right="379" w:bottom="1440" w:gutter="0" w:footer="0" w:header="0"/>
        </w:sectPr>
      </w:pP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200" w:lineRule="exact"/>
        <w:rPr>
          <w:sz w:val="20"/>
          <w:szCs w:val="20"/>
          <w:color w:val="auto"/>
        </w:rPr>
      </w:pPr>
    </w:p>
    <w:p>
      <w:pPr>
        <w:sectPr>
          <w:pgSz w:w="11900" w:h="16838" w:orient="portrait"/>
          <w:cols w:equalWidth="0" w:num="2">
            <w:col w:w="760" w:space="640"/>
            <w:col w:w="9800"/>
          </w:cols>
          <w:pgMar w:left="320" w:top="890"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38" w:name="page39"/>
    <w:bookmarkEnd w:id="3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26,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120"/>
          </w:cols>
          <w:pgMar w:left="320" w:top="890" w:right="459" w:bottom="1440" w:gutter="0" w:footer="0" w:header="0"/>
        </w:sectPr>
      </w:pPr>
    </w:p>
    <w:bookmarkStart w:id="39" w:name="page40"/>
    <w:bookmarkEnd w:id="39"/>
    <w:p>
      <w:pPr>
        <w:ind w:left="386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8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4940" w:space="720"/>
            <w:col w:w="5580"/>
          </w:cols>
          <w:pgMar w:left="320" w:top="890" w:right="33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April 26,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77" w:lineRule="exact"/>
        <w:rPr>
          <w:sz w:val="20"/>
          <w:szCs w:val="20"/>
          <w:color w:val="auto"/>
        </w:rPr>
      </w:pPr>
    </w:p>
    <w:p>
      <w:pPr>
        <w:ind w:right="300"/>
        <w:spacing w:after="0" w:line="296" w:lineRule="auto"/>
        <w:rPr>
          <w:sz w:val="20"/>
          <w:szCs w:val="20"/>
          <w:color w:val="auto"/>
        </w:rPr>
      </w:pPr>
      <w:r>
        <w:rPr>
          <w:rFonts w:ascii="Arial" w:cs="Arial" w:eastAsia="Arial" w:hAnsi="Arial"/>
          <w:sz w:val="18"/>
          <w:szCs w:val="18"/>
          <w:color w:val="auto"/>
        </w:rPr>
        <w:t>Re: Registration Statements No. 33-7012, No. 333-59714, No. 333-120882, No. 333-120883, No. 333-142092, No. 333-167317, No. 333-180904, No. 333-199560, No. 333-212705 , No. 333-217483, No. 333-238319, and No. 333-273601</w:t>
      </w:r>
      <w:r>
        <w:rPr>
          <w:rFonts w:ascii="Arial" w:cs="Arial" w:eastAsia="Arial" w:hAnsi="Arial"/>
          <w:sz w:val="18"/>
          <w:szCs w:val="18"/>
          <w:b w:val="1"/>
          <w:bCs w:val="1"/>
          <w:color w:val="0E32E1"/>
        </w:rPr>
        <w:t>.</w:t>
      </w:r>
    </w:p>
    <w:p>
      <w:pPr>
        <w:spacing w:after="0" w:line="16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26, 2024 related to our review of interim financial information.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890" w:right="339" w:bottom="1440" w:gutter="0" w:footer="0" w:header="0"/>
          <w:type w:val="continuous"/>
        </w:sectPr>
      </w:pPr>
    </w:p>
    <w:bookmarkStart w:id="40" w:name="page41"/>
    <w:bookmarkEnd w:id="40"/>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March 31, 2024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April 26,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41" w:name="page42"/>
    <w:bookmarkEnd w:id="41"/>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March 31, 2024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April 26,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42" w:name="page43"/>
    <w:bookmarkEnd w:id="42"/>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2024, of T. Rowe Price Group, Inc., that:</w:t>
      </w:r>
    </w:p>
    <w:p>
      <w:pPr>
        <w:spacing w:after="0" w:line="31" w:lineRule="exact"/>
        <w:rPr>
          <w:sz w:val="20"/>
          <w:szCs w:val="20"/>
          <w:color w:val="auto"/>
        </w:rPr>
      </w:pPr>
    </w:p>
    <w:p>
      <w:pPr>
        <w:ind w:right="620" w:firstLine="8"/>
        <w:spacing w:after="0" w:line="287"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firstLine="8"/>
        <w:spacing w:after="0" w:line="287"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April 26, 2024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160"/>
      </w:cols>
      <w:pgMar w:left="320" w:top="98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4"/>
    </w:lvl>
  </w:abstractNum>
  <w:abstractNum w:abstractNumId="10">
    <w:nsid w:val="4E6AFB66"/>
    <w:multiLevelType w:val="hybridMultilevel"/>
    <w:lvl w:ilvl="0">
      <w:lvlJc w:val="left"/>
      <w:lvlText w:val="(%1)"/>
      <w:numFmt w:val="decimal"/>
      <w:start w:val="6"/>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5" Type="http://schemas.openxmlformats.org/officeDocument/2006/relationships/hyperlink" Target="https://www.sec.gov/Archives/edgar/data/1113169/000111316918000018/articlesofrestatementfin.htm" TargetMode="External"/><Relationship Id="rId56"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2024-04-26T10:39:39Z</dcterms:created>
  <dcterms:modified xsi:type="dcterms:W3CDTF">2024-04-26T10:39:39Z</dcterms:modified>
</cp:coreProperties>
</file>