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240"/>
        <w:spacing w:after="0"/>
        <w:rPr>
          <w:sz w:val="20"/>
          <w:szCs w:val="20"/>
          <w:color w:val="auto"/>
        </w:rPr>
      </w:pPr>
      <w:r>
        <w:rPr>
          <w:rFonts w:ascii="Arial" w:cs="Arial" w:eastAsia="Arial" w:hAnsi="Arial"/>
          <w:sz w:val="22"/>
          <w:szCs w:val="22"/>
          <w:b w:val="1"/>
          <w:bCs w:val="1"/>
          <w:color w:val="auto"/>
        </w:rPr>
        <w:t>QUARTERLY REPORT PURSUANT TO SECTION 13 OF THE SECURITIES EXCHANGE ACT OF 1934</w:t>
      </w:r>
    </w:p>
    <w:p>
      <w:pPr>
        <w:spacing w:after="0" w:line="21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June 30, 2008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000-32191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 ROWE PRICE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52-2264646</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-130810</wp:posOffset>
            </wp:positionV>
            <wp:extent cx="27870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345-2000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7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420"/>
          </w:cols>
          <w:pgMar w:left="240" w:top="522" w:right="239" w:bottom="1440" w:gutter="0" w:footer="0" w:header="0"/>
        </w:sectPr>
      </w:pPr>
    </w:p>
    <w:p>
      <w:pPr>
        <w:spacing w:after="0" w:line="43"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4"/>
          <w:szCs w:val="24"/>
          <w:color w:val="auto"/>
        </w:rPr>
      </w:pPr>
    </w:p>
    <w:p>
      <w:pPr>
        <w:sectPr>
          <w:pgSz w:w="11900" w:h="16838" w:orient="portrait"/>
          <w:cols w:equalWidth="0" w:num="4">
            <w:col w:w="2160" w:space="720"/>
            <w:col w:w="1400" w:space="720"/>
            <w:col w:w="3380" w:space="720"/>
            <w:col w:w="2320"/>
          </w:cols>
          <w:pgMar w:left="240" w:top="522"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p>
    <w:p>
      <w:pPr>
        <w:spacing w:after="0" w:line="146"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The number of shares outstanding of the issuer’s common stock ($.20 par value), as of the latest practicable date, July 23, 2008, is </w:t>
      </w:r>
      <w:r>
        <w:rPr>
          <w:rFonts w:ascii="Arial" w:cs="Arial" w:eastAsia="Arial" w:hAnsi="Arial"/>
          <w:sz w:val="16"/>
          <w:szCs w:val="16"/>
          <w:b w:val="1"/>
          <w:bCs w:val="1"/>
          <w:u w:val="single" w:color="auto"/>
          <w:color w:val="auto"/>
        </w:rPr>
        <w:t>258,744,897</w:t>
      </w:r>
      <w:r>
        <w:rPr>
          <w:rFonts w:ascii="Arial" w:cs="Arial" w:eastAsia="Arial" w:hAnsi="Arial"/>
          <w:sz w:val="16"/>
          <w:szCs w:val="16"/>
          <w:b w:val="1"/>
          <w:bCs w:val="1"/>
          <w:color w:val="auto"/>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rPr>
              <w:t>12/31/2007</w:t>
            </w:r>
          </w:p>
        </w:tc>
        <w:tc>
          <w:tcPr>
            <w:tcW w:w="34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6/30/2008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785.1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773.0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Other investments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358.3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668.8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23"/>
        </w:trPr>
        <w:tc>
          <w:tcPr>
            <w:tcW w:w="85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3,177.3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Liabilities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 at savings bank subsidiary</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5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undesignated, $.20 par value - - authorized and unissued 20,000,000 shares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tcPr>
          <w:p>
            <w:pPr>
              <w:ind w:left="200"/>
              <w:spacing w:after="0" w:line="201" w:lineRule="exact"/>
              <w:rPr>
                <w:sz w:val="20"/>
                <w:szCs w:val="20"/>
                <w:color w:val="auto"/>
              </w:rPr>
            </w:pPr>
            <w:r>
              <w:rPr>
                <w:rFonts w:ascii="Arial" w:cs="Arial" w:eastAsia="Arial" w:hAnsi="Arial"/>
                <w:sz w:val="18"/>
                <w:szCs w:val="18"/>
                <w:color w:val="auto"/>
                <w:w w:val="97"/>
              </w:rPr>
              <w:t>Common stock, $.20 par value — authorized 500,000,000 shares in 2007 and 750,000,000 in 2008; issued</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tcPr>
          <w:p>
            <w:pPr>
              <w:ind w:left="400"/>
              <w:spacing w:after="0"/>
              <w:rPr>
                <w:sz w:val="20"/>
                <w:szCs w:val="20"/>
                <w:color w:val="auto"/>
              </w:rPr>
            </w:pPr>
            <w:r>
              <w:rPr>
                <w:rFonts w:ascii="Arial" w:cs="Arial" w:eastAsia="Arial" w:hAnsi="Arial"/>
                <w:sz w:val="18"/>
                <w:szCs w:val="18"/>
                <w:color w:val="auto"/>
              </w:rPr>
              <w:t>264,605,000 shares in 2007 and 259,723,000 shares in 2008</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52.9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2,333.4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2,777.1</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2,652.2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3,177.3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3,049.8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 w:name="page3"/>
    <w:bookmarkEnd w:id="2"/>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5"/>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3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6/30/2007</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6/30/2008</w:t>
            </w:r>
          </w:p>
        </w:tc>
        <w:tc>
          <w:tcPr>
            <w:tcW w:w="6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6/30/2007</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464.1</w:t>
            </w:r>
          </w:p>
        </w:tc>
        <w:tc>
          <w:tcPr>
            <w:tcW w:w="320" w:type="dxa"/>
            <w:vAlign w:val="bottom"/>
          </w:tcPr>
          <w:p>
            <w:pPr>
              <w:spacing w:after="0"/>
              <w:rPr>
                <w:sz w:val="18"/>
                <w:szCs w:val="18"/>
                <w:color w:val="auto"/>
              </w:rPr>
            </w:pP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495.3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889.1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86.7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587.7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1,061.9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586.5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1,059.5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1,145.6</w:t>
            </w:r>
          </w:p>
        </w:tc>
        <w:tc>
          <w:tcPr>
            <w:tcW w:w="0" w:type="dxa"/>
            <w:vAlign w:val="bottom"/>
          </w:tcPr>
          <w:p>
            <w:pPr>
              <w:spacing w:after="0"/>
              <w:rPr>
                <w:sz w:val="1"/>
                <w:szCs w:val="1"/>
                <w:color w:val="auto"/>
              </w:rPr>
            </w:pPr>
          </w:p>
        </w:tc>
      </w:tr>
      <w:tr>
        <w:trPr>
          <w:trHeight w:val="439"/>
        </w:trPr>
        <w:tc>
          <w:tcPr>
            <w:tcW w:w="5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218.0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381.2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21.9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22.7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44.4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327.9</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251.1</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258.6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432"/>
        </w:trPr>
        <w:tc>
          <w:tcPr>
            <w:tcW w:w="5440" w:type="dxa"/>
            <w:vAlign w:val="bottom"/>
            <w:gridSpan w:val="2"/>
          </w:tcPr>
          <w:p>
            <w:pPr>
              <w:spacing w:after="0"/>
              <w:rPr>
                <w:sz w:val="20"/>
                <w:szCs w:val="20"/>
                <w:color w:val="auto"/>
              </w:rPr>
            </w:pPr>
            <w:r>
              <w:rPr>
                <w:rFonts w:ascii="Arial" w:cs="Arial" w:eastAsia="Arial" w:hAnsi="Arial"/>
                <w:sz w:val="18"/>
                <w:szCs w:val="18"/>
                <w:color w:val="auto"/>
              </w:rPr>
              <w:t>Non-operating investment income</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266.4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104.2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188.4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162.2</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162.2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4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4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259.6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272.4</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ind w:right="5160"/>
        <w:spacing w:after="0" w:line="277" w:lineRule="auto"/>
        <w:rPr>
          <w:sz w:val="20"/>
          <w:szCs w:val="20"/>
          <w:color w:val="auto"/>
        </w:rPr>
      </w:pPr>
      <w:r>
        <w:rPr>
          <w:rFonts w:ascii="Arial" w:cs="Arial" w:eastAsia="Arial" w:hAnsi="Arial"/>
          <w:sz w:val="18"/>
          <w:szCs w:val="18"/>
          <w:color w:val="auto"/>
        </w:rPr>
        <w:t>UNAUDITED CONDENSED CONSOLIDATED STATEMENTS OF CASH FLOWS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Six months ended</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6/30/2007</w:t>
            </w:r>
          </w:p>
        </w:tc>
        <w:tc>
          <w:tcPr>
            <w:tcW w:w="36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305.1</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Arial" w:cs="Arial" w:eastAsia="Arial" w:hAnsi="Arial"/>
                <w:sz w:val="18"/>
                <w:szCs w:val="18"/>
                <w:color w:val="auto"/>
              </w:rPr>
              <w:t>Intangible asset amortization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changes in assets and liabilities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Investments in sponsored mutual funds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(81.7)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Other investing activity</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439"/>
        </w:trPr>
        <w:tc>
          <w:tcPr>
            <w:tcW w:w="76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Repurchases of common stock</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Common share issuances under stock-based compensation plans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38.6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 to stockholders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financing activities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(513.9)</w:t>
            </w:r>
          </w:p>
        </w:tc>
        <w:tc>
          <w:tcPr>
            <w:tcW w:w="0" w:type="dxa"/>
            <w:vAlign w:val="bottom"/>
          </w:tcPr>
          <w:p>
            <w:pPr>
              <w:spacing w:after="0"/>
              <w:rPr>
                <w:sz w:val="1"/>
                <w:szCs w:val="1"/>
                <w:color w:val="auto"/>
              </w:rPr>
            </w:pPr>
          </w:p>
        </w:tc>
      </w:tr>
      <w:tr>
        <w:trPr>
          <w:trHeight w:val="439"/>
        </w:trPr>
        <w:tc>
          <w:tcPr>
            <w:tcW w:w="76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during period</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At beginning of year</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773.0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785.1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end of period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895.2</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ind w:right="4200"/>
        <w:spacing w:after="0" w:line="277" w:lineRule="auto"/>
        <w:rPr>
          <w:sz w:val="20"/>
          <w:szCs w:val="20"/>
          <w:color w:val="auto"/>
        </w:rPr>
      </w:pPr>
      <w:r>
        <w:rPr>
          <w:rFonts w:ascii="Arial" w:cs="Arial" w:eastAsia="Arial" w:hAnsi="Arial"/>
          <w:sz w:val="18"/>
          <w:szCs w:val="18"/>
          <w:color w:val="auto"/>
        </w:rPr>
        <w:t>UNAUDITED CONDENSED CONSOLIDATED STATEMENT OF STOCKHOLDERS’ EQUITY (shares in thousands; dollars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4"/>
                <w:szCs w:val="14"/>
                <w:color w:val="auto"/>
              </w:rPr>
              <w:t>Additional</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3"/>
          </w:tcPr>
          <w:p>
            <w:pPr>
              <w:jc w:val="center"/>
              <w:ind w:right="660"/>
              <w:spacing w:after="0"/>
              <w:rPr>
                <w:sz w:val="20"/>
                <w:szCs w:val="20"/>
                <w:color w:val="auto"/>
              </w:rPr>
            </w:pPr>
            <w:r>
              <w:rPr>
                <w:rFonts w:ascii="Arial" w:cs="Arial" w:eastAsia="Arial" w:hAnsi="Arial"/>
                <w:sz w:val="14"/>
                <w:szCs w:val="14"/>
                <w:color w:val="auto"/>
                <w:w w:val="96"/>
              </w:rPr>
              <w:t>Accumulated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700" w:type="dxa"/>
            <w:vAlign w:val="bottom"/>
          </w:tcPr>
          <w:p>
            <w:pPr>
              <w:spacing w:after="0"/>
              <w:rPr>
                <w:sz w:val="12"/>
                <w:szCs w:val="12"/>
                <w:color w:val="auto"/>
              </w:rPr>
            </w:pPr>
          </w:p>
        </w:tc>
        <w:tc>
          <w:tcPr>
            <w:tcW w:w="102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5"/>
              </w:rPr>
              <w:t>Common</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0"/>
              </w:rPr>
              <w:t>capital in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3"/>
              </w:rPr>
              <w:t>other</w:t>
            </w: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Total</w:t>
            </w:r>
          </w:p>
        </w:tc>
      </w:tr>
      <w:tr>
        <w:trPr>
          <w:trHeight w:val="149"/>
        </w:trPr>
        <w:tc>
          <w:tcPr>
            <w:tcW w:w="3700" w:type="dxa"/>
            <w:vAlign w:val="bottom"/>
          </w:tcPr>
          <w:p>
            <w:pPr>
              <w:spacing w:after="0"/>
              <w:rPr>
                <w:sz w:val="12"/>
                <w:szCs w:val="12"/>
                <w:color w:val="auto"/>
              </w:rPr>
            </w:pP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85"/>
              </w:rPr>
              <w:t>shares</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w w:val="91"/>
              </w:rPr>
              <w:t>Common</w:t>
            </w:r>
          </w:p>
        </w:tc>
        <w:tc>
          <w:tcPr>
            <w:tcW w:w="8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84"/>
              </w:rPr>
              <w:t>excess of</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9"/>
              </w:rPr>
              <w:t>Retained</w:t>
            </w:r>
          </w:p>
        </w:tc>
        <w:tc>
          <w:tcPr>
            <w:tcW w:w="1840" w:type="dxa"/>
            <w:vAlign w:val="bottom"/>
            <w:gridSpan w:val="4"/>
          </w:tcPr>
          <w:p>
            <w:pPr>
              <w:jc w:val="center"/>
              <w:ind w:right="34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r>
      <w:tr>
        <w:trPr>
          <w:trHeight w:val="167"/>
        </w:trPr>
        <w:tc>
          <w:tcPr>
            <w:tcW w:w="37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outstanding</w:t>
            </w:r>
          </w:p>
        </w:tc>
        <w:tc>
          <w:tcPr>
            <w:tcW w:w="3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Stock</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86"/>
              </w:rPr>
              <w:t>par value</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0"/>
              </w:rPr>
              <w:t>Earnings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2"/>
              </w:rPr>
              <w:t>income</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4"/>
                <w:szCs w:val="14"/>
                <w:color w:val="auto"/>
              </w:rPr>
            </w:pPr>
          </w:p>
        </w:tc>
      </w:tr>
      <w:tr>
        <w:trPr>
          <w:trHeight w:val="142"/>
        </w:trPr>
        <w:tc>
          <w:tcPr>
            <w:tcW w:w="3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 at December 31, 2007</w:t>
            </w:r>
          </w:p>
        </w:tc>
        <w:tc>
          <w:tcPr>
            <w:tcW w:w="7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264,605</w:t>
            </w: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640"/>
              <w:spacing w:after="0" w:line="142" w:lineRule="exact"/>
              <w:rPr>
                <w:sz w:val="20"/>
                <w:szCs w:val="20"/>
                <w:color w:val="auto"/>
              </w:rPr>
            </w:pPr>
            <w:r>
              <w:rPr>
                <w:rFonts w:ascii="Arial" w:cs="Arial" w:eastAsia="Arial" w:hAnsi="Arial"/>
                <w:sz w:val="14"/>
                <w:szCs w:val="14"/>
                <w:color w:val="auto"/>
              </w:rPr>
              <w:t>52.9</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295.8</w:t>
            </w:r>
          </w:p>
        </w:tc>
        <w:tc>
          <w:tcPr>
            <w:tcW w:w="3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2,333.4</w:t>
            </w:r>
          </w:p>
        </w:tc>
        <w:tc>
          <w:tcPr>
            <w:tcW w:w="3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8"/>
              <w:spacing w:after="0" w:line="142"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60"/>
              <w:spacing w:after="0" w:line="142" w:lineRule="exact"/>
              <w:rPr>
                <w:sz w:val="20"/>
                <w:szCs w:val="20"/>
                <w:color w:val="auto"/>
              </w:rPr>
            </w:pPr>
            <w:r>
              <w:rPr>
                <w:rFonts w:ascii="Arial" w:cs="Arial" w:eastAsia="Arial" w:hAnsi="Arial"/>
                <w:sz w:val="14"/>
                <w:szCs w:val="14"/>
                <w:color w:val="auto"/>
              </w:rPr>
              <w:t>95.0</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2,777.1</w:t>
            </w:r>
          </w:p>
        </w:tc>
      </w:tr>
      <w:tr>
        <w:trPr>
          <w:trHeight w:val="149"/>
        </w:trPr>
        <w:tc>
          <w:tcPr>
            <w:tcW w:w="3700" w:type="dxa"/>
            <w:vAlign w:val="bottom"/>
          </w:tcPr>
          <w:p>
            <w:pPr>
              <w:spacing w:after="0" w:line="149" w:lineRule="exact"/>
              <w:rPr>
                <w:sz w:val="20"/>
                <w:szCs w:val="20"/>
                <w:color w:val="auto"/>
              </w:rPr>
            </w:pPr>
            <w:r>
              <w:rPr>
                <w:rFonts w:ascii="Arial" w:cs="Arial" w:eastAsia="Arial" w:hAnsi="Arial"/>
                <w:sz w:val="14"/>
                <w:szCs w:val="14"/>
                <w:color w:val="auto"/>
              </w:rPr>
              <w:t>Common stock-based compensation plans activity</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Shares issued upon option exercises</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2,279</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46.7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47.1</w:t>
            </w:r>
          </w:p>
        </w:tc>
      </w:tr>
      <w:tr>
        <w:trPr>
          <w:trHeight w:val="149"/>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Shares issued upon vesting of restricted stock units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8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r>
      <w:tr>
        <w:trPr>
          <w:trHeight w:val="149"/>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shares issued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r>
      <w:tr>
        <w:trPr>
          <w:trHeight w:val="149"/>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Restricted shares forfeited</w:t>
            </w:r>
          </w:p>
        </w:tc>
        <w:tc>
          <w:tcPr>
            <w:tcW w:w="10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w:t>
            </w:r>
          </w:p>
        </w:tc>
      </w:tr>
      <w:tr>
        <w:trPr>
          <w:trHeight w:val="149"/>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39.3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39.3</w:t>
            </w:r>
          </w:p>
        </w:tc>
      </w:tr>
      <w:tr>
        <w:trPr>
          <w:trHeight w:val="149"/>
        </w:trPr>
        <w:tc>
          <w:tcPr>
            <w:tcW w:w="3700" w:type="dxa"/>
            <w:vAlign w:val="bottom"/>
          </w:tcPr>
          <w:p>
            <w:pPr>
              <w:spacing w:after="0" w:line="149" w:lineRule="exact"/>
              <w:rPr>
                <w:sz w:val="20"/>
                <w:szCs w:val="20"/>
                <w:color w:val="auto"/>
              </w:rPr>
            </w:pPr>
            <w:r>
              <w:rPr>
                <w:rFonts w:ascii="Arial" w:cs="Arial" w:eastAsia="Arial" w:hAnsi="Arial"/>
                <w:sz w:val="14"/>
                <w:szCs w:val="14"/>
                <w:color w:val="auto"/>
              </w:rPr>
              <w:t>Common shares repurchased</w:t>
            </w:r>
          </w:p>
        </w:tc>
        <w:tc>
          <w:tcPr>
            <w:tcW w:w="10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(7,175)</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(49.9)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(318.3)</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(369.6)</w:t>
            </w: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313.7</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7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Change in unrealized security holding gains, net of</w:t>
            </w: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3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taxes (including $.5 million in the second</w:t>
            </w: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37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quarter)</w:t>
            </w: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(30.5)</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Total comprehensive income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283.2</w:t>
            </w: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and related tax benefits</w:t>
            </w: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(124.9)</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(124.8)</w:t>
            </w:r>
          </w:p>
        </w:tc>
      </w:tr>
      <w:tr>
        <w:trPr>
          <w:trHeight w:val="156"/>
        </w:trPr>
        <w:tc>
          <w:tcPr>
            <w:tcW w:w="3700" w:type="dxa"/>
            <w:vAlign w:val="bottom"/>
          </w:tcPr>
          <w:p>
            <w:pPr>
              <w:spacing w:after="0" w:line="155" w:lineRule="exact"/>
              <w:rPr>
                <w:sz w:val="20"/>
                <w:szCs w:val="20"/>
                <w:color w:val="auto"/>
              </w:rPr>
            </w:pPr>
            <w:r>
              <w:rPr>
                <w:rFonts w:ascii="Arial" w:cs="Arial" w:eastAsia="Arial" w:hAnsi="Arial"/>
                <w:sz w:val="14"/>
                <w:szCs w:val="14"/>
                <w:color w:val="auto"/>
              </w:rPr>
              <w:t>Balances at June 30, 2008</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259,723</w:t>
            </w:r>
          </w:p>
        </w:tc>
        <w:tc>
          <w:tcPr>
            <w:tcW w:w="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51.9</w:t>
            </w:r>
          </w:p>
        </w:tc>
        <w:tc>
          <w:tcPr>
            <w:tcW w:w="6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331.9</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2,203.9</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64.5</w:t>
            </w:r>
          </w:p>
        </w:tc>
        <w:tc>
          <w:tcPr>
            <w:tcW w:w="6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2,652.2</w:t>
            </w:r>
          </w:p>
        </w:tc>
        <w:tc>
          <w:tcPr>
            <w:tcW w:w="100" w:type="dxa"/>
            <w:vAlign w:val="bottom"/>
          </w:tcPr>
          <w:p>
            <w:pPr>
              <w:spacing w:after="0"/>
              <w:rPr>
                <w:sz w:val="13"/>
                <w:szCs w:val="13"/>
                <w:color w:val="auto"/>
              </w:rPr>
            </w:pPr>
          </w:p>
        </w:tc>
      </w:tr>
      <w:tr>
        <w:trPr>
          <w:trHeight w:val="20"/>
        </w:trPr>
        <w:tc>
          <w:tcPr>
            <w:tcW w:w="3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4700"/>
        <w:spacing w:after="0" w:line="375" w:lineRule="auto"/>
        <w:rPr>
          <w:sz w:val="20"/>
          <w:szCs w:val="20"/>
          <w:color w:val="auto"/>
        </w:rPr>
      </w:pPr>
      <w:r>
        <w:rPr>
          <w:rFonts w:ascii="Arial" w:cs="Arial" w:eastAsia="Arial" w:hAnsi="Arial"/>
          <w:sz w:val="18"/>
          <w:szCs w:val="18"/>
          <w:color w:val="auto"/>
        </w:rPr>
        <w:t>NOTES TO UNAUDITED CONDENSED CONSOLIDATED FINANCIAL STATEMENTS NOTE 1 — THE COMPANY AND BASIS OF PREPARATION.</w:t>
      </w:r>
    </w:p>
    <w:p>
      <w:pPr>
        <w:spacing w:after="0" w:line="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 While investors that we serve are primarily domiciled in the United States of America, investment advisory clients outside the United States account for more than 10% of our assets under management at June 30, 2008.</w:t>
      </w:r>
    </w:p>
    <w:p>
      <w:pPr>
        <w:spacing w:after="0" w:line="5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and reflect all adjustments that are, in the opinion of management, necessary to a fair statement of our results for the interim periods presented. All such adjustments are of a normal recurring nature.</w:t>
      </w:r>
    </w:p>
    <w:p>
      <w:pPr>
        <w:spacing w:after="0" w:line="7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2007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11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$144.6 million at December 31, 2007, and $137.5 million at June 30, 2008.</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Six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6/30/2007</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6/30/2008</w:t>
            </w:r>
          </w:p>
        </w:tc>
        <w:tc>
          <w:tcPr>
            <w:tcW w:w="6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9"/>
              </w:rPr>
              <w:t>6/30/2007</w:t>
            </w:r>
          </w:p>
        </w:tc>
        <w:tc>
          <w:tcPr>
            <w:tcW w:w="34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6/30/2008</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80" w:type="dxa"/>
            <w:vAlign w:val="bottom"/>
            <w:gridSpan w:val="2"/>
          </w:tcPr>
          <w:p>
            <w:pPr>
              <w:jc w:val="right"/>
              <w:ind w:right="39"/>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290.6</w:t>
            </w:r>
          </w:p>
        </w:tc>
        <w:tc>
          <w:tcPr>
            <w:tcW w:w="320" w:type="dxa"/>
            <w:vAlign w:val="bottom"/>
          </w:tcPr>
          <w:p>
            <w:pPr>
              <w:spacing w:after="0"/>
              <w:rPr>
                <w:sz w:val="18"/>
                <w:szCs w:val="18"/>
                <w:color w:val="auto"/>
              </w:rPr>
            </w:pP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296.8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553.7</w:t>
            </w:r>
          </w:p>
        </w:tc>
        <w:tc>
          <w:tcPr>
            <w:tcW w:w="5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579.2</w:t>
            </w: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103.9</w:t>
            </w:r>
          </w:p>
        </w:tc>
      </w:tr>
      <w:tr>
        <w:trPr>
          <w:trHeight w:val="223"/>
        </w:trPr>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349.5</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683.1</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145.8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282.3</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investment advisory fees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495.3</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965.4</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various investment portfolios and assets under management (in billions) on which we earn advisory fees.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right"/>
              <w:ind w:right="25"/>
              <w:spacing w:after="0"/>
              <w:rPr>
                <w:sz w:val="20"/>
                <w:szCs w:val="20"/>
                <w:color w:val="auto"/>
              </w:rPr>
            </w:pPr>
            <w:r>
              <w:rPr>
                <w:rFonts w:ascii="Arial" w:cs="Arial" w:eastAsia="Arial" w:hAnsi="Arial"/>
                <w:sz w:val="14"/>
                <w:szCs w:val="14"/>
                <w:color w:val="auto"/>
              </w:rPr>
              <w:t>Average during</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color w:val="auto"/>
              </w:rPr>
              <w:t>Average during</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the second quarter</w:t>
            </w:r>
          </w:p>
        </w:tc>
        <w:tc>
          <w:tcPr>
            <w:tcW w:w="5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4"/>
                <w:szCs w:val="14"/>
                <w:color w:val="auto"/>
              </w:rPr>
              <w:t>the first half</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2007</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w w:val="89"/>
              </w:rPr>
              <w:t>2008</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191.1</w:t>
            </w:r>
          </w:p>
        </w:tc>
        <w:tc>
          <w:tcPr>
            <w:tcW w:w="5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194.4</w:t>
            </w:r>
          </w:p>
        </w:tc>
        <w:tc>
          <w:tcPr>
            <w:tcW w:w="140" w:type="dxa"/>
            <w:vAlign w:val="bottom"/>
            <w:gridSpan w:val="3"/>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182.9</w:t>
            </w:r>
          </w:p>
        </w:tc>
        <w:tc>
          <w:tcPr>
            <w:tcW w:w="3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189.5</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157.4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Arial" w:cs="Arial" w:eastAsia="Arial" w:hAnsi="Arial"/>
                <w:sz w:val="14"/>
                <w:szCs w:val="14"/>
                <w:color w:val="auto"/>
                <w:w w:val="94"/>
              </w:rPr>
              <w:t>12/31/2007</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6/30/2008</w:t>
            </w:r>
          </w:p>
        </w:tc>
        <w:tc>
          <w:tcPr>
            <w:tcW w:w="100" w:type="dxa"/>
            <w:vAlign w:val="bottom"/>
          </w:tcPr>
          <w:p>
            <w:pPr>
              <w:spacing w:after="0"/>
              <w:rPr>
                <w:sz w:val="24"/>
                <w:szCs w:val="24"/>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gridSpan w:val="3"/>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200.6</w:t>
            </w:r>
          </w:p>
        </w:tc>
        <w:tc>
          <w:tcPr>
            <w:tcW w:w="3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185.0</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Fees for advisory-related administrative services provided to our sponsored mutual funds during the first half of the year were $134.1 million in 2007 and $144.5 million in 2008. Fees for these services during the second quarter were $68.1 million in 2007 and $72.5 million in 2008.</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NOTE 3 – FAIR VALUE MEASUREMENTS.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The following disclosures are made in conjunction with the initial application of Statement of Financial Accounting Standards (SFAS) No. 157,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in 2008.</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value our investments in sponsored mutual funds at the quoted closing net asset values, or NAVs, per share of each mutual fund last reported as of the balance sheet date.</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investments in marketable debt securities, including mortgage- and other asset-backed securities held by our savings bank subsidiary, are reported at fair value. These debt securities are generally traded in the over-the-counter (OTC) market. Securities with original maturities of one year or more are valued by us based on prices furnished by dealers who make markets in such securities or by an independent pricing service, which considers the yield or price of bonds of comparable quality, coupon, maturity, and type, as well as prices quoted by dealers who make markets in such securities. Securities with original maturities of less than one year generally are valued at amortized cost which approximates fair value; however, if amortized cost is deemed not to reflect fair value, such securities are valued by us based on prices furnished by dealers who make markets in such securities or by an independent pricing service.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three broad levels of inputs: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117" w:lineRule="exact"/>
        <w:rPr>
          <w:sz w:val="20"/>
          <w:szCs w:val="20"/>
          <w:color w:val="auto"/>
        </w:rPr>
      </w:pPr>
    </w:p>
    <w:p>
      <w:pPr>
        <w:ind w:left="800" w:right="200" w:hanging="530"/>
        <w:spacing w:after="0" w:line="277"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62" w:lineRule="exact"/>
        <w:rPr>
          <w:sz w:val="20"/>
          <w:szCs w:val="20"/>
          <w:color w:val="auto"/>
        </w:rPr>
      </w:pPr>
    </w:p>
    <w:p>
      <w:pPr>
        <w:ind w:left="800" w:right="420" w:hanging="530"/>
        <w:spacing w:after="0" w:line="277"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have any investments valued using Level 3 inputs.</w:t>
      </w:r>
    </w:p>
    <w:p>
      <w:pPr>
        <w:spacing w:after="0" w:line="6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These levels are not necessarily an indication of the risk or liquidity associated with the investments. The following table summarizes our investments (in millions) at June 30, 2008, that are recognized in our balance sheet using fair value measurements determined based on the differing levels of inputs.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Level 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97"/>
              </w:rPr>
              <w:t>Level 2</w:t>
            </w:r>
          </w:p>
        </w:tc>
        <w:tc>
          <w:tcPr>
            <w:tcW w:w="100" w:type="dxa"/>
            <w:vAlign w:val="bottom"/>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730.5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124.7</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Other investments in marketable equity securities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1,332.9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124.7</w:t>
            </w:r>
          </w:p>
        </w:tc>
      </w:tr>
      <w:tr>
        <w:trPr>
          <w:trHeight w:val="20"/>
        </w:trPr>
        <w:tc>
          <w:tcPr>
            <w:tcW w:w="6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not applied the provisions of SFAS No. 157 related to disclosures surrounding nonfinancial assets, such as goodwill, and nonfinancial liabilities. In February 2008, the FASB deferred the required implementation of these disclosures until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4 –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Authorized shares.</w:t>
      </w:r>
    </w:p>
    <w:p>
      <w:pPr>
        <w:spacing w:after="0" w:line="11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At our annual meeting on April 10, 2008, our stockholders approved a charter amendment increasing our authorized common shares ($.20 par value) from 500,000,000 to 750,000,000. Our board of directors had duly approved and advised the amendment at their meeting on February 14, 2008.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Unsettled liability for common shares repurchased.</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Accounts payable and accrued expenses includes $8.6 million at December 31, 2007, and $8.5 million at June 30, 2008, representing the unsettled liability for common stock repurchases made on the last three business days before quarter end.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share repurchases.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eleven days of July 2008, we repurchased 1,056,000 common shares for $55.4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half of 2008.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ind w:left="240"/>
              <w:spacing w:after="0"/>
              <w:rPr>
                <w:sz w:val="20"/>
                <w:szCs w:val="20"/>
                <w:color w:val="auto"/>
              </w:rPr>
            </w:pPr>
            <w:r>
              <w:rPr>
                <w:rFonts w:ascii="Arial" w:cs="Arial" w:eastAsia="Arial" w:hAnsi="Arial"/>
                <w:sz w:val="14"/>
                <w:szCs w:val="14"/>
                <w:color w:val="auto"/>
              </w:rPr>
              <w:t>Weighted-</w:t>
            </w:r>
          </w:p>
        </w:tc>
      </w:tr>
      <w:tr>
        <w:trPr>
          <w:trHeight w:val="149"/>
        </w:trPr>
        <w:tc>
          <w:tcPr>
            <w:tcW w:w="8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r>
      <w:tr>
        <w:trPr>
          <w:trHeight w:val="149"/>
        </w:trPr>
        <w:tc>
          <w:tcPr>
            <w:tcW w:w="8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exercise</w:t>
            </w:r>
          </w:p>
        </w:tc>
      </w:tr>
      <w:tr>
        <w:trPr>
          <w:trHeight w:val="167"/>
        </w:trPr>
        <w:tc>
          <w:tcPr>
            <w:tcW w:w="8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color w:val="auto"/>
              </w:rPr>
              <w:t>Options</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price</w:t>
            </w: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2008</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41,030,175</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$31.16</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Reload grants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461,218</w:t>
            </w:r>
          </w:p>
        </w:tc>
        <w:tc>
          <w:tcPr>
            <w:tcW w:w="320" w:type="dxa"/>
            <w:vAlign w:val="bottom"/>
          </w:tcPr>
          <w:p>
            <w:pPr>
              <w:spacing w:after="0"/>
              <w:rPr>
                <w:sz w:val="18"/>
                <w:szCs w:val="18"/>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$58.35</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grants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$59.38</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(3,334,029)</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$21.39</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Forfeited or cancelled</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(449,400)</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$39.89</w:t>
            </w: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Outstanding at June 30, 2008</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37,712,964</w:t>
            </w:r>
          </w:p>
        </w:tc>
        <w:tc>
          <w:tcPr>
            <w:tcW w:w="320" w:type="dxa"/>
            <w:vAlign w:val="bottom"/>
          </w:tcPr>
          <w:p>
            <w:pPr>
              <w:spacing w:after="0"/>
              <w:rPr>
                <w:sz w:val="19"/>
                <w:szCs w:val="19"/>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$32.26</w:t>
            </w:r>
          </w:p>
        </w:tc>
      </w:tr>
      <w:tr>
        <w:trPr>
          <w:trHeight w:val="20"/>
        </w:trPr>
        <w:tc>
          <w:tcPr>
            <w:tcW w:w="8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2008</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21,457,124</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$25.83</w:t>
            </w:r>
          </w:p>
        </w:tc>
      </w:tr>
      <w:tr>
        <w:trPr>
          <w:trHeight w:val="20"/>
        </w:trPr>
        <w:tc>
          <w:tcPr>
            <w:tcW w:w="8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status of and changes in our nonvested restricted shares and restricted stock units during the first half of 2008.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ind w:left="240"/>
              <w:spacing w:after="0"/>
              <w:rPr>
                <w:sz w:val="20"/>
                <w:szCs w:val="20"/>
                <w:color w:val="auto"/>
              </w:rPr>
            </w:pPr>
            <w:r>
              <w:rPr>
                <w:rFonts w:ascii="Arial" w:cs="Arial" w:eastAsia="Arial" w:hAnsi="Arial"/>
                <w:sz w:val="14"/>
                <w:szCs w:val="14"/>
                <w:color w:val="auto"/>
              </w:rPr>
              <w:t>Weighted-</w:t>
            </w:r>
          </w:p>
        </w:tc>
      </w:tr>
      <w:tr>
        <w:trPr>
          <w:trHeight w:val="149"/>
        </w:trPr>
        <w:tc>
          <w:tcPr>
            <w:tcW w:w="6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Restricted</w:t>
            </w: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r>
      <w:tr>
        <w:trPr>
          <w:trHeight w:val="149"/>
        </w:trPr>
        <w:tc>
          <w:tcPr>
            <w:tcW w:w="6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w w:val="88"/>
              </w:rPr>
              <w:t>Restricted</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stock</w:t>
            </w:r>
          </w:p>
        </w:tc>
        <w:tc>
          <w:tcPr>
            <w:tcW w:w="500" w:type="dxa"/>
            <w:vAlign w:val="bottom"/>
          </w:tcPr>
          <w:p>
            <w:pPr>
              <w:spacing w:after="0"/>
              <w:rPr>
                <w:sz w:val="12"/>
                <w:szCs w:val="12"/>
                <w:color w:val="auto"/>
              </w:rPr>
            </w:pPr>
          </w:p>
        </w:tc>
        <w:tc>
          <w:tcPr>
            <w:tcW w:w="1080" w:type="dxa"/>
            <w:vAlign w:val="bottom"/>
          </w:tcPr>
          <w:p>
            <w:pPr>
              <w:ind w:left="240"/>
              <w:spacing w:after="0" w:line="149" w:lineRule="exact"/>
              <w:rPr>
                <w:sz w:val="20"/>
                <w:szCs w:val="20"/>
                <w:color w:val="auto"/>
              </w:rPr>
            </w:pPr>
            <w:r>
              <w:rPr>
                <w:rFonts w:ascii="Arial" w:cs="Arial" w:eastAsia="Arial" w:hAnsi="Arial"/>
                <w:sz w:val="14"/>
                <w:szCs w:val="14"/>
                <w:color w:val="auto"/>
              </w:rPr>
              <w:t>grant-date</w:t>
            </w:r>
          </w:p>
        </w:tc>
      </w:tr>
      <w:tr>
        <w:trPr>
          <w:trHeight w:val="167"/>
        </w:trPr>
        <w:tc>
          <w:tcPr>
            <w:tcW w:w="6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color w:val="auto"/>
              </w:rPr>
              <w:t>shares</w:t>
            </w: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4"/>
              </w:rPr>
              <w:t>units</w:t>
            </w:r>
          </w:p>
        </w:tc>
        <w:tc>
          <w:tcPr>
            <w:tcW w:w="5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fair value</w:t>
            </w: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2008</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319,300</w:t>
            </w:r>
          </w:p>
        </w:tc>
        <w:tc>
          <w:tcPr>
            <w:tcW w:w="2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140,250</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$50.23</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Granted to employees and directors</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14,900</w:t>
            </w:r>
          </w:p>
        </w:tc>
        <w:tc>
          <w:tcPr>
            <w:tcW w:w="2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6,600</w:t>
            </w:r>
          </w:p>
        </w:tc>
        <w:tc>
          <w:tcPr>
            <w:tcW w:w="320" w:type="dxa"/>
            <w:vAlign w:val="bottom"/>
          </w:tcPr>
          <w:p>
            <w:pPr>
              <w:spacing w:after="0"/>
              <w:rPr>
                <w:sz w:val="18"/>
                <w:szCs w:val="18"/>
                <w:color w:val="auto"/>
              </w:rPr>
            </w:pP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$55.92</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Dividend equivalents granted to directors</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7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115</w:t>
            </w: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$52.87</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Vested</w:t>
            </w:r>
          </w:p>
        </w:tc>
        <w:tc>
          <w:tcPr>
            <w:tcW w:w="1220" w:type="dxa"/>
            <w:vAlign w:val="bottom"/>
            <w:gridSpan w:val="4"/>
          </w:tcPr>
          <w:p>
            <w:pPr>
              <w:jc w:val="right"/>
              <w:ind w:right="240"/>
              <w:spacing w:after="0"/>
              <w:rPr>
                <w:sz w:val="20"/>
                <w:szCs w:val="20"/>
                <w:color w:val="auto"/>
              </w:rPr>
            </w:pPr>
            <w:r>
              <w:rPr>
                <w:rFonts w:ascii="Arial" w:cs="Arial" w:eastAsia="Arial" w:hAnsi="Arial"/>
                <w:sz w:val="18"/>
                <w:szCs w:val="18"/>
                <w:color w:val="auto"/>
              </w:rPr>
              <w:t>(2,400)</w:t>
            </w:r>
          </w:p>
        </w:tc>
        <w:tc>
          <w:tcPr>
            <w:tcW w:w="1720" w:type="dxa"/>
            <w:vAlign w:val="bottom"/>
            <w:gridSpan w:val="4"/>
          </w:tcPr>
          <w:p>
            <w:pPr>
              <w:jc w:val="right"/>
              <w:ind w:right="260"/>
              <w:spacing w:after="0"/>
              <w:rPr>
                <w:sz w:val="20"/>
                <w:szCs w:val="20"/>
                <w:color w:val="auto"/>
              </w:rPr>
            </w:pPr>
            <w:r>
              <w:rPr>
                <w:rFonts w:ascii="Arial" w:cs="Arial" w:eastAsia="Arial" w:hAnsi="Arial"/>
                <w:sz w:val="18"/>
                <w:szCs w:val="18"/>
                <w:color w:val="auto"/>
              </w:rPr>
              <w:t>(7,215)</w:t>
            </w: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$49.20</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(3,000)</w:t>
            </w:r>
          </w:p>
        </w:tc>
        <w:tc>
          <w:tcPr>
            <w:tcW w:w="17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(2,500)</w:t>
            </w: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$49.67</w:t>
            </w: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Nonvested at June 30, 2008</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328,800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137,250</w:t>
            </w:r>
          </w:p>
        </w:tc>
        <w:tc>
          <w:tcPr>
            <w:tcW w:w="320" w:type="dxa"/>
            <w:vAlign w:val="bottom"/>
          </w:tcPr>
          <w:p>
            <w:pPr>
              <w:spacing w:after="0"/>
              <w:rPr>
                <w:sz w:val="19"/>
                <w:szCs w:val="19"/>
                <w:color w:val="auto"/>
              </w:rPr>
            </w:pP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$50.52</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stock-based compensation expense.</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table presents the compensation expense (in millions) to be recognized over the separate vesting periods of the 16,255,840 nonvested options and 466,050 restricted shares and restricted stock units outstanding at June 30, 2008.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2008</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Fourth quarter 2008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2009 through 2013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r>
              <w:rPr>
                <w:rFonts w:ascii="Arial" w:cs="Arial" w:eastAsia="Arial" w:hAnsi="Arial"/>
                <w:sz w:val="18"/>
                <w:szCs w:val="18"/>
                <w:u w:val="single" w:color="auto"/>
                <w:color w:val="auto"/>
              </w:rPr>
              <w:t>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reviewed the condensed consolidated balance sheet of T. Rowe Price Group, Inc. and subsidiaries as of June 30, 2008, the related condensed consolidated statements of income for the three- and six-month periods ended June 30, 2007 and 2008, the related condensed consolidated statements of cash flows for the six-month periods ended June 30, 2007 and 2008, and the related condensed consolidated statement of stockholders’ equity for the six-month period ended June 30, 2008. These condensed consolidated financial statements are the responsibility of the Company’s management.</w:t>
      </w:r>
    </w:p>
    <w:p>
      <w:pPr>
        <w:spacing w:after="0" w:line="4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previously audited, in accordance with standards of the Public Company Accounting Oversight Board (United States), the consolidated balance sheet of T. Rowe Price Group, Inc. and subsidiaries as of December 31, 2007, and the related consolidated statements of income, cash flows, and stockholders’ equity for the year then ended (not presented herein); and in our report dated February 6, 2008, we expressed an unqualified opinion on those consolidated financial statements. In our opinion, the information set forth in the accompanying condensed consolidated balance sheet as of December 31, 2007, is fairly stated, in all material respects, in relation to the consolidated balance sheet from which it has been derived.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2008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mutual funds and other managed investment portfolios. Investment advisory clients outside the United States account for more than 10% of our assets under management at June 30, 2008.</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manage a broad range of U.S. and international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7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aftermath of the subprime mortgage market implosion in 2007 and the continuing credit crisis have significantly affected financial markets this year. At the beginning of 2008, equities declined dramatically around the world. In the United States, economic growth remained low in the first quarter, and the downside risks in the outlook increased. The Federal Reserve responded with a substantial further easing of U.S. monetary policy that reduced the federal funds rate by 225 basis points to 2% by the end of April. The U.S. Congress and President also sought to cushion the downturn through a fiscal stimulus package that began arriving in American households in the second quarter. The collapse of a large investment bank and securities trading firm was narrowly averted late in the first quarter, and the Federal Reserve initiated a series of actions, some of them unprecedented, to increase liquidity not only among the large commercial banks but also non-bank securities dealers. Despite these aggressive actions, investor sentiment has deteriorated as the continuing weakness in housing; rising food, energy and other commodity prices; the restraining effect of writedowns on bank capital and credit availability; the decline of the U.S. dollar versus foreign currencies; and sluggish job growth have raised concerns about the U.S. economy and, in turn, economies around the world. With costs increasing, inflationary concerns in the U.S. have more recently risen, effectively constraining the Federal Reserve’s ability to ease monetary policy further, despite the increased risk of weaker economic growth. With this backdrop, early July saw further financial market declines as many major indexes fell 20% below their most recent highs in October 2007. By mid-July, lower oil prices and improving investor sentiment had produced some rebound in equity valuations.</w:t>
      </w:r>
    </w:p>
    <w:p>
      <w:pPr>
        <w:spacing w:after="0" w:line="8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With financial markets under considerable stress, U.S. stock indexes produced mixed results in the second quarter of 2008. The broad S&amp;P 500 Index of large-cap companies in leading industries of the U.S. economy registered a negative 2.73% return in the second quarter while the NASDAQ Composite Index, which is heavily weighted with technology companies, was up only .61% (excluding dividends). For the first six months of 2008, these indexes were down 11.91% and 13.55%, respectively.</w:t>
      </w:r>
    </w:p>
    <w:p>
      <w:pPr>
        <w:spacing w:after="0" w:line="7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Stocks outside the United States also retreated in the second quarter, even though the weak U.S. dollar reduced the magnitude of losses in dollar terms. The MSCI EAFE Index, which measures the performance of mostly large-cap stocks in Europe, Australasia and the Far East, produced a negative 1.93% return while the MSCI Emerging Markets Index had a negative .80% return. For the first six months of 2008, these indexes were down 10.58% and 11.64%, respectively.</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Treasury yields rose across the maturity spectrum, although the increases were larger among short-term issues. The yield on 10-year U.S. Treasuries was 3.99% at June 30, 2008, up 54 basis points from March 31, 2008, but down 5 basis points from the end of 2007. Long-term Treasury bonds suffered the largest declines, as investors grew more concerned about inflation. Municipals were flat, as issues surrounding the companies insuring some municipal bonds erased earlier gains. Higher-risk corporate bonds, which had been severely punished in the liquidity crunch earlier in 2008, showed gains. Emerging market debt performed better than high-quality bonds issued in developed countries.</w:t>
      </w:r>
    </w:p>
    <w:p>
      <w:pPr>
        <w:spacing w:after="0" w:line="8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this unsettled financial environment, investors have entrusted net inflows of $17.8 billion to our management thus far in 2008, including $8.1 billion in the second quarter. Total assets under our management ended June 2008 at $387.7 billion, up 2.4% from March 31, 2008 and down 3.1% from the beginning of the year. The change (in billions) thus far in 2008 occurred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800"/>
              <w:spacing w:after="0"/>
              <w:rPr>
                <w:sz w:val="20"/>
                <w:szCs w:val="20"/>
                <w:color w:val="auto"/>
              </w:rPr>
            </w:pPr>
            <w:r>
              <w:rPr>
                <w:rFonts w:ascii="Arial" w:cs="Arial" w:eastAsia="Arial" w:hAnsi="Arial"/>
                <w:sz w:val="14"/>
                <w:szCs w:val="14"/>
                <w:color w:val="auto"/>
                <w:w w:val="92"/>
              </w:rPr>
              <w:t>Quarter</w:t>
            </w:r>
          </w:p>
        </w:tc>
        <w:tc>
          <w:tcPr>
            <w:tcW w:w="120" w:type="dxa"/>
            <w:vAlign w:val="bottom"/>
          </w:tcPr>
          <w:p>
            <w:pPr>
              <w:spacing w:after="0"/>
              <w:rPr>
                <w:sz w:val="14"/>
                <w:szCs w:val="14"/>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4"/>
                <w:szCs w:val="14"/>
                <w:color w:val="auto"/>
                <w:w w:val="92"/>
              </w:rPr>
              <w:t>Quarter</w:t>
            </w:r>
          </w:p>
        </w:tc>
        <w:tc>
          <w:tcPr>
            <w:tcW w:w="34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6"/>
              </w:rPr>
              <w:t>First half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7"/>
              </w:rPr>
              <w:t>ended</w:t>
            </w:r>
          </w:p>
        </w:tc>
        <w:tc>
          <w:tcPr>
            <w:tcW w:w="12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7"/>
              </w:rPr>
              <w:t>ended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3/31/2008</w:t>
            </w:r>
          </w:p>
        </w:tc>
        <w:tc>
          <w:tcPr>
            <w:tcW w:w="6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6/30/2008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6/30/2008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378.6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Net cash inflows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Sponsored mutual funds in the U.S.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Other portfolios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Market valuation changes and income</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Change during the period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79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color w:val="auto"/>
              </w:rPr>
              <w:t>Assets under management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378.6</w:t>
            </w:r>
          </w:p>
        </w:tc>
        <w:tc>
          <w:tcPr>
            <w:tcW w:w="6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387.7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Assets under management at June 30, 2008, include $305.6 billion in equity and blended asset investment portfolios and $82.1 billion in fixed income investment portfolios. The investment portfolios that we manage consist of $233.3 billion in the T. Rowe Price mutual funds distributed in the United States and $154.4 billion in other investment portfolios, including separately managed accounts, sub-advised funds, and other sponsored investment portfolios including common trust funds and mutual funds offered to investors outside the U.S. and through variable annuity life insurance plans.</w:t>
      </w:r>
    </w:p>
    <w:p>
      <w:pPr>
        <w:spacing w:after="0" w:line="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may recognize from increases to our assets under management.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2008 versus second quarter 2007.</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Investment advisory revenues were up almost 7%, or $31.2 million, to $495.3 million in the second quarter of 2008 as average assets under our management increased $29.1 billion to $400.0 billion. The average annualized fee rate earned on our assets under management was 49.8 basis points during the second quarter of 2008, virtually unchanged from the 50.2 basis points earned in 2007. Since our assets under management of $387.7 billion at June 30 are less than the second quarter 2008 average of $400.0 billion, down or flat financial markets in the next quarter will most likely result in lower investment advisory fees in the third quarter as compared to the second quarter of 2008.</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Net revenues increased 6.4%, or $35.4 million, to $586.5 million. Operating expenses were $327.9 million in the second quarter of 2008, up 9.3% or</w:t>
      </w:r>
    </w:p>
    <w:p>
      <w:pPr>
        <w:spacing w:after="0" w:line="3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$27.9 million from the 2007 quarter. Overall, net operating income for the second quarter of 2008 increased $7.5 million, or 3.0%, to $258.6 million. Higher operating expenses in 2008 and decreases in market valuations during the first quarter of this year, which lowered our assets under management and advisory revenues, resulted in our operating margin declining to 44.1% in the second quarter of 2008 from 45.6% in the second quarter of 2007. Net income was flat for the second quarter of 2008 versus the comparable 2007 quarter. Diluted earnings per share, however, increased to $.60, up $.02 or 3.4% as our weighted average shares outstanding have decreased due to our ongoing common share repurchases over the last twelve months.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Investment advisory revenues earned from the T. Rowe Price mutual funds distributed in the United States increased 4.0%, or $13.6 million, to</w:t>
      </w:r>
    </w:p>
    <w:p>
      <w:pPr>
        <w:spacing w:after="0" w:line="2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$349.5 million. Average mutual fund assets were $242.6 billion in the second quarter of 2008, an increase of 4.6% from the average for the comparable 2007 quarter. Mutual fund assets at June 30, 2008 were $233.3 billion, up $2.8 billion or 1.2% from the end of March 2008, but down 5.2% from the beginning of the year.</w:t>
      </w:r>
    </w:p>
    <w:p>
      <w:pPr>
        <w:spacing w:after="0" w:line="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inflows to the mutual funds were $2.4 billion during the second quarter of 2008. Our international and global stock funds had net inflows of $1.2 billion, the U.S. stock funds added $.7 billion, and the bond and money funds added $.5 billion. The Emerging Markets Stock Fund attracted $.6 billion of net inflows during the second quarter of 2008. During the 2008 quarter, net fund inflows of $1.1 billion originated in our target-date Retirement Funds, which in turn invest in other T. Rowe Price funds. The Retirement Funds had net inflows of $1.1 billion during the second quarter after the transfer of $1.2 billion to other managed investment portfolios. Income and changes in market valuations in the mutual funds increased our fund assets under management by $.4 billion during the 2008 quarter.</w:t>
      </w:r>
    </w:p>
    <w:p>
      <w:pPr>
        <w:spacing w:after="0" w:line="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Investment advisory revenues earned on the other investment portfolios that we manage increased $17.6 million, or 13.7%, to $145.8 million. Average assets in these portfolios were $157.4 billion during the second quarter of 2008, up $18.5 billion or 13.3% from the second quarter of 2007. Net inflows for the 2008 quarter were $5.7 billion from U.S. and international institutional investors and third-party financial intermediaries, including the $1.2 billion transferred from the target-date Retirement Funds. Income earned in these portfolios and changes in market valuations increased assets under management by $.6 billion during the 2008 quarter.</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Administrative fees increased $4.2 million to $90.9 million. The change in these revenues includes $.7 million from 12b-1 distribution fees recognized on greater assets under management in the Advisor and R classes of our sponsored mutual fund shares. The balance of the increase is primarily attributable to our mutual fund servicing activities for the mutual funds and their investors. Changes in administrative fees are generally offset by similar changes in related operating expenses that are incurred to distribute the Advisor and R class fund shares through third party financial intermediaries and to provide services to the funds and their investors.</w:t>
      </w:r>
    </w:p>
    <w:p>
      <w:pPr>
        <w:spacing w:after="0" w:line="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largest expense, compensation and related costs, increased $21.0 million, or 10.7% versus the 2007 quarter. This increase includes $10.0 million in salaries resulting from an 8.9% increase in our average staff count and an increase of our associates’ base salaries at the beginning of the year. At June 30, 2008, we employed 5,308 associates, up 4.5% from the end of 2007, primarily to handle increased volume-related activities and other growth. The increased compensation costs also include a $3.1 million increase in our interim accrual for annual bonuses, which are based on our operating results and considers our relative and risk-adjusted investment performance, our growth in assets under management and net investor inflows, and the quality of our investor services. Lastly, the second quarter 2008 costs also include $7.9 million for higher employee benefits and employment expenses, including an increase of $1.5 million in non-cash stock-based compensation.</w:t>
      </w:r>
    </w:p>
    <w:p>
      <w:pPr>
        <w:spacing w:after="0" w:line="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Advertising and promotion expenditures were down $1.7 million compared to the second quarter of 2007 and $16.3 million from the first quarter of 2008. Investor sentiment in this uncertain market environment has caused us to reduce our planned spending in this area. We now expect spending on advertising and promotion in the third and fourth quarters of 2008 will be comparable to the second and first quarters of 2008, respectively. We vary our level of spending based on market conditions and investor demand as well as our efforts to expand our investor base in the United States and abroad.</w:t>
      </w:r>
    </w:p>
    <w:p>
      <w:pPr>
        <w:spacing w:after="0" w:line="6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$3.8 million. We are expanding and renovating our facilities to accommodate additional associates to meet greater business demands.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Other operating expenses were up $4.8 million, or 10.8%, including $.7 million of higher distribution expenses recognized on greater assets under management sourced from financial intermediaries that distribute our Advisor and R classes of mutual fund shares. These distribution costs are offset by the equal increase in our administrative revenues recognized from the 12b-1 fees discussed above. Additionally, consulting and professional fees, information services, and other costs have risen to meet increased business demands.</w:t>
      </w:r>
    </w:p>
    <w:p>
      <w:pPr>
        <w:spacing w:after="0" w:line="7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Our non-operating investment income, which includes interest income as well as the recognition of investment gains and losses, decreased $3.9 million. A $6.6 million decrease in interest income due to smaller cash positions and lower interest rates was partially offset by net gains from other investments.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ind w:right="160"/>
        <w:spacing w:after="0" w:line="259" w:lineRule="auto"/>
        <w:rPr>
          <w:sz w:val="20"/>
          <w:szCs w:val="20"/>
          <w:color w:val="auto"/>
        </w:rPr>
      </w:pPr>
      <w:r>
        <w:rPr>
          <w:rFonts w:ascii="Arial" w:cs="Arial" w:eastAsia="Arial" w:hAnsi="Arial"/>
          <w:sz w:val="18"/>
          <w:szCs w:val="18"/>
          <w:color w:val="auto"/>
        </w:rPr>
        <w:t>The second quarter 2008 provision for income taxes as a percentage of pretax income is 39.1% in order that the provision for the first six months of 2008 be recognized at a rate a 38.6%. The second quarter and six-month provisions include $2.5 million for prior years’ estimated interest and taxes. Without these charges, our provision would have been at 38.2% in the second quarter of 2008. We have also revised our estimate of the effective tax rate for the full-year 2008 from 38.2% to 38.5% to reflect these charges.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half 2008 versus first half 2007.</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Investment advisory revenues were up 8.6%, or $76.3 million, to $965.4 million in the first half of 2008 as average assets under our management increased $32.2 billion to $389.5 billion. The average annualized fee rate earned on our assets under management was 49.8 basis points during the first half of 2008, virtually unchanged from the 50.2 basis points earned in 2007.</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8.1%, or $86.1 million, to nearly $1.15 billion. Operating expenses were $656.9 million in the first six months of 2008, up 11.4%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$67.4 million from the 2007 period. Overall, net operating income for the first half of 2008 increased $18.7 million, or 4.0%, to $488.7 million. Higher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 2008 and decreases in market valuations during the first quarter of this year, which reduced our assets under management and advisory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revenues, resulted in our operating margin declining to 42.7% in the first half of 2008 from 44.4% in the comparable 2007 period. Net income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$8.6 million, or 2.8%, to $313.7 million and diluted earnings per share increased to $1.15, up $.06, or 5.5%, including the effect of lower weighted average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outstanding due to our common share repurchases during the last twelve months.</w:t>
      </w:r>
    </w:p>
    <w:p>
      <w:pPr>
        <w:spacing w:after="0" w:line="103" w:lineRule="exact"/>
        <w:rPr>
          <w:sz w:val="20"/>
          <w:szCs w:val="20"/>
          <w:color w:val="auto"/>
        </w:rPr>
      </w:pPr>
    </w:p>
    <w:p>
      <w:pPr>
        <w:ind w:right="1120"/>
        <w:spacing w:after="0" w:line="342" w:lineRule="auto"/>
        <w:rPr>
          <w:sz w:val="20"/>
          <w:szCs w:val="20"/>
          <w:color w:val="auto"/>
        </w:rPr>
      </w:pPr>
      <w:r>
        <w:rPr>
          <w:rFonts w:ascii="Arial" w:cs="Arial" w:eastAsia="Arial" w:hAnsi="Arial"/>
          <w:sz w:val="16"/>
          <w:szCs w:val="16"/>
          <w:color w:val="auto"/>
        </w:rPr>
        <w:t>Investment advisory revenues earned from the T. Rowe Price mutual funds distributed in the United States increased 6.5%, or $41.4 million, to $683.1 million. Average mutual fund assets were $236.9 billion in the first six months of 2008, up 6.3% from the comparable 2008 period.</w:t>
      </w:r>
    </w:p>
    <w:p>
      <w:pPr>
        <w:spacing w:after="0" w:line="16" w:lineRule="exact"/>
        <w:rPr>
          <w:sz w:val="20"/>
          <w:szCs w:val="20"/>
          <w:color w:val="auto"/>
        </w:rPr>
      </w:pPr>
    </w:p>
    <w:p>
      <w:pPr>
        <w:jc w:val="both"/>
        <w:ind w:right="220"/>
        <w:spacing w:after="0" w:line="288" w:lineRule="auto"/>
        <w:rPr>
          <w:sz w:val="20"/>
          <w:szCs w:val="20"/>
          <w:color w:val="auto"/>
        </w:rPr>
      </w:pPr>
      <w:r>
        <w:rPr>
          <w:rFonts w:ascii="Arial" w:cs="Arial" w:eastAsia="Arial" w:hAnsi="Arial"/>
          <w:sz w:val="16"/>
          <w:szCs w:val="16"/>
          <w:color w:val="auto"/>
        </w:rPr>
        <w:t>Net inflows to the mutual funds were $6.1 billion during the first half of 2008. Our international and global stock funds had net inflows of $2.9 billion, our bond and money funds added $2.5 billion, and the U.S. stock funds added $.7 billion. The Emerging Markets, Equity Index 500, Africa &amp; Middle East, and Growth stock funds each had net inflows of more than $500 million and, in the aggregate, net inflows of $3.0 billion during the first six months of 2008.</w:t>
      </w:r>
    </w:p>
    <w:p>
      <w:pPr>
        <w:ind w:right="180"/>
        <w:spacing w:after="0" w:line="261" w:lineRule="auto"/>
        <w:rPr>
          <w:sz w:val="20"/>
          <w:szCs w:val="20"/>
          <w:color w:val="auto"/>
        </w:rPr>
      </w:pPr>
      <w:r>
        <w:rPr>
          <w:rFonts w:ascii="Arial" w:cs="Arial" w:eastAsia="Arial" w:hAnsi="Arial"/>
          <w:sz w:val="18"/>
          <w:szCs w:val="18"/>
          <w:color w:val="auto"/>
        </w:rPr>
        <w:t>Lower market valuations, net of the funds’ income, decreased our fund assets under management by $18.8 billion. During the 2008 period, net fund inflows of $3.9 billion originated in our target-date Retirement Funds.</w:t>
      </w:r>
    </w:p>
    <w:p>
      <w:pPr>
        <w:spacing w:after="0" w:line="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Investment advisory revenues earned on the other investment portfolios that we manage increased $34.9 million, or 14.1%, to $282.3 million. Average assets in these portfolios were $152.6 billion during the first half of 2008, up $18.2 billion or 13.5% from the first half of 2007. Net inflows of $11.7 billion from U.S. and international institutional investors and third-party financial intermediaries virtually offset the $11.3 billion negative impact of lower market valuations on asset levels in these portfolios during the 2008 period.</w:t>
      </w:r>
    </w:p>
    <w:p>
      <w:pPr>
        <w:spacing w:after="0" w:line="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Administrative fees increased $9.9 million to $179.7 million. The change in these revenues includes $1.4 million from 12b-1 distribution fees recognized on greater assets under management in the Advisor and R classes of our sponsored mutual fund shares. The balance of the increase is primarily attributable to our mutual fund servicing activities for the mutual funds and their investors.</w:t>
      </w:r>
    </w:p>
    <w:p>
      <w:pPr>
        <w:spacing w:after="0" w:line="73"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Our largest expense, compensation and related costs, increased $44.2 million, or 11.6% versus the first half of 2007. This increase includes $20.1 million in salaries resulting from a 9.3% increase in our average staff count and an increase of our associates’ base salaries at the beginning of the year. The increased compensation costs also include a $9.8 million increase in our interim accrual for annual bonuses. Lastly, the first half 2008 costs also include $14.3 million for higher employee benefits and employment expenses, including an increase of $3.1 million in non-cash stock-based compensation.</w:t>
      </w:r>
    </w:p>
    <w:p>
      <w:pPr>
        <w:spacing w:after="0" w:line="46"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Other operating expenses were up $11.4 million, or 13.8%, including $1.4 million of higher distribution expenses recognized on greater assets under management sourced from financial intermediaries that distribute our Advisor and R classes of mutual fund shares.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Operating activities during the first half of 2008 provided cash flows of $453.2 million, up $31.4 million from the 2007 period, including increased net income of $8.6 million and non-cash depreciation, amortization and stock-based compensation expense of $6.0 million. Increased timing differences in the cash settlements of our assets and liabilities added $16.8 million. Our interim operating cash outflows do not include bonus compensation that is accrued throughout the year before being substantially paid out in December of each year.</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cash used in investing activities totaled $43.2 million, down $98.8 million from the 2007 period. In the first half of 2007, we invested $73.2 million more in our sponsored mutual funds than in the comparable 2008 period.</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Net cash used in financing activities was $513.9 million in the first half of 2008, up $356.3 million from the 2007 period. We increased our expenditures for common stock repurchases by $270.5 million as our stepped-up repurchase efforts have continued from the first quarter of 2007 into 2008. Our cash outflows for dividends paid increased $98.1 million. During the first quarter of 2008, we changed our policy regarding the timing of dividend payments such that our quarterly dividends are now declared and paid in the same quarter. As such, our first half 2008 cash flows includes both the payout of the fourth quarter 2007 and two 2008 quarterly dividends. Additionally, we increased the quarterly dividend payment from $.17 per share made in each of the four 2007 quarters to $.24 per share beginning with the payment made in January 2008.</w:t>
      </w:r>
    </w:p>
    <w:p>
      <w:pPr>
        <w:spacing w:after="0" w:line="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cash and cash equivalents, investments in sponsored mutual funds, and other investments in U.S. Treasury notes total nearly $1.5 billion at June 30, 2008. Given the availability of these balances, we have not had any available external source of liquidity since the second quarter of 2006 when we voluntarily terminated our $300 million bank-syndicated credit facility.</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have lowered our anticipated property and equipment expenditures for the year 2008 to about $150 million, including the build-out of our expanded operating facilities We expect to fund these capital expenditures from our cash balances.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From time to time, information or statements provided by or on behalf of T. Rowe Price, including those within this report, may contain certain forward-looking information, including information or anticipated information relating to changes in our revenues and net income, changes in the amount and composition of our assets under management, our expense levels, our estimated effective income tax rate, and our expectations regarding financial markets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2007.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the financial markets around the world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w:t>
      </w:r>
    </w:p>
    <w:p>
      <w:pPr>
        <w:spacing w:after="0" w:line="6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stock awards, changes in our employee count and mix, and competitive factors; any goodwill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June 30, 2008. Based on that evaluation, our principal executive and principal financial officers have concluded that our disclosure controls and procedures as of June 30, 2008,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5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second quarter of 2008, and has concluded that there was no change during the second quarter of 2008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discussed in our Form 10-Q report for the first quarter of 2008, the purported class action (T.K. Parthasarathy, et al., including Woodbury, v. T. Rowe Price International Funds, Inc., et al.) was resolved and dismissed with prejudice, without a material adverse effect on our financial position or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1A of our Form 10-K Annual Report for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Repurchase activity during the second quarter of 2008 conducted pursuant to the Board of Directors’ authorization of February 15, 2007,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0" w:type="dxa"/>
            <w:vAlign w:val="bottom"/>
            <w:gridSpan w:val="2"/>
          </w:tcPr>
          <w:p>
            <w:pPr>
              <w:jc w:val="center"/>
              <w:ind w:right="600"/>
              <w:spacing w:after="0"/>
              <w:rPr>
                <w:sz w:val="20"/>
                <w:szCs w:val="20"/>
                <w:color w:val="auto"/>
              </w:rPr>
            </w:pPr>
            <w:r>
              <w:rPr>
                <w:rFonts w:ascii="Arial" w:cs="Arial" w:eastAsia="Arial" w:hAnsi="Arial"/>
                <w:sz w:val="14"/>
                <w:szCs w:val="14"/>
                <w:color w:val="auto"/>
                <w:w w:val="95"/>
              </w:rPr>
              <w:t>Total Number of</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Maximum Number</w:t>
            </w:r>
          </w:p>
        </w:tc>
      </w:tr>
      <w:tr>
        <w:trPr>
          <w:trHeight w:val="149"/>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Total Number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1"/>
              </w:rPr>
              <w:t>Average</w:t>
            </w:r>
          </w:p>
        </w:tc>
        <w:tc>
          <w:tcPr>
            <w:tcW w:w="180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6"/>
              </w:rPr>
              <w:t>Shares Purchased as</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of Shares that May</w:t>
            </w:r>
          </w:p>
        </w:tc>
      </w:tr>
      <w:tr>
        <w:trPr>
          <w:trHeight w:val="149"/>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of Shares</w:t>
            </w:r>
          </w:p>
        </w:tc>
        <w:tc>
          <w:tcPr>
            <w:tcW w:w="300" w:type="dxa"/>
            <w:vAlign w:val="bottom"/>
          </w:tcPr>
          <w:p>
            <w:pPr>
              <w:spacing w:after="0"/>
              <w:rPr>
                <w:sz w:val="12"/>
                <w:szCs w:val="12"/>
                <w:color w:val="auto"/>
              </w:rPr>
            </w:pPr>
          </w:p>
        </w:tc>
        <w:tc>
          <w:tcPr>
            <w:tcW w:w="1280" w:type="dxa"/>
            <w:vAlign w:val="bottom"/>
            <w:gridSpan w:val="3"/>
          </w:tcPr>
          <w:p>
            <w:pPr>
              <w:jc w:val="center"/>
              <w:ind w:right="600"/>
              <w:spacing w:after="0" w:line="149" w:lineRule="exact"/>
              <w:rPr>
                <w:sz w:val="20"/>
                <w:szCs w:val="20"/>
                <w:color w:val="auto"/>
              </w:rPr>
            </w:pPr>
            <w:r>
              <w:rPr>
                <w:rFonts w:ascii="Arial" w:cs="Arial" w:eastAsia="Arial" w:hAnsi="Arial"/>
                <w:sz w:val="14"/>
                <w:szCs w:val="14"/>
                <w:color w:val="auto"/>
                <w:w w:val="93"/>
              </w:rPr>
              <w:t>Price Paid</w:t>
            </w:r>
          </w:p>
        </w:tc>
        <w:tc>
          <w:tcPr>
            <w:tcW w:w="180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6"/>
              </w:rPr>
              <w:t>Part of Publicly</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Yet Be Purchased</w:t>
            </w:r>
          </w:p>
        </w:tc>
      </w:tr>
      <w:tr>
        <w:trPr>
          <w:trHeight w:val="167"/>
        </w:trPr>
        <w:tc>
          <w:tcPr>
            <w:tcW w:w="5160" w:type="dxa"/>
            <w:vAlign w:val="bottom"/>
          </w:tcPr>
          <w:p>
            <w:pPr>
              <w:jc w:val="center"/>
              <w:spacing w:after="0"/>
              <w:rPr>
                <w:sz w:val="20"/>
                <w:szCs w:val="20"/>
                <w:color w:val="auto"/>
              </w:rPr>
            </w:pPr>
            <w:r>
              <w:rPr>
                <w:rFonts w:ascii="Arial" w:cs="Arial" w:eastAsia="Arial" w:hAnsi="Arial"/>
                <w:sz w:val="14"/>
                <w:szCs w:val="14"/>
                <w:color w:val="auto"/>
                <w:w w:val="97"/>
              </w:rPr>
              <w:t>Month</w:t>
            </w:r>
          </w:p>
        </w:tc>
        <w:tc>
          <w:tcPr>
            <w:tcW w:w="5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Purchased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1"/>
              </w:rPr>
              <w:t>per Share</w:t>
            </w:r>
          </w:p>
        </w:tc>
        <w:tc>
          <w:tcPr>
            <w:tcW w:w="6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3"/>
              </w:rPr>
              <w:t>Announced Program</w:t>
            </w:r>
          </w:p>
        </w:tc>
        <w:tc>
          <w:tcPr>
            <w:tcW w:w="6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Under the Program</w:t>
            </w:r>
          </w:p>
        </w:tc>
      </w:tr>
      <w:tr>
        <w:trPr>
          <w:trHeight w:val="20"/>
        </w:trPr>
        <w:tc>
          <w:tcPr>
            <w:tcW w:w="5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April</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59.52</w:t>
            </w:r>
          </w:p>
        </w:tc>
        <w:tc>
          <w:tcPr>
            <w:tcW w:w="18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20,200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6,705,465</w:t>
            </w:r>
          </w:p>
        </w:tc>
      </w:tr>
      <w:tr>
        <w:trPr>
          <w:trHeight w:val="216"/>
        </w:trPr>
        <w:tc>
          <w:tcPr>
            <w:tcW w:w="5160" w:type="dxa"/>
            <w:vAlign w:val="bottom"/>
          </w:tcPr>
          <w:p>
            <w:pPr>
              <w:jc w:val="center"/>
              <w:spacing w:after="0"/>
              <w:rPr>
                <w:sz w:val="20"/>
                <w:szCs w:val="20"/>
                <w:color w:val="auto"/>
              </w:rPr>
            </w:pPr>
            <w:r>
              <w:rPr>
                <w:rFonts w:ascii="Arial" w:cs="Arial" w:eastAsia="Arial" w:hAnsi="Arial"/>
                <w:sz w:val="18"/>
                <w:szCs w:val="18"/>
                <w:color w:val="auto"/>
                <w:w w:val="99"/>
              </w:rPr>
              <w:t>May</w:t>
            </w: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320,000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60.67</w:t>
            </w:r>
          </w:p>
        </w:tc>
        <w:tc>
          <w:tcPr>
            <w:tcW w:w="1800" w:type="dxa"/>
            <w:vAlign w:val="bottom"/>
            <w:gridSpan w:val="2"/>
          </w:tcPr>
          <w:p>
            <w:pPr>
              <w:jc w:val="right"/>
              <w:ind w:right="600"/>
              <w:spacing w:after="0"/>
              <w:rPr>
                <w:sz w:val="20"/>
                <w:szCs w:val="20"/>
                <w:color w:val="auto"/>
              </w:rPr>
            </w:pPr>
            <w:r>
              <w:rPr>
                <w:rFonts w:ascii="Arial" w:cs="Arial" w:eastAsia="Arial" w:hAnsi="Arial"/>
                <w:sz w:val="18"/>
                <w:szCs w:val="18"/>
                <w:color w:val="auto"/>
              </w:rPr>
              <w:t>320,000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6,385,465</w:t>
            </w:r>
          </w:p>
        </w:tc>
      </w:tr>
      <w:tr>
        <w:trPr>
          <w:trHeight w:val="216"/>
        </w:trPr>
        <w:tc>
          <w:tcPr>
            <w:tcW w:w="5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932,791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58.85</w:t>
            </w:r>
          </w:p>
        </w:tc>
        <w:tc>
          <w:tcPr>
            <w:tcW w:w="18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932,791</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20,452,674</w:t>
            </w:r>
          </w:p>
        </w:tc>
      </w:tr>
      <w:tr>
        <w:trPr>
          <w:trHeight w:val="223"/>
        </w:trPr>
        <w:tc>
          <w:tcPr>
            <w:tcW w:w="5160" w:type="dxa"/>
            <w:vAlign w:val="bottom"/>
          </w:tcPr>
          <w:p>
            <w:pPr>
              <w:jc w:val="center"/>
              <w:spacing w:after="0"/>
              <w:rPr>
                <w:sz w:val="20"/>
                <w:szCs w:val="20"/>
                <w:color w:val="auto"/>
              </w:rPr>
            </w:pPr>
            <w:r>
              <w:rPr>
                <w:rFonts w:ascii="Arial" w:cs="Arial" w:eastAsia="Arial" w:hAnsi="Arial"/>
                <w:sz w:val="18"/>
                <w:szCs w:val="18"/>
                <w:color w:val="auto"/>
                <w:w w:val="94"/>
              </w:rPr>
              <w:t>Total</w:t>
            </w:r>
          </w:p>
        </w:tc>
        <w:tc>
          <w:tcPr>
            <w:tcW w:w="5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1,272,991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59.32</w:t>
            </w:r>
          </w:p>
        </w:tc>
        <w:tc>
          <w:tcPr>
            <w:tcW w:w="6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1,272,991</w:t>
            </w: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On June 5, 2008, our Board of Directors approved a 15 million share increase in the company’s authorization to repurchase its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annual meeting of our stockholders was held on April 10, 2008. The proxy statement and solicitation pertaining to this meeting were previously filed with the Commission. Shares eligible to vote were 262,591,366 at the record date of February 11, 2008. The nine nominees for the Board of Directors were elected to hold office until the next annual meeting of stockholders and until their respective successors are elected and qualify. The tabulation of votes was: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40" w:type="dxa"/>
            <w:vAlign w:val="bottom"/>
            <w:tcBorders>
              <w:bottom w:val="single" w:sz="8" w:color="auto"/>
            </w:tcBorders>
          </w:tcPr>
          <w:p>
            <w:pPr>
              <w:ind w:left="2700"/>
              <w:spacing w:after="0"/>
              <w:rPr>
                <w:sz w:val="20"/>
                <w:szCs w:val="20"/>
                <w:color w:val="auto"/>
              </w:rPr>
            </w:pPr>
            <w:r>
              <w:rPr>
                <w:rFonts w:ascii="Arial" w:cs="Arial" w:eastAsia="Arial" w:hAnsi="Arial"/>
                <w:sz w:val="14"/>
                <w:szCs w:val="14"/>
                <w:color w:val="auto"/>
              </w:rPr>
              <w:t>Nominee</w:t>
            </w:r>
          </w:p>
        </w:tc>
        <w:tc>
          <w:tcPr>
            <w:tcW w:w="46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For</w:t>
            </w:r>
          </w:p>
        </w:tc>
        <w:tc>
          <w:tcPr>
            <w:tcW w:w="4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Against</w:t>
            </w:r>
          </w:p>
        </w:tc>
        <w:tc>
          <w:tcPr>
            <w:tcW w:w="4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Abstain</w:t>
            </w: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Edward C. Bernard</w:t>
            </w:r>
          </w:p>
        </w:tc>
        <w:tc>
          <w:tcPr>
            <w:tcW w:w="1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230,474,011</w:t>
            </w:r>
          </w:p>
        </w:tc>
        <w:tc>
          <w:tcPr>
            <w:tcW w:w="17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6,537,820</w:t>
            </w:r>
          </w:p>
        </w:tc>
        <w:tc>
          <w:tcPr>
            <w:tcW w:w="17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2,159,365</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James T. Brady</w:t>
            </w:r>
          </w:p>
        </w:tc>
        <w:tc>
          <w:tcPr>
            <w:tcW w:w="194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233,143,311</w:t>
            </w:r>
          </w:p>
        </w:tc>
        <w:tc>
          <w:tcPr>
            <w:tcW w:w="176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3,634,991</w:t>
            </w:r>
          </w:p>
        </w:tc>
        <w:tc>
          <w:tcPr>
            <w:tcW w:w="176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2,392,895</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J. Alfred Broaddus, Jr.</w:t>
            </w:r>
          </w:p>
        </w:tc>
        <w:tc>
          <w:tcPr>
            <w:tcW w:w="1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234,784,839</w:t>
            </w:r>
          </w:p>
        </w:tc>
        <w:tc>
          <w:tcPr>
            <w:tcW w:w="17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2,161,263</w:t>
            </w:r>
          </w:p>
        </w:tc>
        <w:tc>
          <w:tcPr>
            <w:tcW w:w="17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2,225,094</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Donald B. Hebb, Jr.</w:t>
            </w:r>
          </w:p>
        </w:tc>
        <w:tc>
          <w:tcPr>
            <w:tcW w:w="194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228,637,049</w:t>
            </w:r>
          </w:p>
        </w:tc>
        <w:tc>
          <w:tcPr>
            <w:tcW w:w="176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8,239,524</w:t>
            </w:r>
          </w:p>
        </w:tc>
        <w:tc>
          <w:tcPr>
            <w:tcW w:w="176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2,294,622</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James A.C. Kennedy</w:t>
            </w:r>
          </w:p>
        </w:tc>
        <w:tc>
          <w:tcPr>
            <w:tcW w:w="1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230,949,351</w:t>
            </w:r>
          </w:p>
        </w:tc>
        <w:tc>
          <w:tcPr>
            <w:tcW w:w="17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6,096,217</w:t>
            </w:r>
          </w:p>
        </w:tc>
        <w:tc>
          <w:tcPr>
            <w:tcW w:w="17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2,125,628</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Brian C. Rogers</w:t>
            </w:r>
          </w:p>
        </w:tc>
        <w:tc>
          <w:tcPr>
            <w:tcW w:w="194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230,511,769</w:t>
            </w:r>
          </w:p>
        </w:tc>
        <w:tc>
          <w:tcPr>
            <w:tcW w:w="176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6,500,717</w:t>
            </w:r>
          </w:p>
        </w:tc>
        <w:tc>
          <w:tcPr>
            <w:tcW w:w="176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2,158,710</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Dr. Alfred Sommer</w:t>
            </w:r>
          </w:p>
        </w:tc>
        <w:tc>
          <w:tcPr>
            <w:tcW w:w="1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234,711,790</w:t>
            </w:r>
          </w:p>
        </w:tc>
        <w:tc>
          <w:tcPr>
            <w:tcW w:w="17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2,203,057</w:t>
            </w:r>
          </w:p>
        </w:tc>
        <w:tc>
          <w:tcPr>
            <w:tcW w:w="17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2,256,349</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Dwight S. Taylor</w:t>
            </w:r>
          </w:p>
        </w:tc>
        <w:tc>
          <w:tcPr>
            <w:tcW w:w="194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234,813,290</w:t>
            </w:r>
          </w:p>
        </w:tc>
        <w:tc>
          <w:tcPr>
            <w:tcW w:w="176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2,100,445</w:t>
            </w:r>
          </w:p>
        </w:tc>
        <w:tc>
          <w:tcPr>
            <w:tcW w:w="176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2,257,461</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Anne Marie Whittemore</w:t>
            </w:r>
          </w:p>
        </w:tc>
        <w:tc>
          <w:tcPr>
            <w:tcW w:w="1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230,994,308</w:t>
            </w:r>
          </w:p>
        </w:tc>
        <w:tc>
          <w:tcPr>
            <w:tcW w:w="17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5,833,095</w:t>
            </w:r>
          </w:p>
        </w:tc>
        <w:tc>
          <w:tcPr>
            <w:tcW w:w="17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2,343,793</w:t>
            </w: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charter amendment increasing the authorized shares of common stock from 500,000,000 to 750,000,000 was approved by a vote of 227,780,786 for; 9,246,432 against; and 2,143,978 abstentions. The appointment of KPMG LLP as the company’s independent registered public accounting firm for 2008 was ratified by a vote of 233,528,748 for; 3,573,150 against; and 2,069,298 abstentions.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On July 25, 2008, we issued a press release reporting our results of operations for the second quarter and first half of 2008. A copy of that press release is furnished herewith as Exhibit 99. The information in this Item 5 and in Exhibit 99 shall not be deemed filed for purposes of Section 18 of the Securities Exchange Act of 1934, nor shall it be deemed incorporated by reference in any filing under the Securities Act of 1933.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117" w:lineRule="exact"/>
        <w:rPr>
          <w:sz w:val="20"/>
          <w:szCs w:val="20"/>
          <w:color w:val="auto"/>
        </w:rPr>
      </w:pPr>
    </w:p>
    <w:p>
      <w:pPr>
        <w:ind w:left="600" w:right="300" w:hanging="593"/>
        <w:spacing w:after="0" w:line="277" w:lineRule="auto"/>
        <w:tabs>
          <w:tab w:leader="none" w:pos="580" w:val="left"/>
        </w:tabs>
        <w:rPr>
          <w:sz w:val="20"/>
          <w:szCs w:val="20"/>
          <w:color w:val="auto"/>
        </w:rPr>
      </w:pPr>
      <w:r>
        <w:rPr>
          <w:rFonts w:ascii="Arial" w:cs="Arial" w:eastAsia="Arial" w:hAnsi="Arial"/>
          <w:sz w:val="18"/>
          <w:szCs w:val="18"/>
          <w:color w:val="auto"/>
        </w:rPr>
        <w:t>3(i).1</w:t>
        <w:tab/>
        <w:t>Charter of T. Rowe Price Group, Inc., as Amended by Articles of Amendment dated April 10, 2008. (Incorporated by reference from Form 10-Q Report for the quarterly period ended March 31, 2008; Accession No. 0000950133-08-001597.)</w:t>
      </w:r>
    </w:p>
    <w:p>
      <w:pPr>
        <w:spacing w:after="0" w:line="76" w:lineRule="exact"/>
        <w:rPr>
          <w:sz w:val="20"/>
          <w:szCs w:val="20"/>
          <w:color w:val="auto"/>
        </w:rPr>
      </w:pPr>
    </w:p>
    <w:p>
      <w:pPr>
        <w:ind w:left="600" w:right="60" w:hanging="599"/>
        <w:spacing w:after="0" w:line="277" w:lineRule="auto"/>
        <w:tabs>
          <w:tab w:leader="none" w:pos="580" w:val="left"/>
        </w:tabs>
        <w:rPr>
          <w:sz w:val="20"/>
          <w:szCs w:val="20"/>
          <w:color w:val="auto"/>
        </w:rPr>
      </w:pPr>
      <w:r>
        <w:rPr>
          <w:rFonts w:ascii="Arial" w:cs="Arial" w:eastAsia="Arial" w:hAnsi="Arial"/>
          <w:sz w:val="18"/>
          <w:szCs w:val="18"/>
          <w:color w:val="auto"/>
        </w:rPr>
        <w:t>3(ii)</w:t>
        <w:tab/>
        <w:t>Amended and Restated By-Laws of T. Rowe Price Group, Inc. as of December 13, 2007. (Incorporated by reference from Form 8-K Current Report as of December 13, 2007; Accession No. 0000950133-07-005002.)</w:t>
      </w:r>
    </w:p>
    <w:p>
      <w:pPr>
        <w:spacing w:after="0" w:line="76" w:lineRule="exact"/>
        <w:rPr>
          <w:sz w:val="20"/>
          <w:szCs w:val="20"/>
          <w:color w:val="auto"/>
        </w:rPr>
      </w:pPr>
    </w:p>
    <w:p>
      <w:pPr>
        <w:ind w:left="600" w:hanging="593"/>
        <w:spacing w:after="0" w:line="277" w:lineRule="auto"/>
        <w:tabs>
          <w:tab w:leader="none" w:pos="580" w:val="left"/>
        </w:tabs>
        <w:rPr>
          <w:sz w:val="20"/>
          <w:szCs w:val="20"/>
          <w:color w:val="auto"/>
        </w:rPr>
      </w:pPr>
      <w:r>
        <w:rPr>
          <w:rFonts w:ascii="Arial" w:cs="Arial" w:eastAsia="Arial" w:hAnsi="Arial"/>
          <w:sz w:val="18"/>
          <w:szCs w:val="18"/>
          <w:color w:val="auto"/>
        </w:rPr>
        <w:t>10.03</w:t>
        <w:tab/>
        <w:t>Transfer Agency and Service Agreement as of January 1, 2008, between T. Rowe Price Services, Inc. and the T. Rowe Price Funds. (Incorporated by reference from Form 485BPOS; Accession No. 0000871839-08-000081.)</w:t>
      </w:r>
    </w:p>
    <w:p>
      <w:pPr>
        <w:spacing w:after="0" w:line="76" w:lineRule="exact"/>
        <w:rPr>
          <w:sz w:val="20"/>
          <w:szCs w:val="20"/>
          <w:color w:val="auto"/>
        </w:rPr>
      </w:pPr>
    </w:p>
    <w:p>
      <w:pPr>
        <w:ind w:left="600" w:right="200" w:hanging="593"/>
        <w:spacing w:after="0" w:line="277" w:lineRule="auto"/>
        <w:tabs>
          <w:tab w:leader="none" w:pos="580" w:val="left"/>
        </w:tabs>
        <w:rPr>
          <w:sz w:val="20"/>
          <w:szCs w:val="20"/>
          <w:color w:val="auto"/>
        </w:rPr>
      </w:pPr>
      <w:r>
        <w:rPr>
          <w:rFonts w:ascii="Arial" w:cs="Arial" w:eastAsia="Arial" w:hAnsi="Arial"/>
          <w:sz w:val="18"/>
          <w:szCs w:val="18"/>
          <w:color w:val="auto"/>
        </w:rPr>
        <w:t>10.04</w:t>
        <w:tab/>
        <w:t>Agreement as of January 1, 2008, between T. Rowe Price Retirement Plan Services, Inc. and certain of the T. Rowe Price Funds. (Incorporated by reference from Form 485BPOS; Accession No. 0000871839-08-000081.)</w:t>
      </w:r>
    </w:p>
    <w:p>
      <w:pPr>
        <w:spacing w:after="0" w:line="76" w:lineRule="exact"/>
        <w:rPr>
          <w:sz w:val="20"/>
          <w:szCs w:val="20"/>
          <w:color w:val="auto"/>
        </w:rPr>
      </w:pPr>
    </w:p>
    <w:p>
      <w:pPr>
        <w:ind w:right="2420" w:firstLine="8"/>
        <w:spacing w:after="0" w:line="391" w:lineRule="auto"/>
        <w:tabs>
          <w:tab w:leader="none" w:pos="594" w:val="left"/>
        </w:tabs>
        <w:numPr>
          <w:ilvl w:val="0"/>
          <w:numId w:val="2"/>
        </w:numPr>
        <w:rPr>
          <w:rFonts w:ascii="Arial" w:cs="Arial" w:eastAsia="Arial" w:hAnsi="Arial"/>
          <w:sz w:val="18"/>
          <w:szCs w:val="18"/>
          <w:color w:val="auto"/>
        </w:rPr>
      </w:pPr>
      <w:r>
        <w:rPr>
          <w:rFonts w:ascii="Arial" w:cs="Arial" w:eastAsia="Arial" w:hAnsi="Arial"/>
          <w:sz w:val="18"/>
          <w:szCs w:val="18"/>
          <w:color w:val="auto"/>
        </w:rPr>
        <w:t>Letter from KPMG LLP, independent registered public accounting firm, re unaudited interim financial information. 31(i).1 Rule 13a-14(a) Certification of Principal Executive Officer.</w:t>
      </w:r>
    </w:p>
    <w:p>
      <w:pPr>
        <w:spacing w:after="0"/>
        <w:rPr>
          <w:rFonts w:ascii="Arial" w:cs="Arial" w:eastAsia="Arial" w:hAnsi="Arial"/>
          <w:sz w:val="18"/>
          <w:szCs w:val="18"/>
          <w:color w:val="auto"/>
        </w:rPr>
      </w:pPr>
      <w:r>
        <w:rPr>
          <w:rFonts w:ascii="Arial" w:cs="Arial" w:eastAsia="Arial" w:hAnsi="Arial"/>
          <w:sz w:val="18"/>
          <w:szCs w:val="18"/>
          <w:color w:val="auto"/>
        </w:rPr>
        <w:t>31(i).2 Rule 13a-14(a) Certification of Principal Financial Officer.</w:t>
      </w:r>
    </w:p>
    <w:p>
      <w:pPr>
        <w:spacing w:after="0" w:line="130" w:lineRule="exact"/>
        <w:rPr>
          <w:rFonts w:ascii="Arial" w:cs="Arial" w:eastAsia="Arial" w:hAnsi="Arial"/>
          <w:sz w:val="18"/>
          <w:szCs w:val="18"/>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30" w:lineRule="exact"/>
        <w:rPr>
          <w:rFonts w:ascii="Arial" w:cs="Arial" w:eastAsia="Arial" w:hAnsi="Arial"/>
          <w:sz w:val="18"/>
          <w:szCs w:val="18"/>
          <w:color w:val="auto"/>
        </w:rPr>
      </w:pPr>
    </w:p>
    <w:p>
      <w:pPr>
        <w:ind w:left="600" w:hanging="59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Press release issued July 25, 2008, reporting our results of operations for the second quarter and first half of 2008.</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25,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V. Moreland</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Vice President and Chief Financial Officer</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320"/>
          </w:cols>
          <w:pgMar w:left="240" w:top="93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Exhibit 15 Letter from KPMG LLP, independent registered public accounting firm, re unaudited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 Registration Statements on Form S-8: No. 33-7012, No. 33-72568, No. 33-58749, No. 333-20333, No. 333-90967, No. 333-59714, No. 333-120882, No. 333-120883 and No. 333-142092</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July 24, 2008 related to our review of interim financial information.</w:t>
      </w:r>
    </w:p>
    <w:p>
      <w:pPr>
        <w:spacing w:after="0" w:line="6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2008</w:t>
      </w:r>
    </w:p>
    <w:p>
      <w:pPr>
        <w:sectPr>
          <w:pgSz w:w="11900" w:h="16838" w:orient="portrait"/>
          <w:cols w:equalWidth="0" w:num="1">
            <w:col w:w="11380"/>
          </w:cols>
          <w:pgMar w:left="240" w:top="121"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Exhibit 31(i).1 Rule 13a-14(a) Certification of Principal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1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2008, of T. Rowe Price Group, Inc.;</w:t>
      </w:r>
    </w:p>
    <w:p>
      <w:pPr>
        <w:spacing w:after="0" w:line="130"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20" w:hanging="252"/>
        <w:spacing w:after="0" w:line="264"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20" w:firstLine="221"/>
        <w:spacing w:after="0" w:line="264" w:lineRule="auto"/>
        <w:tabs>
          <w:tab w:leader="none" w:pos="71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40" w:firstLine="221"/>
        <w:spacing w:after="0" w:line="264"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firstLine="221"/>
        <w:spacing w:after="0" w:line="277" w:lineRule="auto"/>
        <w:tabs>
          <w:tab w:leader="none" w:pos="71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40" w:firstLine="221"/>
        <w:spacing w:after="0" w:line="308" w:lineRule="auto"/>
        <w:tabs>
          <w:tab w:leader="none" w:pos="720" w:val="left"/>
        </w:tabs>
        <w:numPr>
          <w:ilvl w:val="1"/>
          <w:numId w:val="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60" w:hanging="252"/>
        <w:spacing w:after="0" w:line="308" w:lineRule="auto"/>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380" w:firstLine="221"/>
        <w:spacing w:after="0" w:line="277" w:lineRule="auto"/>
        <w:tabs>
          <w:tab w:leader="none" w:pos="71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40" w:firstLine="221"/>
        <w:spacing w:after="0" w:line="277"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24, 2008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Exhibit 31(i).2 Rule 13a-14(a) Certification of 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17"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2008, of T. Rowe Price Group, Inc.;</w:t>
      </w:r>
    </w:p>
    <w:p>
      <w:pPr>
        <w:spacing w:after="0" w:line="130"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20" w:hanging="252"/>
        <w:spacing w:after="0" w:line="264"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20" w:firstLine="221"/>
        <w:spacing w:after="0" w:line="264" w:lineRule="auto"/>
        <w:tabs>
          <w:tab w:leader="none" w:pos="71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40" w:firstLine="221"/>
        <w:spacing w:after="0" w:line="264" w:lineRule="auto"/>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firstLine="221"/>
        <w:spacing w:after="0" w:line="277" w:lineRule="auto"/>
        <w:tabs>
          <w:tab w:leader="none" w:pos="71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40" w:firstLine="221"/>
        <w:spacing w:after="0" w:line="308" w:lineRule="auto"/>
        <w:tabs>
          <w:tab w:leader="none" w:pos="720" w:val="left"/>
        </w:tabs>
        <w:numPr>
          <w:ilvl w:val="1"/>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60" w:hanging="252"/>
        <w:spacing w:after="0" w:line="308" w:lineRule="auto"/>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380" w:firstLine="221"/>
        <w:spacing w:after="0" w:line="277" w:lineRule="auto"/>
        <w:tabs>
          <w:tab w:leader="none" w:pos="71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40" w:firstLine="221"/>
        <w:spacing w:after="0" w:line="277" w:lineRule="auto"/>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24, 2008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8" w:name="page19"/>
    <w:bookmarkEnd w:id="18"/>
    <w:p>
      <w:pPr>
        <w:spacing w:after="0"/>
        <w:tabs>
          <w:tab w:leader="none" w:pos="9340" w:val="left"/>
        </w:tabs>
        <w:rPr>
          <w:sz w:val="20"/>
          <w:szCs w:val="20"/>
          <w:color w:val="auto"/>
        </w:rPr>
      </w:pPr>
      <w:r>
        <w:rPr>
          <w:rFonts w:ascii="Arial" w:cs="Arial" w:eastAsia="Arial" w:hAnsi="Arial"/>
          <w:sz w:val="18"/>
          <w:szCs w:val="18"/>
          <w:b w:val="1"/>
          <w:bCs w:val="1"/>
          <w:color w:val="auto"/>
        </w:rPr>
        <w:t>Exhibit 32</w:t>
      </w:r>
      <w:r>
        <w:rPr>
          <w:sz w:val="20"/>
          <w:szCs w:val="20"/>
          <w:color w:val="auto"/>
        </w:rPr>
        <w:tab/>
      </w:r>
      <w:r>
        <w:rPr>
          <w:rFonts w:ascii="Arial" w:cs="Arial" w:eastAsia="Arial" w:hAnsi="Arial"/>
          <w:sz w:val="16"/>
          <w:szCs w:val="16"/>
          <w:b w:val="1"/>
          <w:bCs w:val="1"/>
          <w:color w:val="auto"/>
        </w:rPr>
        <w:t>Section 1350 Certifications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June 30, 2008, of T. Rowe Price Group, Inc., that:</w:t>
      </w:r>
    </w:p>
    <w:p>
      <w:pPr>
        <w:spacing w:after="0" w:line="6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80" w:firstLine="8"/>
        <w:spacing w:after="0" w:line="277" w:lineRule="auto"/>
        <w:tabs>
          <w:tab w:leader="none" w:pos="2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24, 2008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1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 xml:space="preserve">Exhibit </w:t>
      </w:r>
      <w:r>
        <w:rPr>
          <w:rFonts w:ascii="Arial" w:cs="Arial" w:eastAsia="Arial" w:hAnsi="Arial"/>
          <w:sz w:val="18"/>
          <w:szCs w:val="18"/>
          <w:b w:val="1"/>
          <w:bCs w:val="1"/>
          <w:u w:val="single" w:color="auto"/>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174740" cy="7543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474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ROWE PRICE GROUP REPORTS SECOND QUARTER 2008 RESULTS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BALTIMORE (July 25, 2008) – T. Rowe Price Group, Inc. (NASDAQ-GS: TROW) today reported its second quarter 2008 results, including net revenues of nearly $587 million, net income of $162 million, and diluted earnings per share of $.60, an increase of 3% from $.58 per share in the comparable 2007 quarter. Net revenues were $551 million in the second quarter of 2007 when net income was also $162 million. Weighted average shares outstanding have decreased from the 2007 period due to the ongoing common share repurchase program. Over the twelve month period ended June 30, 2008, the firm has repurchased more than 4%, or 11.2 million, of its outstanding common shares.</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Investment advisory revenues were up almost 7%, or $31.2 million, from the comparable 2007 quarter. Assets under management increased 2.4% from March 31, 2008, to $387.7 billion at June 30, including $233.3 billion in the T. Rowe Price mutual funds distributed in the United States and $154.4 billion in other managed investment portfolios. Net cash inflows from investors in the second quarter of 2008 totaled $8.1 billion. Changes in market valuations and portfolio income in the 2008 quarter added $1.0 billion to assets under management.</w:t>
      </w:r>
    </w:p>
    <w:p>
      <w:pPr>
        <w:spacing w:after="0" w:line="7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Results for the first half of 2008 include net revenues of more than $1.1 billion, net income of nearly $314 million, and diluted earnings per share of $1.15 – an increase of 5.5% from $1.09 per share in the 2007 period. Assets under management are down 3.1% from the beginning of 2008 as cash inflows from investors of $17.8 billion have been more than offset by market valuation declines of $30.1 billion during the period.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Investment advisory revenues earned from the T. Rowe Price mutual funds distributed in the United States increased 4.0%, or $13.6 million, to $349.5 million in the second quarter of 2008. Average mutual fund assets were $242.6 billion in the 2008 quarter, an increase of 4.6% from the average for the comparable 2007 quarter. Mutual fund assets at June 30, 2008 were up $2.8 billion or 1.2% from the end of March 2008, but down 5.2% from the beginning of the year. Net inflows to the mutual funds were $2.4 billion during the second quarter of 2008. International and global stock funds had net inflows of $1.2 billion, the U.S. stock funds added $.7 billion, and the bond and money funds added $.5 billion. The Emerging Markets Stock Fund attracted $.6 billion of net inflows during the second quarter of 2008. Income and changes in market valuations in the mutual funds increased fund assets under management by $.4 billion during the 2008 quarter.</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target-date retirement investment portfolios, which provide investors with single, diversified portfolios that invest in specific underlying investment portfolios and automatically adjust asset allocations as investors age, continue to be a significant source of assets under management. During the 2008 quarter, net inflows of $2.3 billion originated in target-date retirement portfolios, including net inflows of $1.1 billion into the target-date funds after taking into account that $1.2 billion was moved in June from the funds to target-date investments included in other managed portfolios. Assets in target-date investment portfolios have grown from $30.7 billion at March 31, 2008, to $32.9 billion at the end of June, and now account for 8.5% of the firm’s assets under management and 13.6% of its mutual fund assets.</w:t>
      </w:r>
    </w:p>
    <w:p>
      <w:pPr>
        <w:spacing w:after="0" w:line="8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Investment advisory revenues earned from other managed investment portfolios, consisting of institutional separate accounts, sub-advised funds, sponsored investment funds which are offered to investors outside the U.S., and variable annuity insurance portfolios, were $145.8 million in the 2008 quarter, an increase of $17.6 million from the comparable period last year. These portfolio assets were up $6.3 billion or 4.3% from the end of March 2008. Net inflows for the 2008 quarter were $5.7 billion from U.S. and international institutional investors and third-party financial intermediaries, including the $1.2 billion from the target-date Retirement Funds. Income earned in these portfolios and changes in market valuations increased assets under management by $.6 billion during the 2008 quarter. Investors outside the United States now account for more than 10% of assets under management.</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expenses were $328 million in the second quarter of 2008, up $28 million from the 2007 quarter. The largest expense, compensation and related costs, increased $21 million, or nearly 11%, over the comparable 2007 quarter, primarily due to increased staff size, higher salaries, and the accrual for annual bonus expense. The firm has increased its staff to handle increased volume-related activities and other business opportunities, and at June 30, 2008, employed 5,308 associates.</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Advertising and promotion expenditures vary period-to-period in response to investor interest and in the second quarter were down $1.7 million from the 2007 quarter. Investor sentiment in this uncertain market environment has caused the firm to reduce its planned spending on advertising and promotion over the balance of 2008. Spending in the third and fourth quarters of 2008 is now expected to be comparable to the second and first quarters of 2008, respectively. The firm varies its level of spending based on market conditions and investor demand as well as its efforts to expand the investor base in the United States and abroad.</w:t>
      </w:r>
    </w:p>
    <w:p>
      <w:pPr>
        <w:spacing w:after="0" w:line="8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provision for income taxes as a percentage of pretax income for the first six months of 2008 is 38.6%. The second quarter and six-month provisions include $2.5 million for prior years’ estimated interest and taxes. The firm’s estimated effective tax rate for the full-year 2008 has been increased from 38.2% to 38.5% to reflect these charges.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Management Commentary</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James A.C. Kennedy, the company’s Chief Executive Officer and President, commented: “The firm’s investment advisory results relative to our peers remain strong, with at least 76% of the T. Rowe Price funds across their share classes surpassing their comparable Lipper averages on a total return basis for the three-, five-, and 10-year periods ended June 30, 2008, and 57% outperforming for the one-year period. In addition, 81 of the T. Rowe Price stock, bond and blended asset funds across their share classes, which account for more than 62% of our rated funds’ assets under management, ended the quarter with an overall rating of four or five stars from Morningstar. These four- and five-star-rated investments represent 57.0% of our rated funds and share classes, compared with 32.5% for the overall industry.</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second quarter performance was achieved during a tough market environment in which major U.S. stock indexes experienced marked volatility. Investor sentiment deteriorated amid sluggish economic growth, rising food and commodity prices, and the continuing fallout from the housing downturn and credit crunch. While the start of the third quarter saw further financial market declines, by mid-July lower oil prices and improving investor sentiment had produced some rebound in equity valuations.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“Looking ahead, the credit crisis, deleveraging financial institutions, and inflationary pressures continue to be a brake on the economic recovery. However, for the long-term, market turbulence such as we’ve seen this year often creates attractive buying opportunities.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spite of a very unsettled financial environment, we remain encouraged by our solid investment management results and the pace of net cash inflows across our distribution channels. Our strong capital position gives us the financial flexibility to weather turbulent markets and the ability to continue to invest for the future.</w:t>
      </w:r>
    </w:p>
    <w:p>
      <w:pPr>
        <w:spacing w:after="0" w:line="7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“Our expected capital expenditures for 2008 will be comparable to 2007 spending at approximately $150 million. We have expended $425 million so far this year to repurchase 8.2 million of our common shares, compared to share repurchases totaling $320 million for all of 2007. These expenditures are being funded from our available cash positions. We remain debt-free with substantial liquidity, including cash and investment holdings of $1.5 billion.”</w:t>
      </w:r>
    </w:p>
    <w:p>
      <w:pPr>
        <w:spacing w:after="0" w:line="3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closing, Mr. Kennedy said: “We are proud of our associates for staying focused on our clients during these turbulent times. We believe our globally diversified investment and distribution expertise, and our long-term investment perspective serve our clients and fund shareholders quite well. The outlook for T. Rowe Price remains very strong.”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financial results presented in this release are unaudited. The company expects that it will file its Form 10-Q Quarterly Report for the second quarter of 2008 with the U.S. Securities and Exchange Commission later today. The Form 10-Q will include more information on the company’s unaudited financial results.</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statements in this press release may represent “forward-looking information,” including information relating to anticipated growth in revenues, net income and earnings per share, anticipated changes in the amount and composition of assets under management, anticipated expense levels, estimated tax rates, and expectations regarding financial and other market conditions. For a discussion concerning risks and other factors that could affect future results, see the company’s Form 10-K and Form 10-Q reports.</w:t>
      </w:r>
    </w:p>
    <w:p>
      <w:pPr>
        <w:spacing w:after="0" w:line="7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Founded in 1937, Baltimore-based T. Rowe Price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 More information is available at </w:t>
      </w:r>
      <w:r>
        <w:rPr>
          <w:rFonts w:ascii="Arial" w:cs="Arial" w:eastAsia="Arial" w:hAnsi="Arial"/>
          <w:sz w:val="17"/>
          <w:szCs w:val="17"/>
          <w:u w:val="single" w:color="auto"/>
          <w:color w:val="auto"/>
        </w:rPr>
        <w:t>www.troweprice.com</w:t>
      </w:r>
      <w:r>
        <w:rPr>
          <w:rFonts w:ascii="Arial" w:cs="Arial" w:eastAsia="Arial" w:hAnsi="Arial"/>
          <w:sz w:val="17"/>
          <w:szCs w:val="17"/>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1" w:name="page22"/>
    <w:bookmarkEnd w:id="21"/>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3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6/30/2007</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6/30/2008</w:t>
            </w:r>
          </w:p>
        </w:tc>
        <w:tc>
          <w:tcPr>
            <w:tcW w:w="6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6/30/2007</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7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464.1</w:t>
            </w: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495.3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889.1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587.7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1,061.9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586.5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1,059.5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1,145.6</w:t>
            </w:r>
          </w:p>
        </w:tc>
        <w:tc>
          <w:tcPr>
            <w:tcW w:w="0" w:type="dxa"/>
            <w:vAlign w:val="bottom"/>
          </w:tcPr>
          <w:p>
            <w:pPr>
              <w:spacing w:after="0"/>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197.0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218.0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381.2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21.9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22.7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327.9</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258.6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non-operating investment income</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266.4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100.6</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104.2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188.4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162.2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5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7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259.6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272.4</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80" w:type="dxa"/>
            <w:vAlign w:val="bottom"/>
            <w:vMerge w:val="restart"/>
          </w:tcPr>
          <w:p>
            <w:pPr>
              <w:jc w:val="right"/>
              <w:ind w:right="590"/>
              <w:spacing w:after="0"/>
              <w:rPr>
                <w:sz w:val="20"/>
                <w:szCs w:val="20"/>
                <w:color w:val="auto"/>
              </w:rPr>
            </w:pPr>
            <w:r>
              <w:rPr>
                <w:rFonts w:ascii="Arial" w:cs="Arial" w:eastAsia="Arial" w:hAnsi="Arial"/>
                <w:sz w:val="18"/>
                <w:szCs w:val="18"/>
                <w:color w:val="auto"/>
              </w:rPr>
              <w:t>- 3 -</w:t>
            </w: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Six months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9"/>
              </w:rPr>
              <w:t>6/30/2007</w:t>
            </w:r>
          </w:p>
        </w:tc>
        <w:tc>
          <w:tcPr>
            <w:tcW w:w="340" w:type="dxa"/>
            <w:vAlign w:val="bottom"/>
          </w:tcPr>
          <w:p>
            <w:pPr>
              <w:spacing w:after="0"/>
              <w:rPr>
                <w:sz w:val="12"/>
                <w:szCs w:val="12"/>
                <w:color w:val="auto"/>
              </w:rPr>
            </w:pPr>
          </w:p>
        </w:tc>
        <w:tc>
          <w:tcPr>
            <w:tcW w:w="10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6/30/2008</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6/30/2007</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Advisory Revenues (in millions)</w:t>
            </w:r>
          </w:p>
        </w:tc>
        <w:tc>
          <w:tcPr>
            <w:tcW w:w="1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14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290.6</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296.8</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553.7</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45.3</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52.7</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88.0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349.5</w:t>
            </w: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portfolios</w:t>
            </w:r>
          </w:p>
        </w:tc>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145.8</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advisory fees</w:t>
            </w:r>
          </w:p>
        </w:tc>
        <w:tc>
          <w:tcPr>
            <w:tcW w:w="14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464.1</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495.3</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889.1</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965.4</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Assets Under Management (in billions)</w:t>
            </w: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191.1</w:t>
            </w: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194.4</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182.9</w:t>
            </w:r>
          </w:p>
        </w:tc>
        <w:tc>
          <w:tcPr>
            <w:tcW w:w="340" w:type="dxa"/>
            <w:vAlign w:val="bottom"/>
          </w:tcPr>
          <w:p>
            <w:pPr>
              <w:spacing w:after="0"/>
              <w:rPr>
                <w:sz w:val="18"/>
                <w:szCs w:val="18"/>
                <w:color w:val="auto"/>
              </w:rPr>
            </w:pPr>
          </w:p>
        </w:tc>
        <w:tc>
          <w:tcPr>
            <w:tcW w:w="5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48.2</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242.6</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157.4</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400.0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ind w:left="340"/>
              <w:spacing w:after="0"/>
              <w:rPr>
                <w:sz w:val="20"/>
                <w:szCs w:val="20"/>
                <w:color w:val="auto"/>
              </w:rPr>
            </w:pPr>
            <w:r>
              <w:rPr>
                <w:rFonts w:ascii="Arial" w:cs="Arial" w:eastAsia="Arial" w:hAnsi="Arial"/>
                <w:sz w:val="14"/>
                <w:szCs w:val="14"/>
                <w:color w:val="auto"/>
                <w:w w:val="94"/>
              </w:rPr>
              <w:t>12/31/2007</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6/30/2008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Under Management (in billions)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200.6</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45.4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portfolios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321.6</w:t>
            </w:r>
          </w:p>
        </w:tc>
        <w:tc>
          <w:tcPr>
            <w:tcW w:w="340" w:type="dxa"/>
            <w:vAlign w:val="bottom"/>
          </w:tcPr>
          <w:p>
            <w:pPr>
              <w:spacing w:after="0"/>
              <w:rPr>
                <w:sz w:val="24"/>
                <w:szCs w:val="24"/>
                <w:color w:val="auto"/>
              </w:rPr>
            </w:pPr>
          </w:p>
        </w:tc>
        <w:tc>
          <w:tcPr>
            <w:tcW w:w="5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78.4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Six months ended</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3"/>
              </w:rPr>
              <w:t>6/30/2007</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Condensed Consolidated Cash Flows Information (in millions)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provided by operating activities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421.8</w:t>
            </w:r>
          </w:p>
        </w:tc>
        <w:tc>
          <w:tcPr>
            <w:tcW w:w="340" w:type="dxa"/>
            <w:vAlign w:val="bottom"/>
          </w:tcPr>
          <w:p>
            <w:pPr>
              <w:spacing w:after="0"/>
              <w:rPr>
                <w:sz w:val="18"/>
                <w:szCs w:val="18"/>
                <w:color w:val="auto"/>
              </w:rPr>
            </w:pPr>
          </w:p>
        </w:tc>
        <w:tc>
          <w:tcPr>
            <w:tcW w:w="5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Cash used in investing activities, including ($53.5) for additions to property and equipment in 2008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(142.0)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gridSpan w:val="9"/>
          </w:tcPr>
          <w:p>
            <w:pPr>
              <w:spacing w:after="0" w:line="201" w:lineRule="exact"/>
              <w:rPr>
                <w:sz w:val="20"/>
                <w:szCs w:val="20"/>
                <w:color w:val="auto"/>
              </w:rPr>
            </w:pPr>
            <w:r>
              <w:rPr>
                <w:rFonts w:ascii="Arial" w:cs="Arial" w:eastAsia="Arial" w:hAnsi="Arial"/>
                <w:sz w:val="18"/>
                <w:szCs w:val="18"/>
                <w:color w:val="auto"/>
                <w:w w:val="96"/>
              </w:rPr>
              <w:t>Cash used in financing activities, including common stock repurchases of ($369.7) and dividends paid of ($188.4) in</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2008</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(157.6)</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(513.9)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during the period</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122.2</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ind w:left="340"/>
              <w:spacing w:after="0"/>
              <w:rPr>
                <w:sz w:val="20"/>
                <w:szCs w:val="20"/>
                <w:color w:val="auto"/>
              </w:rPr>
            </w:pPr>
            <w:r>
              <w:rPr>
                <w:rFonts w:ascii="Arial" w:cs="Arial" w:eastAsia="Arial" w:hAnsi="Arial"/>
                <w:sz w:val="14"/>
                <w:szCs w:val="14"/>
                <w:color w:val="auto"/>
                <w:w w:val="94"/>
              </w:rPr>
              <w:t>12/31/2007</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6/30/2008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Condensed Consolidated Balance Sheet Information (in millions)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785.1</w:t>
            </w:r>
          </w:p>
        </w:tc>
        <w:tc>
          <w:tcPr>
            <w:tcW w:w="340" w:type="dxa"/>
            <w:vAlign w:val="bottom"/>
          </w:tcPr>
          <w:p>
            <w:pPr>
              <w:spacing w:after="0"/>
              <w:rPr>
                <w:sz w:val="18"/>
                <w:szCs w:val="18"/>
                <w:color w:val="auto"/>
              </w:rPr>
            </w:pPr>
          </w:p>
        </w:tc>
        <w:tc>
          <w:tcPr>
            <w:tcW w:w="5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358.3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Accounts receivable and other assets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3,177.3</w:t>
            </w:r>
          </w:p>
        </w:tc>
        <w:tc>
          <w:tcPr>
            <w:tcW w:w="3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liabilities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400.2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gridSpan w:val="9"/>
            <w:shd w:val="clear" w:color="auto" w:fill="CCEEFF"/>
          </w:tcPr>
          <w:p>
            <w:pPr>
              <w:spacing w:after="0" w:line="201" w:lineRule="exact"/>
              <w:rPr>
                <w:sz w:val="20"/>
                <w:szCs w:val="20"/>
                <w:color w:val="auto"/>
              </w:rPr>
            </w:pPr>
            <w:r>
              <w:rPr>
                <w:rFonts w:ascii="Arial" w:cs="Arial" w:eastAsia="Arial" w:hAnsi="Arial"/>
                <w:sz w:val="18"/>
                <w:szCs w:val="18"/>
                <w:color w:val="auto"/>
                <w:w w:val="97"/>
              </w:rPr>
              <w:t>Stockholders’ equity, 259.7 common shares outstanding in 2008, including net unrealized holding gains of $64.5 in</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w:t>
            </w: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$ 2,777.1</w:t>
            </w:r>
          </w:p>
        </w:tc>
        <w:tc>
          <w:tcPr>
            <w:tcW w:w="34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$ 2,652.2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vMerge w:val="restart"/>
          </w:tcPr>
          <w:p>
            <w:pPr>
              <w:jc w:val="right"/>
              <w:ind w:right="590"/>
              <w:spacing w:after="0"/>
              <w:rPr>
                <w:sz w:val="20"/>
                <w:szCs w:val="20"/>
                <w:color w:val="auto"/>
              </w:rPr>
            </w:pPr>
            <w:r>
              <w:rPr>
                <w:rFonts w:ascii="Arial" w:cs="Arial" w:eastAsia="Arial" w:hAnsi="Arial"/>
                <w:sz w:val="18"/>
                <w:szCs w:val="18"/>
                <w:color w:val="auto"/>
              </w:rPr>
              <w:t>- 4 -</w:t>
            </w: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3"/>
    </w:lvl>
  </w:abstractNum>
  <w:abstractNum w:abstractNumId="1">
    <w:nsid w:val="238E1F29"/>
    <w:multiLevelType w:val="hybridMultilevel"/>
    <w:lvl w:ilvl="0">
      <w:lvlJc w:val="left"/>
      <w:lvlText w:val="%1"/>
      <w:numFmt w:val="decimal"/>
      <w:start w:val="15"/>
    </w:lvl>
  </w:abstractNum>
  <w:abstractNum w:abstractNumId="2">
    <w:nsid w:val="46E87CCD"/>
    <w:multiLevelType w:val="hybridMultilevel"/>
    <w:lvl w:ilvl="0">
      <w:lvlJc w:val="left"/>
      <w:lvlText w:val="%1"/>
      <w:numFmt w:val="decimal"/>
      <w:start w:val="32"/>
    </w:lvl>
  </w:abstractNum>
  <w:abstractNum w:abstractNumId="3">
    <w:nsid w:val="3D1B58BA"/>
    <w:multiLevelType w:val="hybridMultilevel"/>
    <w:lvl w:ilvl="0">
      <w:lvlJc w:val="left"/>
      <w:lvlText w:val="%1"/>
      <w:numFmt w:val="decimal"/>
      <w:start w:val="99"/>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2019-12-11T15:39:57Z</dcterms:created>
  <dcterms:modified xsi:type="dcterms:W3CDTF">2019-12-11T15:39:57Z</dcterms:modified>
</cp:coreProperties>
</file>