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82" w:lineRule="exact"/>
        <w:rPr>
          <w:sz w:val="24"/>
          <w:szCs w:val="24"/>
          <w:color w:val="auto"/>
        </w:rPr>
      </w:pPr>
    </w:p>
    <w:p>
      <w:pPr>
        <w:jc w:val="center"/>
        <w:ind w:left="120" w:right="60"/>
        <w:spacing w:after="0" w:line="282" w:lineRule="auto"/>
        <w:rPr>
          <w:sz w:val="20"/>
          <w:szCs w:val="20"/>
          <w:color w:val="auto"/>
        </w:rPr>
      </w:pPr>
      <w:r>
        <w:rPr>
          <w:rFonts w:ascii="Arial" w:cs="Arial" w:eastAsia="Arial" w:hAnsi="Arial"/>
          <w:sz w:val="25"/>
          <w:szCs w:val="25"/>
          <w:b w:val="1"/>
          <w:bCs w:val="1"/>
          <w:color w:val="auto"/>
        </w:rPr>
        <w:t>QUARTERLY REPORT PURSUANT TO SECTION 13 OF THE SECURITIES EXCHANGE ACT OF 1934</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000-32191</w:t>
      </w:r>
    </w:p>
    <w:p>
      <w:pPr>
        <w:spacing w:after="0" w:line="8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 ROWE PRICE GROUP,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ectPr>
          <w:pgSz w:w="11900" w:h="16838" w:orient="portrait"/>
          <w:cols w:equalWidth="0" w:num="1">
            <w:col w:w="11360"/>
          </w:cols>
          <w:pgMar w:left="240" w:top="1017" w:right="299" w:bottom="1440" w:gutter="0" w:footer="0" w:header="0"/>
        </w:sectPr>
      </w:pPr>
    </w:p>
    <w:p>
      <w:pPr>
        <w:spacing w:after="0" w:line="167" w:lineRule="exact"/>
        <w:rPr>
          <w:sz w:val="24"/>
          <w:szCs w:val="24"/>
          <w:color w:val="auto"/>
        </w:rPr>
      </w:pPr>
    </w:p>
    <w:p>
      <w:pPr>
        <w:ind w:left="236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52-2264646</w:t>
      </w:r>
    </w:p>
    <w:p>
      <w:pPr>
        <w:spacing w:after="0" w:line="81" w:lineRule="exact"/>
        <w:rPr>
          <w:sz w:val="24"/>
          <w:szCs w:val="24"/>
          <w:color w:val="auto"/>
        </w:rPr>
      </w:pPr>
    </w:p>
    <w:p>
      <w:pPr>
        <w:sectPr>
          <w:pgSz w:w="11900" w:h="16838" w:orient="portrait"/>
          <w:cols w:equalWidth="0" w:num="2">
            <w:col w:w="7460" w:space="720"/>
            <w:col w:w="3180"/>
          </w:cols>
          <w:pgMar w:left="240" w:top="1017" w:right="299" w:bottom="1440" w:gutter="0" w:footer="0" w:header="0"/>
          <w:type w:val="continuous"/>
        </w:sectPr>
      </w:pPr>
    </w:p>
    <w:p>
      <w:pPr>
        <w:ind w:left="202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800" w:space="720"/>
            <w:col w:w="3840"/>
          </w:cols>
          <w:pgMar w:left="240" w:top="1017" w:right="29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(410) 345-2000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90"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1017" w:right="299" w:bottom="1440" w:gutter="0" w:footer="0" w:header="0"/>
          <w:type w:val="continuous"/>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jc w:val="center"/>
        <w:ind w:right="39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5260" w:space="720"/>
            <w:col w:w="5380"/>
          </w:cols>
          <w:pgMar w:left="240" w:top="1017" w:right="29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260" w:space="720"/>
            <w:col w:w="5380"/>
          </w:cols>
          <w:pgMar w:left="240" w:top="1017" w:right="299" w:bottom="1440" w:gutter="0" w:footer="0" w:header="0"/>
          <w:type w:val="continuous"/>
        </w:sectPr>
      </w:pPr>
    </w:p>
    <w:p>
      <w:pPr>
        <w:spacing w:after="0" w:line="8"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Arial" w:cs="Arial" w:eastAsia="Arial" w:hAnsi="Arial"/>
          <w:sz w:val="18"/>
          <w:szCs w:val="18"/>
          <w:color w:val="auto"/>
        </w:rPr>
        <w:t>x No</w:t>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April 22, 2016, is 248,203,140.</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017"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b w:val="1"/>
                <w:bCs w:val="1"/>
                <w:color w:val="auto"/>
              </w:rPr>
              <w:t>12/31/2015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3/31/2016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428.1</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1,108.0</w:t>
            </w:r>
          </w:p>
        </w:tc>
      </w:tr>
      <w:tr>
        <w:trPr>
          <w:trHeight w:val="229"/>
        </w:trPr>
        <w:tc>
          <w:tcPr>
            <w:tcW w:w="8580" w:type="dxa"/>
            <w:vAlign w:val="bottom"/>
          </w:tcPr>
          <w:p>
            <w:pPr>
              <w:ind w:left="40"/>
              <w:spacing w:after="0"/>
              <w:rPr>
                <w:sz w:val="20"/>
                <w:szCs w:val="20"/>
                <w:color w:val="auto"/>
              </w:rPr>
            </w:pPr>
            <w:r>
              <w:rPr>
                <w:rFonts w:ascii="Arial" w:cs="Arial" w:eastAsia="Arial" w:hAnsi="Arial"/>
                <w:sz w:val="18"/>
                <w:szCs w:val="18"/>
                <w:color w:val="auto"/>
              </w:rPr>
              <w:t>Assets of consolidated sponsored investment portfolios ($0 and $1,598.1 million, respectively, related to</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variable interest entities)</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1,826.6</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665.7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239.9</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5,106.9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6,203.9</w:t>
            </w:r>
          </w:p>
        </w:tc>
      </w:tr>
      <w:tr>
        <w:trPr>
          <w:trHeight w:val="311"/>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w:t>
            </w: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rPr>
              <w:t>Liabilities of consolidated sponsored investment portfolios ($0 and $49.6 million, respectively, related</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to variable interest entities)</w:t>
            </w: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168.3</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615.0</w:t>
            </w:r>
          </w:p>
        </w:tc>
      </w:tr>
      <w:tr>
        <w:trPr>
          <w:trHeight w:val="318"/>
        </w:trPr>
        <w:tc>
          <w:tcPr>
            <w:tcW w:w="85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24"/>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825.1</w:t>
            </w:r>
          </w:p>
        </w:tc>
      </w:tr>
      <w:tr>
        <w:trPr>
          <w:trHeight w:val="318"/>
        </w:trPr>
        <w:tc>
          <w:tcPr>
            <w:tcW w:w="85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$.20 par value - authorized 750,000,000; issued 250,469,000 shares at December 31,</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2015, and 248,130,000 at March 31, 2016</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663.3</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4,021.8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29.1</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4,762.0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4,763.8</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redeemable non-controlling interests,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5,106.9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6,203.9</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580" w:right="239" w:bottom="1440" w:gutter="0" w:footer="0" w:header="0"/>
        </w:sectPr>
      </w:pPr>
    </w:p>
    <w:bookmarkStart w:id="2" w:name="page3"/>
    <w:bookmarkEnd w:id="2"/>
    <w:p>
      <w:pPr>
        <w:ind w:right="5300"/>
        <w:spacing w:after="0" w:line="282"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gridSpan w:val="4"/>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8"/>
        </w:trPr>
        <w:tc>
          <w:tcPr>
            <w:tcW w:w="8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3/31/2015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Investment advisory fees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896.5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fees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Distribution and servicing fees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994.1</w:t>
            </w:r>
          </w:p>
        </w:tc>
        <w:tc>
          <w:tcPr>
            <w:tcW w:w="0" w:type="dxa"/>
            <w:vAlign w:val="bottom"/>
          </w:tcPr>
          <w:p>
            <w:pPr>
              <w:spacing w:after="0"/>
              <w:rPr>
                <w:sz w:val="1"/>
                <w:szCs w:val="1"/>
                <w:color w:val="auto"/>
              </w:rPr>
            </w:pPr>
          </w:p>
        </w:tc>
      </w:tr>
      <w:tr>
        <w:trPr>
          <w:trHeight w:val="318"/>
        </w:trPr>
        <w:tc>
          <w:tcPr>
            <w:tcW w:w="85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355.2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Advertising and promotion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Distribution and servicing costs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Occupancy and facility costs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549.2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583.2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operating income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Non-operating income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investment income on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Net investment income on consolidated sponsored investment portfolios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non-operating income</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309.5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309.5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311"/>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Earnings per share on common stock of T. Rowe Price Group</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311"/>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8"/>
                <w:szCs w:val="18"/>
                <w:color w:val="auto"/>
              </w:rPr>
              <w:t>Dividends declared per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380"/>
              <w:spacing w:after="0"/>
              <w:rPr>
                <w:sz w:val="20"/>
                <w:szCs w:val="20"/>
                <w:color w:val="auto"/>
              </w:rPr>
            </w:pPr>
            <w:r>
              <w:rPr>
                <w:rFonts w:ascii="Arial" w:cs="Arial" w:eastAsia="Arial" w:hAnsi="Arial"/>
                <w:sz w:val="18"/>
                <w:szCs w:val="18"/>
                <w:color w:val="auto"/>
                <w:w w:val="98"/>
              </w:rPr>
              <w:t>The accompanying notes are an integral part of these statements.</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80" w:type="dxa"/>
            <w:vAlign w:val="bottom"/>
          </w:tcPr>
          <w:p>
            <w:pPr>
              <w:ind w:left="5480"/>
              <w:spacing w:after="0"/>
              <w:rPr>
                <w:sz w:val="20"/>
                <w:szCs w:val="20"/>
                <w:color w:val="auto"/>
              </w:rPr>
            </w:pPr>
            <w:r>
              <w:rPr>
                <w:rFonts w:ascii="Arial" w:cs="Arial" w:eastAsia="Arial" w:hAnsi="Arial"/>
                <w:sz w:val="18"/>
                <w:szCs w:val="18"/>
                <w:color w:val="auto"/>
              </w:rPr>
              <w:t>Page 3</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ind w:right="3660"/>
        <w:spacing w:after="0" w:line="282"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gridSpan w:val="4"/>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r>
      <w:tr>
        <w:trPr>
          <w:trHeight w:val="258"/>
        </w:trPr>
        <w:tc>
          <w:tcPr>
            <w:tcW w:w="8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3/31/2015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3/31/2016</w:t>
            </w: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unrealized holding gains (losses) on available-for-sale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Reclassification adjustments recognized in non-operating income: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gains realized on dispositions determined using average cost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net unrealized holding gains (losses) recognized in other comprehensive income</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40"/>
              <w:spacing w:after="0"/>
              <w:rPr>
                <w:sz w:val="20"/>
                <w:szCs w:val="20"/>
                <w:color w:val="auto"/>
              </w:rPr>
            </w:pPr>
            <w:r>
              <w:rPr>
                <w:rFonts w:ascii="Arial" w:cs="Arial" w:eastAsia="Arial" w:hAnsi="Arial"/>
                <w:sz w:val="18"/>
                <w:szCs w:val="18"/>
                <w:color w:val="auto"/>
              </w:rPr>
              <w:t>Consolidated sponsored investment portfolios - variable interest entities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40.9</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Equity method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currency translation adjustments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40.1</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Net deferred tax benefits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16.4</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311.3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302.3</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comprehensive income attributable to redeemable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Comprehensive income attributable to T. Rowe Price Group</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311.3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270.2</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580" w:right="239" w:bottom="1440" w:gutter="0" w:footer="0" w:header="0"/>
        </w:sectPr>
      </w:pPr>
    </w:p>
    <w:bookmarkStart w:id="4" w:name="page5"/>
    <w:bookmarkEnd w:id="4"/>
    <w:p>
      <w:pPr>
        <w:ind w:right="4860"/>
        <w:spacing w:after="0" w:line="282"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580" w:type="dxa"/>
            <w:vAlign w:val="bottom"/>
            <w:tcBorders>
              <w:bottom w:val="single" w:sz="8" w:color="auto"/>
            </w:tcBorders>
            <w:gridSpan w:val="4"/>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8"/>
        </w:trPr>
        <w:tc>
          <w:tcPr>
            <w:tcW w:w="85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3/31/2015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3/31/2016</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Realized gains on dispositions of available-for-sale sponsored investment portfolios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gains recognized on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Net change in trading securities held by consolidated sponsored investment portfolios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543.8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Dispositions of investments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of sponsored investment portfolios on consolidation (deconsolidation)</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318"/>
        </w:trPr>
        <w:tc>
          <w:tcPr>
            <w:tcW w:w="85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Excess tax benefits from stock-based compensation plans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 to common stockholders of T. Rowe Price Group</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29"/>
        </w:trPr>
        <w:tc>
          <w:tcPr>
            <w:tcW w:w="8560" w:type="dxa"/>
            <w:vAlign w:val="bottom"/>
          </w:tcPr>
          <w:p>
            <w:pPr>
              <w:ind w:left="180"/>
              <w:spacing w:after="0"/>
              <w:rPr>
                <w:sz w:val="20"/>
                <w:szCs w:val="20"/>
                <w:color w:val="auto"/>
              </w:rPr>
            </w:pPr>
            <w:r>
              <w:rPr>
                <w:rFonts w:ascii="Arial" w:cs="Arial" w:eastAsia="Arial" w:hAnsi="Arial"/>
                <w:sz w:val="18"/>
                <w:szCs w:val="18"/>
                <w:color w:val="auto"/>
                <w:w w:val="97"/>
              </w:rPr>
              <w:t>Net subscriptions received from (redemptions and distributions paid to) redeemable non-controlling interests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180"/>
              <w:spacing w:after="0"/>
              <w:rPr>
                <w:sz w:val="20"/>
                <w:szCs w:val="20"/>
                <w:color w:val="auto"/>
              </w:rPr>
            </w:pPr>
            <w:r>
              <w:rPr>
                <w:rFonts w:ascii="Arial" w:cs="Arial" w:eastAsia="Arial" w:hAnsi="Arial"/>
                <w:sz w:val="18"/>
                <w:szCs w:val="18"/>
                <w:color w:val="auto"/>
              </w:rPr>
              <w:t>holders</w:t>
            </w:r>
          </w:p>
        </w:tc>
        <w:tc>
          <w:tcPr>
            <w:tcW w:w="2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318"/>
        </w:trPr>
        <w:tc>
          <w:tcPr>
            <w:tcW w:w="85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Effect of exchange rate changes on cash and cash equivalents of consolidated sponsored investment portfolios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8"/>
        </w:trPr>
        <w:tc>
          <w:tcPr>
            <w:tcW w:w="85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1,506.1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1,172.3</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Cash and cash equivalents at end of period, including $77.5 million held by consolidated sponsored investment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1,810.4</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1,400.4</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portfolios at March 31, 2016</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580" w:right="259" w:bottom="1440" w:gutter="0" w:footer="0" w:header="0"/>
        </w:sectPr>
      </w:pPr>
    </w:p>
    <w:bookmarkStart w:id="5" w:name="page6"/>
    <w:bookmarkEnd w:id="5"/>
    <w:p>
      <w:pPr>
        <w:ind w:right="3840"/>
        <w:spacing w:after="0" w:line="282" w:lineRule="auto"/>
        <w:rPr>
          <w:sz w:val="20"/>
          <w:szCs w:val="20"/>
          <w:color w:val="auto"/>
        </w:rPr>
      </w:pPr>
      <w:r>
        <w:rPr>
          <w:rFonts w:ascii="Arial" w:cs="Arial" w:eastAsia="Arial" w:hAnsi="Arial"/>
          <w:sz w:val="18"/>
          <w:szCs w:val="18"/>
          <w:b w:val="1"/>
          <w:bCs w:val="1"/>
          <w:color w:val="auto"/>
        </w:rPr>
        <w:t>UNAUDITED CONDENSED CONSOLIDATED STATEMENT OF STOCKHOLDERS’ EQUITY (shares in thousands; dollars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center"/>
              <w:ind w:right="300"/>
              <w:spacing w:after="0"/>
              <w:rPr>
                <w:sz w:val="20"/>
                <w:szCs w:val="20"/>
                <w:color w:val="auto"/>
              </w:rPr>
            </w:pPr>
            <w:r>
              <w:rPr>
                <w:rFonts w:ascii="Arial" w:cs="Arial" w:eastAsia="Arial" w:hAnsi="Arial"/>
                <w:sz w:val="13"/>
                <w:szCs w:val="13"/>
                <w:b w:val="1"/>
                <w:bCs w:val="1"/>
                <w:color w:val="auto"/>
                <w:w w:val="91"/>
              </w:rPr>
              <w:t>Additional</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35"/>
        </w:trPr>
        <w:tc>
          <w:tcPr>
            <w:tcW w:w="3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Common</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capital in</w:t>
            </w: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Total</w:t>
            </w:r>
          </w:p>
        </w:tc>
        <w:tc>
          <w:tcPr>
            <w:tcW w:w="3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3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shares</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Common</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b w:val="1"/>
                <w:bCs w:val="1"/>
                <w:color w:val="auto"/>
                <w:w w:val="77"/>
              </w:rPr>
              <w:t>excess of</w:t>
            </w: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stockholders’</w:t>
            </w:r>
          </w:p>
        </w:tc>
        <w:tc>
          <w:tcPr>
            <w:tcW w:w="1140" w:type="dxa"/>
            <w:vAlign w:val="bottom"/>
            <w:gridSpan w:val="2"/>
            <w:shd w:val="clear" w:color="auto" w:fill="CCEEFF"/>
          </w:tcPr>
          <w:p>
            <w:pPr>
              <w:jc w:val="right"/>
              <w:ind w:right="10"/>
              <w:spacing w:after="0" w:line="135" w:lineRule="exact"/>
              <w:rPr>
                <w:sz w:val="20"/>
                <w:szCs w:val="20"/>
                <w:color w:val="auto"/>
              </w:rPr>
            </w:pPr>
            <w:r>
              <w:rPr>
                <w:rFonts w:ascii="Arial" w:cs="Arial" w:eastAsia="Arial" w:hAnsi="Arial"/>
                <w:sz w:val="13"/>
                <w:szCs w:val="13"/>
                <w:b w:val="1"/>
                <w:bCs w:val="1"/>
                <w:color w:val="auto"/>
                <w:w w:val="94"/>
              </w:rPr>
              <w:t>Redeemable non-</w:t>
            </w:r>
          </w:p>
        </w:tc>
      </w:tr>
      <w:tr>
        <w:trPr>
          <w:trHeight w:val="174"/>
        </w:trPr>
        <w:tc>
          <w:tcPr>
            <w:tcW w:w="3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85"/>
              </w:rPr>
              <w:t>outstanding</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center"/>
              <w:ind w:right="300"/>
              <w:spacing w:after="0"/>
              <w:rPr>
                <w:sz w:val="20"/>
                <w:szCs w:val="20"/>
                <w:color w:val="auto"/>
              </w:rPr>
            </w:pPr>
            <w:r>
              <w:rPr>
                <w:rFonts w:ascii="Arial" w:cs="Arial" w:eastAsia="Arial" w:hAnsi="Arial"/>
                <w:sz w:val="13"/>
                <w:szCs w:val="13"/>
                <w:b w:val="1"/>
                <w:bCs w:val="1"/>
                <w:color w:val="auto"/>
                <w:w w:val="82"/>
              </w:rPr>
              <w:t>stock</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w w:val="91"/>
              </w:rPr>
              <w:t>par value</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earnings</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83"/>
              </w:rPr>
              <w:t>income</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88"/>
              </w:rPr>
              <w:t>equity</w:t>
            </w: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w w:val="86"/>
              </w:rPr>
              <w:t>controlling interests</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Balances at December 31, 2015</w:t>
            </w:r>
          </w:p>
        </w:tc>
        <w:tc>
          <w:tcPr>
            <w:tcW w:w="11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250,469</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654.6</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3,970.7</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4,762.0</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Consolidation of sponsored investment</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6"/>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portfolios upon adoption of new</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accounting guidance on January 1, 2016</w:t>
            </w: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672.7</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295.2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295.2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(loss), net</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tax</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Common stock-based compensation plans</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activity</w:t>
            </w: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3100" w:type="dxa"/>
            <w:vAlign w:val="bottom"/>
          </w:tcPr>
          <w:p>
            <w:pPr>
              <w:ind w:left="180"/>
              <w:spacing w:after="0"/>
              <w:rPr>
                <w:sz w:val="20"/>
                <w:szCs w:val="20"/>
                <w:color w:val="auto"/>
              </w:rPr>
            </w:pPr>
            <w:r>
              <w:rPr>
                <w:rFonts w:ascii="Arial" w:cs="Arial" w:eastAsia="Arial" w:hAnsi="Arial"/>
                <w:sz w:val="18"/>
                <w:szCs w:val="18"/>
                <w:color w:val="auto"/>
                <w:w w:val="98"/>
              </w:rPr>
              <w:t>Shares issued upon option exercises</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Restricted shares issued, net of shares</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withheld for taxes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100" w:type="dxa"/>
            <w:vAlign w:val="bottom"/>
          </w:tcPr>
          <w:p>
            <w:pPr>
              <w:ind w:left="180"/>
              <w:spacing w:after="0"/>
              <w:rPr>
                <w:sz w:val="20"/>
                <w:szCs w:val="20"/>
                <w:color w:val="auto"/>
              </w:rPr>
            </w:pPr>
            <w:r>
              <w:rPr>
                <w:rFonts w:ascii="Arial" w:cs="Arial" w:eastAsia="Arial" w:hAnsi="Arial"/>
                <w:sz w:val="18"/>
                <w:szCs w:val="18"/>
                <w:color w:val="auto"/>
                <w:w w:val="90"/>
              </w:rPr>
              <w:t>Shares issued upon vesting of restricted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w w:val="97"/>
              </w:rPr>
              <w:t>stock units, net of shares withheld for</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taxes</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Forfeiture of restricted awards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180"/>
              <w:spacing w:after="0"/>
              <w:rPr>
                <w:sz w:val="20"/>
                <w:szCs w:val="20"/>
                <w:color w:val="auto"/>
              </w:rPr>
            </w:pPr>
            <w:r>
              <w:rPr>
                <w:rFonts w:ascii="Arial" w:cs="Arial" w:eastAsia="Arial" w:hAnsi="Arial"/>
                <w:sz w:val="18"/>
                <w:szCs w:val="18"/>
                <w:color w:val="auto"/>
              </w:rPr>
              <w:t>Net tax benefits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Stock-based compensation expense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Common shares repurchased</w:t>
            </w:r>
          </w:p>
        </w:tc>
        <w:tc>
          <w:tcPr>
            <w:tcW w:w="1160" w:type="dxa"/>
            <w:vAlign w:val="bottom"/>
          </w:tcPr>
          <w:p>
            <w:pPr>
              <w:jc w:val="right"/>
              <w:spacing w:after="0"/>
              <w:rPr>
                <w:sz w:val="20"/>
                <w:szCs w:val="20"/>
                <w:color w:val="auto"/>
              </w:rPr>
            </w:pPr>
            <w:r>
              <w:rPr>
                <w:rFonts w:ascii="Arial" w:cs="Arial" w:eastAsia="Arial" w:hAnsi="Arial"/>
                <w:sz w:val="18"/>
                <w:szCs w:val="18"/>
                <w:color w:val="auto"/>
              </w:rPr>
              <w:t>(3,110)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subscriptions (redemptions and</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6"/>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 sponsored investment</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portfolios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272.9</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w w:val="92"/>
              </w:rPr>
              <w:t>Deconsolidation of sponsored investment</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portfolios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(152.6)</w:t>
            </w:r>
          </w:p>
        </w:tc>
      </w:tr>
      <w:tr>
        <w:trPr>
          <w:trHeight w:val="27"/>
        </w:trPr>
        <w:tc>
          <w:tcPr>
            <w:tcW w:w="3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March 31, 2016</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248,130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663.3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4,021.8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4,763.8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825.1</w:t>
            </w:r>
          </w:p>
        </w:tc>
      </w:tr>
      <w:tr>
        <w:trPr>
          <w:trHeight w:val="20"/>
        </w:trPr>
        <w:tc>
          <w:tcPr>
            <w:tcW w:w="3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PREPARATION.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 Rowe Price Group (Price Group) derives its consolidated revenues and net income primarily from investment advisory services that its subsidiaries provide to individual and institutional investors in the sponsored T. Rowe Price U.S. mutual funds and other investment portfolios, including separately managed accounts, subadvised funds, and other sponsored investment portfolios. We also provide our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 Certain prior year amounts have been reclassified to conform to the 2016 presentation.</w:t>
      </w:r>
    </w:p>
    <w:p>
      <w:pPr>
        <w:spacing w:after="0" w:line="18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2015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GUIDANCE.</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implemented Accounting Standards Update No. 2015-02 - Consolidation (Topic 810): Amendments to the Consolidation Analysis on January 1, 2016, which did not require the restatement of prior year periods. In connection with the adoption of this guidance, we reevaluated all of our investments for consolidation, including our investments in sponsored investment portfolios. The adoption of the guidance resulted in sponsored investment products regulated outside the U.S. previously accounted for as voting interest entities (VOE) to be evaluated as variable interest entities (VIE) and led to the consolidation of an additional 24 portfolios that were previously accounted for as available-for-sale securities. The adoption also resulted in the consolidation of an additional eight U.S. sponsored investment portfolios that were previously accounted for as available-for sale-securities. The impact to the condensed consolidated balance sheet upon adoption was the consolidation of $1.6 billion of assets, $21.3 million of liabilities, and $672.7 million of non-controlling interests. We also reclassified $32.5 million in accumulated comprehensive income to retained earnings. The consolidation guidance provides a scope exception for reporting entities with interests in legal entities that are required to comply with or operate in accordance with requirements similar to those in Rule 2a-7 of the Investment Company Act of 1940 for registered money market funds. Additional disclosures relating to consolidated voting interest entities and variable interest entities, and the impact the new accounting guidance has had on the quarter are included in Note 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CONSOLIDATION.</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condensed consolidated financial statements include the accounts of all subsidiaries and sponsored investment portfolios in which we have a controlling interest. We are generally deemed to have a controlling interest when we own the majority of the voting interest of an entity or deemed to be the primary beneficiary of a VIE. We perform an analysis of our investments to determine if the investment entity is a VOE or VIE. Our analysis involves judgment and considers several factors, including an entity’s legal organization, capital structure, the rights of the equity investment holders, our ownership interest in the entity, and our contractual involvement with the entity. We continually review and reconsider our previously reached VIE or VOE conclusions upon the occurrence of certain events, such as changes to our ownership interest, changes to an entity’s organization and legal structure, or amendments to governing documents. All material accounts and transactions between consolidated entities are eliminated in consolidation.</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Upon consolidation of sponsored investment portfolios, the Company retains the specialized investment company accounting principles of the underlying funds. All of the underlying investments held by these portfolios are carried at fair value with corresponding changes in the investments’ fair values reflected in non-operating income (expense) on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5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Variable interest entities</w:t>
      </w:r>
    </w:p>
    <w:p>
      <w:pPr>
        <w:spacing w:after="0" w:line="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VIEs are entities that, by design (i</w:t>
      </w:r>
      <w:r>
        <w:rPr>
          <w:rFonts w:ascii="Arial" w:cs="Arial" w:eastAsia="Arial" w:hAnsi="Arial"/>
          <w:sz w:val="17"/>
          <w:szCs w:val="17"/>
          <w:b w:val="1"/>
          <w:bCs w:val="1"/>
          <w:color w:val="auto"/>
        </w:rPr>
        <w:t>)</w:t>
      </w:r>
      <w:r>
        <w:rPr>
          <w:rFonts w:ascii="Arial" w:cs="Arial" w:eastAsia="Arial" w:hAnsi="Arial"/>
          <w:sz w:val="17"/>
          <w:szCs w:val="17"/>
          <w:color w:val="auto"/>
        </w:rPr>
        <w:t xml:space="preserve"> lack sufficient equity to permit the entity to finance its activities independently, or (ii) have equity holders that do not have the power to direct the activities of the entity that most significantly impact the entity’s economic performance, the obligation to absorb the entity’s losses, or the rights to receive the entity’s residual returns. We consolidate a VIE when we are the primary beneficiary, which is the party that has both (i) the power to direct the activities of the VIE that most significantly impact its economic performance and (ii) the obligation to absorb losses of the entity or the right to receive benefits from the VIE that could potentially be significant. Our Luxembourg-based SICAV (Société d'Investissement à Capital Variable) funds and other sponsored investment portfolios regulated outside the U.S. are determined to be VIEs.</w:t>
      </w:r>
    </w:p>
    <w:p>
      <w:pPr>
        <w:spacing w:after="0" w:line="1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Along with VIEs that we consolidate, we also hold variable interests in other VIEs, including several investment partnerships, that are not consolidated because we are not the primary beneficiary.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non-controlling interests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recognize redeemable non-controlling interests for the portion of the net assets of our consolidated sponsored investment portfolios held by unrelated third party investors as their interest is convertible to cash and other assets at their option. As such, we reflect redeemable non-controlling interests as temporary equity in our condensed consolidated balance sheet.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INFORMATION ABOUT RECEIVABLES, REVENUES, AND SERVICES.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Accounts receivable from our sponsored U.S. mutual funds for advisory fees and advisory-related administrative services aggregate $252.8 million at December 31, 2015, and $247.7 million at March 31, 2016.</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U.S. mutual funds and other investment clients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2"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3/31/2015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3/31/2016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543.2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519.5</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and money market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112.6</w:t>
            </w:r>
          </w:p>
        </w:tc>
      </w:tr>
      <w:tr>
        <w:trPr>
          <w:trHeight w:val="237"/>
        </w:trPr>
        <w:tc>
          <w:tcPr>
            <w:tcW w:w="83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632.1</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197.9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money market, and stable value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r>
      <w:tr>
        <w:trPr>
          <w:trHeight w:val="237"/>
        </w:trPr>
        <w:tc>
          <w:tcPr>
            <w:tcW w:w="83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238.7</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870.8</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voluntarily waived $13.7 million and $4.0 million in money market related fees, including advisory fees and fund expenses, in the first quarter of 2015 and 2016, respectively, in order to maintain a positive yield for fund investors.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3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following table summarizes the investment portfolios and assets under management (in billions) on which we earn advisory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377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10"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Average during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the first quarter of</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91"/>
              </w:rPr>
              <w:t>As of</w:t>
            </w:r>
          </w:p>
        </w:tc>
        <w:tc>
          <w:tcPr>
            <w:tcW w:w="1180" w:type="dxa"/>
            <w:vAlign w:val="bottom"/>
            <w:tcBorders>
              <w:bottom w:val="single" w:sz="8" w:color="auto"/>
            </w:tcBorders>
          </w:tcPr>
          <w:p>
            <w:pPr>
              <w:spacing w:after="0"/>
              <w:rPr>
                <w:sz w:val="16"/>
                <w:szCs w:val="16"/>
                <w:color w:val="auto"/>
              </w:rPr>
            </w:pPr>
          </w:p>
        </w:tc>
      </w:tr>
      <w:tr>
        <w:trPr>
          <w:trHeight w:val="270"/>
        </w:trPr>
        <w:tc>
          <w:tcPr>
            <w:tcW w:w="51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12/31/2015</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3/31/2016</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381.5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5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380.4</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106.3</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487.1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486.7</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208.8</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69.1</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271.9</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277.9</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759.0</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728.1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763.1</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764.6</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4.9% and 4.8% of our assets under management at December 31, 2015 and March 31,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other fees (in millions) earned from our sponsored U.S. mutual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0"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3/31/2015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3/31/2016</w:t>
            </w:r>
          </w:p>
        </w:tc>
        <w:tc>
          <w:tcPr>
            <w:tcW w:w="20" w:type="dxa"/>
            <w:vAlign w:val="bottom"/>
            <w:tcBorders>
              <w:bottom w:val="single" w:sz="8" w:color="auto"/>
            </w:tcBorders>
          </w:tcPr>
          <w:p>
            <w:pPr>
              <w:spacing w:after="0"/>
              <w:rPr>
                <w:sz w:val="16"/>
                <w:szCs w:val="16"/>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fees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 and servicing fees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21"/>
                <w:szCs w:val="21"/>
                <w:color w:val="auto"/>
              </w:rPr>
            </w:pPr>
          </w:p>
        </w:tc>
      </w:tr>
      <w:tr>
        <w:trPr>
          <w:trHeight w:val="459"/>
        </w:trPr>
        <w:tc>
          <w:tcPr>
            <w:tcW w:w="8340" w:type="dxa"/>
            <w:vAlign w:val="bottom"/>
          </w:tcPr>
          <w:p>
            <w:pPr>
              <w:spacing w:after="0"/>
              <w:rPr>
                <w:sz w:val="20"/>
                <w:szCs w:val="20"/>
                <w:color w:val="auto"/>
              </w:rPr>
            </w:pPr>
            <w:r>
              <w:rPr>
                <w:rFonts w:ascii="Arial" w:cs="Arial" w:eastAsia="Arial" w:hAnsi="Arial"/>
                <w:sz w:val="18"/>
                <w:szCs w:val="18"/>
                <w:b w:val="1"/>
                <w:bCs w:val="1"/>
                <w:color w:val="auto"/>
              </w:rPr>
              <w:t>NOTE 3 - INVESTMENTS.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8340" w:type="dxa"/>
            <w:vAlign w:val="bottom"/>
          </w:tcPr>
          <w:p>
            <w:pPr>
              <w:spacing w:after="0"/>
              <w:rPr>
                <w:sz w:val="20"/>
                <w:szCs w:val="20"/>
                <w:color w:val="auto"/>
              </w:rPr>
            </w:pPr>
            <w:r>
              <w:rPr>
                <w:rFonts w:ascii="Arial" w:cs="Arial" w:eastAsia="Arial" w:hAnsi="Arial"/>
                <w:sz w:val="18"/>
                <w:szCs w:val="18"/>
                <w:color w:val="auto"/>
              </w:rPr>
              <w:t>The carrying value of investments (in millions) we do not consolidate are as follows: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8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64"/>
        </w:trPr>
        <w:tc>
          <w:tcPr>
            <w:tcW w:w="83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12/31/2015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4"/>
                <w:szCs w:val="14"/>
                <w:b w:val="1"/>
                <w:bCs w:val="1"/>
                <w:color w:val="auto"/>
              </w:rPr>
              <w:t>3/31/2016</w:t>
            </w:r>
          </w:p>
        </w:tc>
        <w:tc>
          <w:tcPr>
            <w:tcW w:w="20" w:type="dxa"/>
            <w:vAlign w:val="bottom"/>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Available-for-sale sponsored investment portfolios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1,612.3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573.9</w:t>
            </w:r>
          </w:p>
        </w:tc>
        <w:tc>
          <w:tcPr>
            <w:tcW w:w="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132.8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134.8</w:t>
            </w:r>
          </w:p>
        </w:tc>
        <w:tc>
          <w:tcPr>
            <w:tcW w:w="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Sponsored investment portfolios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276.3</w:t>
            </w:r>
          </w:p>
        </w:tc>
        <w:tc>
          <w:tcPr>
            <w:tcW w:w="20" w:type="dxa"/>
            <w:vAlign w:val="bottom"/>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Investment partnerships</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investment portfolios held as trading</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method investments</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69.0</w:t>
            </w:r>
          </w:p>
        </w:tc>
        <w:tc>
          <w:tcPr>
            <w:tcW w:w="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note</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1,961.2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1,108.0</w:t>
            </w:r>
          </w:p>
        </w:tc>
        <w:tc>
          <w:tcPr>
            <w:tcW w:w="20" w:type="dxa"/>
            <w:vAlign w:val="bottom"/>
          </w:tcPr>
          <w:p>
            <w:pPr>
              <w:spacing w:after="0"/>
              <w:rPr>
                <w:sz w:val="22"/>
                <w:szCs w:val="2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the adoption of the new consolidation accounting guidance on January 1, 2016, we reevaluated all of our investments for consolidation, including our investments in sponsored investment portfolios. We determined that our interests in a number of our available-for-sale holdings held at December 31, 2015, were deemed controlling interests under the new accounting standard and resulted in these sponsored investment portfolios being consolidated on January 1, 2016.</w:t>
      </w:r>
    </w:p>
    <w:p>
      <w:pPr>
        <w:spacing w:after="0" w:line="13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During the first quarter of 2016, we also deconsolidated certain sponsored investment portfolios, in which we provided initial seed capital at the time of formation, as we no longer had a controlling interest. Accordingly, we deconsolidated from our condensed consolidated balance sheet the portfolio’s assets of $338.8 million, liabilities of $.9 million and redeemable non-controlling interests of $152.6 million, which were the carrying values on the deconsolidation dates. Since our consolidated investment portfolios were carried at fair value, and the investment portfolio's functional currency was U.S. dollars, we did not recognize any gain or loss in our consolidated statement of income upon deconsolidation. Depending on our ownership interest,</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9</w:t>
      </w:r>
    </w:p>
    <w:p>
      <w:pPr>
        <w:sectPr>
          <w:pgSz w:w="11900" w:h="16838" w:orient="portrait"/>
          <w:cols w:equalWidth="0" w:num="1">
            <w:col w:w="11420"/>
          </w:cols>
          <w:pgMar w:left="240" w:top="584"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we are now reporting our residual interests in these sponsored investment portfolios as either equity method or available-for-sale investments.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AVAILABLE-FOR-SALE SPONSORED INVESTMENT PORTFOLIOS.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available-for-sale sponsored investment portfolios (in millions) include: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7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2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Unrealized holding</w:t>
            </w: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8"/>
              </w:rPr>
              <w:t>Aggregate</w:t>
            </w: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7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88"/>
              </w:rPr>
              <w:t>Aggregate cost</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gains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losses</w:t>
            </w: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fair value</w:t>
            </w:r>
          </w:p>
        </w:tc>
      </w:tr>
      <w:tr>
        <w:trPr>
          <w:trHeight w:val="196"/>
        </w:trPr>
        <w:tc>
          <w:tcPr>
            <w:tcW w:w="516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2015</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 and blended asset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428.6</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599.8</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Bond funds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990.5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1,012.5</w:t>
            </w:r>
          </w:p>
        </w:tc>
      </w:tr>
      <w:tr>
        <w:trPr>
          <w:trHeight w:val="27"/>
        </w:trPr>
        <w:tc>
          <w:tcPr>
            <w:tcW w:w="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1,419.1</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219.4</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1,612.3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51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March 31, 2016</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Stock and blended asset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108.0</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192.0</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Bond funds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381.9</w:t>
            </w:r>
          </w:p>
        </w:tc>
      </w:tr>
      <w:tr>
        <w:trPr>
          <w:trHeight w:val="25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488.3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573.9</w:t>
            </w:r>
          </w:p>
        </w:tc>
      </w:tr>
      <w:tr>
        <w:trPr>
          <w:trHeight w:val="20"/>
        </w:trPr>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following table details the number of holdings, the unrealized holding losses, and the aggregate fair value of available-for-sale sponsored investment portfolios with unrealized losses categorized by the length of time they have been in a continuous unrealized loss position:</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3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190"/>
              <w:spacing w:after="0"/>
              <w:rPr>
                <w:sz w:val="20"/>
                <w:szCs w:val="20"/>
                <w:color w:val="auto"/>
              </w:rPr>
            </w:pPr>
            <w:r>
              <w:rPr>
                <w:rFonts w:ascii="Arial" w:cs="Arial" w:eastAsia="Arial" w:hAnsi="Arial"/>
                <w:sz w:val="18"/>
                <w:szCs w:val="18"/>
                <w:b w:val="1"/>
                <w:bCs w:val="1"/>
                <w:color w:val="auto"/>
                <w:w w:val="93"/>
              </w:rPr>
              <w:t>Number of</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8"/>
              </w:rPr>
              <w:t>Aggregate</w:t>
            </w:r>
          </w:p>
        </w:tc>
      </w:tr>
      <w:tr>
        <w:trPr>
          <w:trHeight w:val="261"/>
        </w:trPr>
        <w:tc>
          <w:tcPr>
            <w:tcW w:w="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b w:val="1"/>
                <w:bCs w:val="1"/>
                <w:color w:val="auto"/>
                <w:w w:val="85"/>
              </w:rPr>
              <w:t>holdings</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84"/>
              </w:rPr>
              <w:t>holding losses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fair value</w:t>
            </w:r>
          </w:p>
        </w:tc>
      </w:tr>
      <w:tr>
        <w:trPr>
          <w:trHeight w:val="196"/>
        </w:trPr>
        <w:tc>
          <w:tcPr>
            <w:tcW w:w="674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2015</w:t>
            </w:r>
          </w:p>
        </w:tc>
        <w:tc>
          <w:tcPr>
            <w:tcW w:w="12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5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79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Less than 12 months</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419.6</w:t>
            </w:r>
          </w:p>
        </w:tc>
      </w:tr>
      <w:tr>
        <w:trPr>
          <w:trHeight w:val="243"/>
        </w:trPr>
        <w:tc>
          <w:tcPr>
            <w:tcW w:w="7980" w:type="dxa"/>
            <w:vAlign w:val="bottom"/>
            <w:gridSpan w:val="5"/>
          </w:tcPr>
          <w:p>
            <w:pPr>
              <w:ind w:left="40"/>
              <w:spacing w:after="0"/>
              <w:rPr>
                <w:sz w:val="20"/>
                <w:szCs w:val="20"/>
                <w:color w:val="auto"/>
              </w:rPr>
            </w:pPr>
            <w:r>
              <w:rPr>
                <w:rFonts w:ascii="Arial" w:cs="Arial" w:eastAsia="Arial" w:hAnsi="Arial"/>
                <w:sz w:val="18"/>
                <w:szCs w:val="18"/>
                <w:color w:val="auto"/>
              </w:rPr>
              <w:t>12 months or more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298.6</w:t>
            </w:r>
          </w:p>
        </w:tc>
      </w:tr>
      <w:tr>
        <w:trPr>
          <w:trHeight w:val="27"/>
        </w:trPr>
        <w:tc>
          <w:tcPr>
            <w:tcW w:w="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79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718.2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79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March 31, 2016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3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43"/>
        </w:trPr>
        <w:tc>
          <w:tcPr>
            <w:tcW w:w="7980" w:type="dxa"/>
            <w:vAlign w:val="bottom"/>
            <w:gridSpan w:val="5"/>
          </w:tcPr>
          <w:p>
            <w:pPr>
              <w:ind w:left="40"/>
              <w:spacing w:after="0"/>
              <w:rPr>
                <w:sz w:val="20"/>
                <w:szCs w:val="20"/>
                <w:color w:val="auto"/>
              </w:rPr>
            </w:pPr>
            <w:r>
              <w:rPr>
                <w:rFonts w:ascii="Arial" w:cs="Arial" w:eastAsia="Arial" w:hAnsi="Arial"/>
                <w:sz w:val="18"/>
                <w:szCs w:val="18"/>
                <w:color w:val="auto"/>
              </w:rPr>
              <w:t>Less than 12 months</w:t>
            </w: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27.9</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12 months or more</w:t>
            </w:r>
          </w:p>
        </w:tc>
        <w:tc>
          <w:tcPr>
            <w:tcW w:w="1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168.6</w:t>
            </w:r>
          </w:p>
        </w:tc>
      </w:tr>
      <w:tr>
        <w:trPr>
          <w:trHeight w:val="25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196.5</w:t>
            </w:r>
          </w:p>
        </w:tc>
      </w:tr>
      <w:tr>
        <w:trPr>
          <w:trHeight w:val="20"/>
        </w:trPr>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the duration of the impairments, we reviewed the severity of the impairment as well as our intent and ability to hold the investments for a period of time sufficient for an anticipated recovery in fair value. Accordingly, impairment of these investment holdings is considered temporary at December 31, 2015, and March 31, 2016.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VARIABLE INTEREST ENTITIES.</w:t>
      </w:r>
    </w:p>
    <w:p>
      <w:pPr>
        <w:spacing w:after="0" w:line="171"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Our investments at March 31, 2016, include $81.2 million of investments in variable interest entities that we do not consolidate as we are not deemed the primary beneficiary. Our maximum risk of loss related to our involvement with these entities at March 31, 2016, is $140.8 million, which includes our carrying value, any unfunded capital commitments, and uncollected investment advisory and administrative fees.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66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determine the fair value of our cash equivalents and certain investments using the following broad levels of inputs as defined by related accounting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jc w:val="both"/>
        <w:ind w:left="340" w:right="460" w:hanging="323"/>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Level 3 – unobservable inputs reflecting our own assumptions based on the best information available. We do not value any investments using Level 3 inputs.</w:t>
      </w:r>
    </w:p>
    <w:p>
      <w:pPr>
        <w:spacing w:after="0" w:line="180"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have been no material transfers between the levels. The following table summarizes our investments (in millions) that are recognized in our condensed consolidated balance sheets using fair value measurements determined based on the differing levels of inputs.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Level 2</w:t>
            </w:r>
          </w:p>
        </w:tc>
      </w:tr>
      <w:tr>
        <w:trPr>
          <w:trHeight w:val="196"/>
        </w:trPr>
        <w:tc>
          <w:tcPr>
            <w:tcW w:w="834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2015</w:t>
            </w: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Available-for-sale sponsored investment portfolios</w:t>
            </w:r>
          </w:p>
        </w:tc>
        <w:tc>
          <w:tcPr>
            <w:tcW w:w="3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1,612.3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Sponsored investment portfolios held as trading</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97"/>
        </w:trPr>
        <w:tc>
          <w:tcPr>
            <w:tcW w:w="83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2,635.6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284"/>
        </w:trPr>
        <w:tc>
          <w:tcPr>
            <w:tcW w:w="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03"/>
        </w:trPr>
        <w:tc>
          <w:tcPr>
            <w:tcW w:w="83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March 31, 2016</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Available-for-sale sponsored investment portfolios</w:t>
            </w:r>
          </w:p>
        </w:tc>
        <w:tc>
          <w:tcPr>
            <w:tcW w:w="3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573.9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Sponsored investment portfolios held as trading</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1,775.0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table above excludes investments held by consolidated sponsored investment portfolios which are presented separately on our condensed consolidated balance sheets and are detailed in Note 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SPONSORED INVESTMENT PORTFOLIOS.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sponsored investment portfolios that we consolidate in our condensed consolidated financial statements are generally those products we provided initial seed capital at the time of their formation and have a controlling interest. Our U.S. sponsored investment portfolios are considered voting interest entities while those regulated outside the United States are considered variable interest entities.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consolidated sponsored investment portfolios at March 31, 2016.</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9"/>
              </w:rPr>
              <w:t>Voting</w:t>
            </w:r>
          </w:p>
        </w:tc>
        <w:tc>
          <w:tcPr>
            <w:tcW w:w="15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1"/>
              </w:rPr>
              <w:t>Variable interest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1"/>
        </w:trPr>
        <w:tc>
          <w:tcPr>
            <w:tcW w:w="6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87"/>
              </w:rPr>
              <w:t>interest entities</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88"/>
              </w:rPr>
              <w:t>entities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77.5</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38.2</w:t>
            </w: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58.5</w:t>
            </w: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1,768.1</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redeemable non-controlling interests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Attributable to T. Rowe Price Group</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792.6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943.0</w:t>
            </w: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11</w:t>
      </w:r>
    </w:p>
    <w:p>
      <w:pPr>
        <w:sectPr>
          <w:pgSz w:w="11900" w:h="16838" w:orient="portrait"/>
          <w:cols w:equalWidth="0" w:num="1">
            <w:col w:w="11420"/>
          </w:cols>
          <w:pgMar w:left="240" w:top="580" w:right="239" w:bottom="1440" w:gutter="0" w:footer="0" w:header="0"/>
          <w:type w:val="continuous"/>
        </w:sectPr>
      </w:pPr>
    </w:p>
    <w:bookmarkStart w:id="11" w:name="page12"/>
    <w:bookmarkEnd w:id="11"/>
    <w:p>
      <w:pPr>
        <w:ind w:right="700"/>
        <w:spacing w:after="0" w:line="342" w:lineRule="auto"/>
        <w:rPr>
          <w:sz w:val="20"/>
          <w:szCs w:val="20"/>
          <w:color w:val="auto"/>
        </w:rPr>
      </w:pPr>
      <w:r>
        <w:rPr>
          <w:rFonts w:ascii="Arial" w:cs="Arial" w:eastAsia="Arial" w:hAnsi="Arial"/>
          <w:sz w:val="16"/>
          <w:szCs w:val="16"/>
          <w:color w:val="auto"/>
        </w:rPr>
        <w:t>Although we can redeem our net interest in these sponsored investment portfolios at any time, we cannot directly access or sell the assets held by the portfolios to obtain cash for general operations. Additionally, the assets of these investment portfolios are not available to our general creditors.</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Since third party investors in these investment funds have no recourse to Price Group’s credit, our overall risk related to the net assets of consolidated sponsored investment portfolios is limited to valuation changes associated with our net interest. We, however, are required to recognize the valuation changes associated with all underlying investments held by these portfolios in our condensed consolidated statements of income, and disclose the portion attributable to third party investors as net income attributable to redeemable non-controlling interests.</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operating results (in millions) of the consolidated sponsored investment portfolios for the three months ended March 31, 2016, are reflected in our condensed consolidated statement of income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Voting</w:t>
            </w:r>
          </w:p>
        </w:tc>
        <w:tc>
          <w:tcPr>
            <w:tcW w:w="15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1"/>
              </w:rPr>
              <w:t>Variable interest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1"/>
        </w:trPr>
        <w:tc>
          <w:tcPr>
            <w:tcW w:w="6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interest entities</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88"/>
              </w:rPr>
              <w:t>entities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318"/>
        </w:trPr>
        <w:tc>
          <w:tcPr>
            <w:tcW w:w="67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23.8</w:t>
            </w: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87"/>
        </w:trPr>
        <w:tc>
          <w:tcPr>
            <w:tcW w:w="6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redeemable non-controlling interests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Attributable to T. Rowe Price Group</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operating expenses of these consolidated portfolios are reflected in other operating expenses. We eliminated $1.3 million of these expenses against our investment advisory and administrative fees earned in preparing our condensed consolidated financial statements. The net investment income reflected in non-operating income includes dividend and interest income, and realized and unrealized gains and losses on the underlying securities held by the consolidated sponsored investment portfolios.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below details the impact of these consolidated investment portfolios on the individual lines of our condensed consolidated statement of cash flows (in millions) for the three months ended March 31,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Voting</w:t>
            </w:r>
          </w:p>
        </w:tc>
        <w:tc>
          <w:tcPr>
            <w:tcW w:w="15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1"/>
              </w:rPr>
              <w:t>Variable interest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1"/>
        </w:trPr>
        <w:tc>
          <w:tcPr>
            <w:tcW w:w="6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interest entities</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88"/>
              </w:rPr>
              <w:t>entities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(433.5)</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443.3</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Effect of exchange rate changes on cash and cash equivalents of consolidated sponsored</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portfolios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77.5</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77.5</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net cash used in financing activities during the first quarter of 2016 includes $172.5 million of net investments we made into the consolidated sponsored investment portfolios, net of dividends received. These cash flows were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80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FAIR VALUE MEASUREMENTS.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determine the fair value of investments held by consolidated sponsored investment portfolios using the following broad levels of inputs as defined by related accounting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740" w:right="46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Level 3 – unobservable inputs reflecting our own assumptions based on the best information available. We do not value any investments using Level 3 inputs.</w:t>
      </w:r>
    </w:p>
    <w:p>
      <w:pPr>
        <w:spacing w:after="0" w:line="1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There have been no material transfers between the levels. The following table summarizes the investment holdings held by our consolidated sponsored investment portfolios (in millions) using fair value measurements determined based on the differing levels of inputs.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9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Level 1</w:t>
            </w:r>
          </w:p>
        </w:tc>
        <w:tc>
          <w:tcPr>
            <w:tcW w:w="4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4"/>
                <w:szCs w:val="14"/>
                <w:b w:val="1"/>
                <w:bCs w:val="1"/>
                <w:color w:val="auto"/>
              </w:rPr>
              <w:t>Level 2</w:t>
            </w:r>
          </w:p>
        </w:tc>
      </w:tr>
      <w:tr>
        <w:trPr>
          <w:trHeight w:val="196"/>
        </w:trPr>
        <w:tc>
          <w:tcPr>
            <w:tcW w:w="834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2015</w:t>
            </w: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140"/>
              <w:spacing w:after="0"/>
              <w:rPr>
                <w:sz w:val="20"/>
                <w:szCs w:val="20"/>
                <w:color w:val="auto"/>
              </w:rPr>
            </w:pPr>
            <w:r>
              <w:rPr>
                <w:rFonts w:ascii="Arial" w:cs="Arial" w:eastAsia="Arial" w:hAnsi="Arial"/>
                <w:sz w:val="18"/>
                <w:szCs w:val="18"/>
                <w:color w:val="auto"/>
              </w:rPr>
              <w:t>Equity securities</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11.2</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Fixed income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w:t>
            </w:r>
          </w:p>
        </w:tc>
      </w:tr>
      <w:tr>
        <w:trPr>
          <w:trHeight w:val="243"/>
        </w:trPr>
        <w:tc>
          <w:tcPr>
            <w:tcW w:w="40" w:type="dxa"/>
            <w:vAlign w:val="bottom"/>
          </w:tcPr>
          <w:p>
            <w:pPr>
              <w:spacing w:after="0"/>
              <w:rPr>
                <w:sz w:val="21"/>
                <w:szCs w:val="21"/>
                <w:color w:val="auto"/>
              </w:rPr>
            </w:pPr>
          </w:p>
        </w:tc>
        <w:tc>
          <w:tcPr>
            <w:tcW w:w="8300" w:type="dxa"/>
            <w:vAlign w:val="bottom"/>
            <w:gridSpan w:val="3"/>
          </w:tcPr>
          <w:p>
            <w:pPr>
              <w:ind w:left="140"/>
              <w:spacing w:after="0"/>
              <w:rPr>
                <w:sz w:val="20"/>
                <w:szCs w:val="20"/>
                <w:color w:val="auto"/>
              </w:rPr>
            </w:pPr>
            <w:r>
              <w:rPr>
                <w:rFonts w:ascii="Arial" w:cs="Arial" w:eastAsia="Arial" w:hAnsi="Arial"/>
                <w:sz w:val="18"/>
                <w:szCs w:val="18"/>
                <w:color w:val="auto"/>
              </w:rPr>
              <w:t>Other investments</w:t>
            </w:r>
          </w:p>
        </w:tc>
        <w:tc>
          <w:tcPr>
            <w:tcW w:w="10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83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March 31, 2016</w:t>
            </w: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9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Assets</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Cash equivalents</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43"/>
        </w:trPr>
        <w:tc>
          <w:tcPr>
            <w:tcW w:w="40" w:type="dxa"/>
            <w:vAlign w:val="bottom"/>
          </w:tcPr>
          <w:p>
            <w:pPr>
              <w:spacing w:after="0"/>
              <w:rPr>
                <w:sz w:val="21"/>
                <w:szCs w:val="21"/>
                <w:color w:val="auto"/>
              </w:rPr>
            </w:pPr>
          </w:p>
        </w:tc>
        <w:tc>
          <w:tcPr>
            <w:tcW w:w="8300" w:type="dxa"/>
            <w:vAlign w:val="bottom"/>
            <w:gridSpan w:val="3"/>
          </w:tcPr>
          <w:p>
            <w:pPr>
              <w:ind w:left="80"/>
              <w:spacing w:after="0"/>
              <w:rPr>
                <w:sz w:val="20"/>
                <w:szCs w:val="20"/>
                <w:color w:val="auto"/>
              </w:rPr>
            </w:pPr>
            <w:r>
              <w:rPr>
                <w:rFonts w:ascii="Arial" w:cs="Arial" w:eastAsia="Arial" w:hAnsi="Arial"/>
                <w:sz w:val="18"/>
                <w:szCs w:val="18"/>
                <w:color w:val="auto"/>
              </w:rPr>
              <w:t>Equity securities</w:t>
            </w:r>
          </w:p>
        </w:tc>
        <w:tc>
          <w:tcPr>
            <w:tcW w:w="10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446.4</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Fixed income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1,180.9</w:t>
            </w:r>
          </w:p>
        </w:tc>
      </w:tr>
      <w:tr>
        <w:trPr>
          <w:trHeight w:val="243"/>
        </w:trPr>
        <w:tc>
          <w:tcPr>
            <w:tcW w:w="40" w:type="dxa"/>
            <w:vAlign w:val="bottom"/>
          </w:tcPr>
          <w:p>
            <w:pPr>
              <w:spacing w:after="0"/>
              <w:rPr>
                <w:sz w:val="21"/>
                <w:szCs w:val="21"/>
                <w:color w:val="auto"/>
              </w:rPr>
            </w:pPr>
          </w:p>
        </w:tc>
        <w:tc>
          <w:tcPr>
            <w:tcW w:w="8300" w:type="dxa"/>
            <w:vAlign w:val="bottom"/>
            <w:gridSpan w:val="3"/>
          </w:tcPr>
          <w:p>
            <w:pPr>
              <w:ind w:left="80"/>
              <w:spacing w:after="0"/>
              <w:rPr>
                <w:sz w:val="20"/>
                <w:szCs w:val="20"/>
                <w:color w:val="auto"/>
              </w:rPr>
            </w:pPr>
            <w:r>
              <w:rPr>
                <w:rFonts w:ascii="Arial" w:cs="Arial" w:eastAsia="Arial" w:hAnsi="Arial"/>
                <w:sz w:val="18"/>
                <w:szCs w:val="18"/>
                <w:color w:val="auto"/>
              </w:rPr>
              <w:t>Other investments</w:t>
            </w:r>
          </w:p>
        </w:tc>
        <w:tc>
          <w:tcPr>
            <w:tcW w:w="10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28.0</w:t>
            </w:r>
          </w:p>
        </w:tc>
      </w:tr>
      <w:tr>
        <w:trPr>
          <w:trHeight w:val="27"/>
        </w:trPr>
        <w:tc>
          <w:tcPr>
            <w:tcW w:w="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1,656.1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4"/>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02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r>
      <w:tr>
        <w:trPr>
          <w:trHeight w:val="20"/>
        </w:trPr>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Regular cash dividends declared per share during the first three months of 2015 and 2016 were $.52 and $.54, respectively. A $2.00 per share special dividend was also declared in the first quarter of 2015.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first quarter of 2016.</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19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9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97"/>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spacing w:after="0"/>
              <w:rPr>
                <w:sz w:val="16"/>
                <w:szCs w:val="16"/>
                <w:color w:val="auto"/>
              </w:rPr>
            </w:pPr>
          </w:p>
        </w:tc>
        <w:tc>
          <w:tcPr>
            <w:tcW w:w="1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center"/>
              <w:ind w:right="197"/>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30,818,229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59.24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(1,141,382)</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47.22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(208,376)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72.35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71.61</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March 31, 2016</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29,467,127</w:t>
            </w:r>
          </w:p>
        </w:tc>
        <w:tc>
          <w:tcPr>
            <w:tcW w:w="3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March 31, 2016</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18,726,499</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52.55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SHARES AND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status of and changes in our nonvested restricted shares and restricted stock units during the first quarter of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b w:val="1"/>
                <w:bCs w:val="1"/>
                <w:color w:val="auto"/>
              </w:rPr>
              <w:t>Restricted</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94"/>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rPr>
                <w:sz w:val="12"/>
                <w:szCs w:val="12"/>
                <w:color w:val="auto"/>
              </w:rPr>
            </w:pPr>
          </w:p>
        </w:tc>
        <w:tc>
          <w:tcPr>
            <w:tcW w:w="1620" w:type="dxa"/>
            <w:vAlign w:val="bottom"/>
            <w:gridSpan w:val="2"/>
            <w:vMerge w:val="continue"/>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units</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Nonvested at December 31, 2015</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1,470,827</w:t>
            </w:r>
          </w:p>
        </w:tc>
        <w:tc>
          <w:tcPr>
            <w:tcW w:w="1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2,216,431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74.66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Time-based grants</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1,483,557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70.26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Performance-based grants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200,223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70.26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(29,387)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(35,319)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74.66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March 31, 2016</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1,436,710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3,858,168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nonvested at March 31, 2016, includes 21,600 performance-based restricted shares and 401,404 performance-based restricted stock units. These performance-based restricted shares and units include 21,600 restricted shares and 137,835 restricted stock units for which the performance period has lapsed and the performance threshold has been met.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following table presents the compensation expense (in millions) to be recognized over the remaining vesting periods of the stock-based awards outstanding at March 31, 2016. Estimated future compensation expense will change to reflect future option grants; future awards of unrestricted shares and restricted stock units; changes in estimated forfeitures;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Second quarter 2016</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Third quarter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Fourth quarter 2016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2018 through 2021</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ind w:left="1025" w:hanging="1025"/>
        <w:spacing w:after="0"/>
        <w:tabs>
          <w:tab w:leader="none" w:pos="1025" w:val="left"/>
        </w:tabs>
        <w:numPr>
          <w:ilvl w:val="0"/>
          <w:numId w:val="1"/>
        </w:numPr>
        <w:rPr>
          <w:rFonts w:ascii="Arial" w:cs="Arial" w:eastAsia="Arial" w:hAnsi="Arial"/>
          <w:sz w:val="16"/>
          <w:szCs w:val="16"/>
          <w:color w:val="auto"/>
        </w:rPr>
      </w:pPr>
      <w:r>
        <w:rPr>
          <w:rFonts w:ascii="Arial" w:cs="Arial" w:eastAsia="Arial" w:hAnsi="Arial"/>
          <w:sz w:val="16"/>
          <w:szCs w:val="16"/>
          <w:color w:val="auto"/>
        </w:rPr>
        <w:t>39.0</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39.1</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35.4</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102.1</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ind w:left="925" w:hanging="925"/>
        <w:spacing w:after="0"/>
        <w:tabs>
          <w:tab w:leader="none" w:pos="925" w:val="left"/>
        </w:tabs>
        <w:numPr>
          <w:ilvl w:val="0"/>
          <w:numId w:val="2"/>
        </w:numPr>
        <w:rPr>
          <w:rFonts w:ascii="Arial" w:cs="Arial" w:eastAsia="Arial" w:hAnsi="Arial"/>
          <w:sz w:val="16"/>
          <w:szCs w:val="16"/>
          <w:color w:val="auto"/>
        </w:rPr>
      </w:pPr>
      <w:r>
        <w:rPr>
          <w:rFonts w:ascii="Arial" w:cs="Arial" w:eastAsia="Arial" w:hAnsi="Arial"/>
          <w:sz w:val="16"/>
          <w:szCs w:val="16"/>
          <w:color w:val="auto"/>
        </w:rPr>
        <w:t>316.9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934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63500</wp:posOffset>
            </wp:positionV>
            <wp:extent cx="934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9255" w:space="720"/>
            <w:col w:w="1445"/>
          </w:cols>
          <w:pgMar w:left="240" w:top="580" w:right="2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14</w:t>
      </w:r>
    </w:p>
    <w:p>
      <w:pPr>
        <w:sectPr>
          <w:pgSz w:w="11900" w:h="16838" w:orient="portrait"/>
          <w:cols w:equalWidth="0" w:num="1">
            <w:col w:w="11420"/>
          </w:cols>
          <w:pgMar w:left="240" w:top="580"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8– EARNINGS PER SHARE CALCULATIONS.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presents the reconciliation (in millions) of net income attributable to T. Rowe Price Group to net income allocated to our common stockholders and the weighted-average shares (in millions) that are used in calculating the basic and diluted earnings per share on our common stock. Weighted-average common shares outstanding assuming dilution reflect the potential dilution, determined using the treasury stock method, that could occur if outstanding stock options were exercised and non-participating stock awards vested.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4"/>
            <w:shd w:val="clear" w:color="auto" w:fill="CCEEFF"/>
          </w:tcPr>
          <w:p>
            <w:pPr>
              <w:jc w:val="right"/>
              <w:ind w:right="813"/>
              <w:spacing w:after="0"/>
              <w:rPr>
                <w:sz w:val="20"/>
                <w:szCs w:val="20"/>
                <w:color w:val="auto"/>
              </w:rPr>
            </w:pPr>
            <w:r>
              <w:rPr>
                <w:rFonts w:ascii="Arial" w:cs="Arial" w:eastAsia="Arial" w:hAnsi="Arial"/>
                <w:sz w:val="14"/>
                <w:szCs w:val="14"/>
                <w:b w:val="1"/>
                <w:bCs w:val="1"/>
                <w:color w:val="auto"/>
              </w:rPr>
              <w:t>Three months ended</w:t>
            </w:r>
          </w:p>
        </w:tc>
      </w:tr>
      <w:tr>
        <w:trPr>
          <w:trHeight w:val="258"/>
        </w:trPr>
        <w:tc>
          <w:tcPr>
            <w:tcW w:w="8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3/31/2015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3/31/2016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289.6</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30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258.7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246.7</w:t>
            </w:r>
          </w:p>
        </w:tc>
      </w:tr>
      <w:tr>
        <w:trPr>
          <w:trHeight w:val="251"/>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assuming dilution</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251.5</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shows the weighted-average outstanding stock options (in millions) that are excluded from the calculation of diluted earnings per common share as the inclusion of such shares would be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88"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3/31/2015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3/31/2016</w:t>
            </w:r>
          </w:p>
        </w:tc>
      </w:tr>
      <w:tr>
        <w:trPr>
          <w:trHeight w:val="263"/>
        </w:trPr>
        <w:tc>
          <w:tcPr>
            <w:tcW w:w="9440" w:type="dxa"/>
            <w:vAlign w:val="bottom"/>
            <w:gridSpan w:val="2"/>
            <w:shd w:val="clear" w:color="auto" w:fill="CCEEFF"/>
          </w:tcPr>
          <w:p>
            <w:pPr>
              <w:jc w:val="right"/>
              <w:ind w:right="5448"/>
              <w:spacing w:after="0"/>
              <w:rPr>
                <w:sz w:val="20"/>
                <w:szCs w:val="20"/>
                <w:color w:val="auto"/>
              </w:rPr>
            </w:pPr>
            <w:r>
              <w:rPr>
                <w:rFonts w:ascii="Arial" w:cs="Arial" w:eastAsia="Arial" w:hAnsi="Arial"/>
                <w:sz w:val="18"/>
                <w:szCs w:val="18"/>
                <w:color w:val="auto"/>
                <w:w w:val="90"/>
              </w:rPr>
              <w:t>Weighted-average outstanding stock options excluded</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impact of the components (in millions) of other comprehensive income or loss on deferred tax benefits (income taxes).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shd w:val="clear" w:color="auto" w:fill="CCEEFF"/>
          </w:tcPr>
          <w:p>
            <w:pPr>
              <w:spacing w:after="0"/>
              <w:rPr>
                <w:sz w:val="17"/>
                <w:szCs w:val="17"/>
                <w:color w:val="auto"/>
              </w:rPr>
            </w:pPr>
          </w:p>
        </w:tc>
        <w:tc>
          <w:tcPr>
            <w:tcW w:w="2640" w:type="dxa"/>
            <w:vAlign w:val="bottom"/>
            <w:tcBorders>
              <w:bottom w:val="single" w:sz="8" w:color="auto"/>
            </w:tcBorders>
            <w:gridSpan w:val="4"/>
            <w:shd w:val="clear" w:color="auto" w:fill="CCEEFF"/>
          </w:tcPr>
          <w:p>
            <w:pPr>
              <w:jc w:val="right"/>
              <w:ind w:right="37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shd w:val="clear" w:color="auto" w:fill="CCEEFF"/>
          </w:tcPr>
          <w:p>
            <w:pPr>
              <w:spacing w:after="0"/>
              <w:rPr>
                <w:sz w:val="17"/>
                <w:szCs w:val="17"/>
                <w:color w:val="auto"/>
              </w:rPr>
            </w:pPr>
          </w:p>
        </w:tc>
      </w:tr>
      <w:tr>
        <w:trPr>
          <w:trHeight w:val="258"/>
        </w:trPr>
        <w:tc>
          <w:tcPr>
            <w:tcW w:w="834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3/31/2015</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3/31/2016</w:t>
            </w:r>
          </w:p>
        </w:tc>
        <w:tc>
          <w:tcPr>
            <w:tcW w:w="44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benefits on:</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unrealized holding gains or losses</w:t>
            </w:r>
          </w:p>
        </w:tc>
        <w:tc>
          <w:tcPr>
            <w:tcW w:w="1080" w:type="dxa"/>
            <w:vAlign w:val="bottom"/>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(3.1)</w:t>
            </w:r>
          </w:p>
        </w:tc>
        <w:tc>
          <w:tcPr>
            <w:tcW w:w="100" w:type="dxa"/>
            <w:vAlign w:val="bottom"/>
          </w:tcPr>
          <w:p>
            <w:pPr>
              <w:spacing w:after="0"/>
              <w:rPr>
                <w:sz w:val="21"/>
                <w:szCs w:val="21"/>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8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Reclassification adjustments recognized in the provision for income taxes:</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60"/>
              <w:spacing w:after="0"/>
              <w:rPr>
                <w:sz w:val="20"/>
                <w:szCs w:val="20"/>
                <w:color w:val="auto"/>
              </w:rPr>
            </w:pPr>
            <w:r>
              <w:rPr>
                <w:rFonts w:ascii="Arial" w:cs="Arial" w:eastAsia="Arial" w:hAnsi="Arial"/>
                <w:sz w:val="18"/>
                <w:szCs w:val="18"/>
                <w:color w:val="auto"/>
              </w:rPr>
              <w:t>Net gains realized on dispositions</w:t>
            </w:r>
          </w:p>
        </w:tc>
        <w:tc>
          <w:tcPr>
            <w:tcW w:w="10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20.6</w:t>
            </w:r>
          </w:p>
        </w:tc>
      </w:tr>
      <w:tr>
        <w:trPr>
          <w:trHeight w:val="27"/>
        </w:trPr>
        <w:tc>
          <w:tcPr>
            <w:tcW w:w="83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benefits on net unrealized holding gains or losses</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23.1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tax benefits (income taxes) on currency translation adjustments</w:t>
            </w:r>
          </w:p>
        </w:tc>
        <w:tc>
          <w:tcPr>
            <w:tcW w:w="10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83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deferred tax benefits</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16.4</w:t>
            </w:r>
          </w:p>
        </w:tc>
      </w:tr>
      <w:tr>
        <w:trPr>
          <w:trHeight w:val="20"/>
        </w:trPr>
        <w:tc>
          <w:tcPr>
            <w:tcW w:w="8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580" w:right="239" w:bottom="1440" w:gutter="0" w:footer="0" w:header="0"/>
        </w:sectPr>
      </w:pPr>
    </w:p>
    <w:bookmarkStart w:id="15" w:name="page16"/>
    <w:bookmarkEnd w:id="15"/>
    <w:p>
      <w:pPr>
        <w:ind w:right="80"/>
        <w:spacing w:after="0" w:line="277" w:lineRule="auto"/>
        <w:rPr>
          <w:sz w:val="20"/>
          <w:szCs w:val="20"/>
          <w:color w:val="auto"/>
        </w:rPr>
      </w:pPr>
      <w:r>
        <w:rPr>
          <w:rFonts w:ascii="Arial" w:cs="Arial" w:eastAsia="Arial" w:hAnsi="Arial"/>
          <w:sz w:val="18"/>
          <w:szCs w:val="18"/>
          <w:color w:val="auto"/>
        </w:rPr>
        <w:t>The changes (in millions) in each component of accumulated other comprehensive income, including reclassification adjustments for the first quarter of 2016 are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8"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23495</wp:posOffset>
            </wp:positionV>
            <wp:extent cx="25298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sponsored</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Total currency</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Net unrealized</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Equity method</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portfolios -</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variable interest</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holding gains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entities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adjustments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2015</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29"/>
        </w:trPr>
        <w:tc>
          <w:tcPr>
            <w:tcW w:w="4580" w:type="dxa"/>
            <w:vAlign w:val="bottom"/>
          </w:tcPr>
          <w:p>
            <w:pPr>
              <w:ind w:left="40"/>
              <w:spacing w:after="0"/>
              <w:rPr>
                <w:sz w:val="20"/>
                <w:szCs w:val="20"/>
                <w:color w:val="auto"/>
              </w:rPr>
            </w:pPr>
            <w:r>
              <w:rPr>
                <w:rFonts w:ascii="Arial" w:cs="Arial" w:eastAsia="Arial" w:hAnsi="Arial"/>
                <w:sz w:val="18"/>
                <w:szCs w:val="18"/>
                <w:color w:val="auto"/>
              </w:rPr>
              <w:t>Reclass of accumulated other comprehensive income to</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Arial" w:cs="Arial" w:eastAsia="Arial" w:hAnsi="Arial"/>
                <w:sz w:val="18"/>
                <w:szCs w:val="18"/>
                <w:color w:val="auto"/>
                <w:w w:val="99"/>
              </w:rPr>
              <w:t>retained earnings upon adoption of the new consolidation</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40"/>
              <w:spacing w:after="0"/>
              <w:rPr>
                <w:sz w:val="20"/>
                <w:szCs w:val="20"/>
                <w:color w:val="auto"/>
              </w:rPr>
            </w:pPr>
            <w:r>
              <w:rPr>
                <w:rFonts w:ascii="Arial" w:cs="Arial" w:eastAsia="Arial" w:hAnsi="Arial"/>
                <w:sz w:val="18"/>
                <w:szCs w:val="18"/>
                <w:color w:val="auto"/>
              </w:rPr>
              <w:t>accounting guidance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9"/>
        </w:trPr>
        <w:tc>
          <w:tcPr>
            <w:tcW w:w="4580" w:type="dxa"/>
            <w:vAlign w:val="bottom"/>
          </w:tcPr>
          <w:p>
            <w:pPr>
              <w:ind w:left="40"/>
              <w:spacing w:after="0"/>
              <w:rPr>
                <w:sz w:val="20"/>
                <w:szCs w:val="20"/>
                <w:color w:val="auto"/>
              </w:rPr>
            </w:pPr>
            <w:r>
              <w:rPr>
                <w:rFonts w:ascii="Arial" w:cs="Arial" w:eastAsia="Arial" w:hAnsi="Arial"/>
                <w:sz w:val="18"/>
                <w:szCs w:val="18"/>
                <w:color w:val="auto"/>
                <w:w w:val="95"/>
              </w:rPr>
              <w:t>Other comprehensive income (loss) before reclassifications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40"/>
              <w:spacing w:after="0"/>
              <w:rPr>
                <w:sz w:val="20"/>
                <w:szCs w:val="20"/>
                <w:color w:val="auto"/>
              </w:rPr>
            </w:pPr>
            <w:r>
              <w:rPr>
                <w:rFonts w:ascii="Arial" w:cs="Arial" w:eastAsia="Arial" w:hAnsi="Arial"/>
                <w:sz w:val="18"/>
                <w:szCs w:val="18"/>
                <w:color w:val="auto"/>
              </w:rPr>
              <w:t>and income taxes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Reclassification adjustments recognized in non-operating</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benefits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March 31,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74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March 31, 2016, the related condensed consolidated statements of income, comprehensive income and cash flows for the three month periods ended March 31, 2016 and 2015, and the related condensed consolidated statement of stockholders’ equity for the three-month period ended March 31, 2016. These condensed consolidated financial statements are the responsibility of the Company’s management.</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T. Rowe Price Group, Inc. and subsidiaries as of December 31, 2015, and the related consolidated statements of income, comprehensive income, stockholders’ equity, and cash flows for the year then ended (not presented herein); and in our report dated February 5, 2016, we expressed an unqualified opinion on those consolidated financial statements. In our opinion, the information set forth in the accompanying condensed consolidated balance sheet as of December 31, 2015,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26, 2016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U.S. mutual funds and other investment portfolios. The other investment portfolios include: separately managed accounts, subadvised funds, and other sponsored investment portfolios including collective investment trusts, target-date retirement trusts, Luxembourg-based funds offered to investors outside the U.S., and portfolios offered through variable annuity life insurance plans in the U.S. Investment advisory clients domiciled outside the U.S. account for nearly 5% of our assets under management at March 31, 2016.</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remain debt-free with substantial liquidity and resources that allow us to take advantage of attractive growth opportunities, invest in key capabilities, including investment professionals, technologies, and new fund offerings; and, most importantly, provide our clients with strong investment management expertise and service both now and in the future. We expect to continue our investment in long-term initiatives to sustain and deepen our investment talent, add investment capabilities both in terms of new strategies and new investment vehicles, expand capabilities through enhanced technology, and broaden our distribution reach globally.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Major U.S. equity indexes were mixed in the first quarter of 2016, as sharp gains in the second half of the period mostly erased earlier losses. As the new year began, world markets plunged as global economic growth concerns intensified and as oil prices skidded below $30 per barrel. By mid-February, the small-cap Russell 2000 Index was in bear market territory-commonly defined as a decline of at least 20% from recent highs. Equities rallied sharply through the end of March, as central banks in Europe and Japan pushed certain interest rates into or deeper into negative territory. Also, oil prices rallied amid speculation that global producers could freeze or cut production. In addition, the dollar weakened versus most currencies amid lower expectations for U.S. interest rate increases this year.</w:t>
      </w:r>
    </w:p>
    <w:p>
      <w:pPr>
        <w:spacing w:after="0" w:line="19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Stocks in developed non-U.S. markets declined, but a weaker U.S. dollar versus most major currencies reduced losses in dollar terms. Japanese stocks fell, as the economy remained sluggish and the government and central bank downgraded their growth expectations near the end of the quarter. European equity markets generally declined; many were hurt by weakness among bank stocks amid concerns about negative interest rates, nonperforming loans, and energy sector exposure. Emerging markets equities produced positive returns, especially in Latin America and emerging Europe. Asian markets were widely mixed.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equity market indexes for the first quarter of 2016,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Index</w:t>
            </w:r>
          </w:p>
        </w:tc>
        <w:tc>
          <w:tcPr>
            <w:tcW w:w="140" w:type="dxa"/>
            <w:vAlign w:val="bottom"/>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43"/>
        </w:trPr>
        <w:tc>
          <w:tcPr>
            <w:tcW w:w="9620" w:type="dxa"/>
            <w:vAlign w:val="bottom"/>
            <w:gridSpan w:val="2"/>
          </w:tcPr>
          <w:p>
            <w:pPr>
              <w:ind w:left="40"/>
              <w:spacing w:after="0"/>
              <w:rPr>
                <w:sz w:val="20"/>
                <w:szCs w:val="20"/>
                <w:color w:val="auto"/>
              </w:rPr>
            </w:pPr>
            <w:r>
              <w:rPr>
                <w:rFonts w:ascii="Arial" w:cs="Arial" w:eastAsia="Arial" w:hAnsi="Arial"/>
                <w:sz w:val="18"/>
                <w:szCs w:val="18"/>
                <w:color w:val="auto"/>
              </w:rPr>
              <w:t>S&amp;P 500 Index</w:t>
            </w:r>
          </w:p>
        </w:tc>
        <w:tc>
          <w:tcPr>
            <w:tcW w:w="1700" w:type="dxa"/>
            <w:vAlign w:val="bottom"/>
          </w:tcPr>
          <w:p>
            <w:pPr>
              <w:jc w:val="right"/>
              <w:ind w:right="59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r>
      <w:tr>
        <w:trPr>
          <w:trHeight w:val="27"/>
        </w:trPr>
        <w:tc>
          <w:tcPr>
            <w:tcW w:w="9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96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NASDAQ Composite Index </w:t>
            </w:r>
            <w:r>
              <w:rPr>
                <w:rFonts w:ascii="Arial" w:cs="Arial" w:eastAsia="Arial" w:hAnsi="Arial"/>
                <w:sz w:val="25"/>
                <w:szCs w:val="25"/>
                <w:color w:val="auto"/>
                <w:vertAlign w:val="superscript"/>
              </w:rPr>
              <w:t>(1)</w:t>
            </w:r>
          </w:p>
        </w:tc>
        <w:tc>
          <w:tcPr>
            <w:tcW w:w="17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r>
      <w:tr>
        <w:trPr>
          <w:trHeight w:val="243"/>
        </w:trPr>
        <w:tc>
          <w:tcPr>
            <w:tcW w:w="9620" w:type="dxa"/>
            <w:vAlign w:val="bottom"/>
            <w:gridSpan w:val="2"/>
          </w:tcPr>
          <w:p>
            <w:pPr>
              <w:ind w:left="40"/>
              <w:spacing w:after="0"/>
              <w:rPr>
                <w:sz w:val="20"/>
                <w:szCs w:val="20"/>
                <w:color w:val="auto"/>
              </w:rPr>
            </w:pPr>
            <w:r>
              <w:rPr>
                <w:rFonts w:ascii="Arial" w:cs="Arial" w:eastAsia="Arial" w:hAnsi="Arial"/>
                <w:sz w:val="18"/>
                <w:szCs w:val="18"/>
                <w:color w:val="auto"/>
              </w:rPr>
              <w:t>Russell 2000 Index</w:t>
            </w:r>
          </w:p>
        </w:tc>
        <w:tc>
          <w:tcPr>
            <w:tcW w:w="1700" w:type="dxa"/>
            <w:vAlign w:val="bottom"/>
          </w:tcPr>
          <w:p>
            <w:pPr>
              <w:jc w:val="right"/>
              <w:ind w:right="5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r>
      <w:tr>
        <w:trPr>
          <w:trHeight w:val="27"/>
        </w:trPr>
        <w:tc>
          <w:tcPr>
            <w:tcW w:w="9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9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17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9620" w:type="dxa"/>
            <w:vAlign w:val="bottom"/>
            <w:gridSpan w:val="2"/>
          </w:tcPr>
          <w:p>
            <w:pPr>
              <w:ind w:left="40"/>
              <w:spacing w:after="0"/>
              <w:rPr>
                <w:sz w:val="20"/>
                <w:szCs w:val="20"/>
                <w:color w:val="auto"/>
              </w:rPr>
            </w:pPr>
            <w:r>
              <w:rPr>
                <w:rFonts w:ascii="Arial" w:cs="Arial" w:eastAsia="Arial" w:hAnsi="Arial"/>
                <w:sz w:val="18"/>
                <w:szCs w:val="18"/>
                <w:color w:val="auto"/>
              </w:rPr>
              <w:t>MSCI Emerging Markets Index</w:t>
            </w:r>
          </w:p>
        </w:tc>
        <w:tc>
          <w:tcPr>
            <w:tcW w:w="1700" w:type="dxa"/>
            <w:vAlign w:val="bottom"/>
          </w:tcPr>
          <w:p>
            <w:pPr>
              <w:jc w:val="right"/>
              <w:ind w:right="59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r>
      <w:tr>
        <w:trPr>
          <w:trHeight w:val="341"/>
        </w:trPr>
        <w:tc>
          <w:tcPr>
            <w:tcW w:w="9620" w:type="dxa"/>
            <w:vAlign w:val="bottom"/>
            <w:gridSpan w:val="2"/>
          </w:tcPr>
          <w:p>
            <w:pPr>
              <w:ind w:left="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i w:val="1"/>
                <w:iCs w:val="1"/>
                <w:color w:val="auto"/>
              </w:rPr>
              <w:t xml:space="preserve"> returns exclude dividends</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0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Global bond returns in the first quarter were broadly positive in dollar terms. In the U.S., longer-term Treasury yields declined and bond prices rose; the 10-year Treasury yield fell from 2.3% to 1.8%. Diminished expectations for more Fed rate increases and negative interest rates in some non-U.S. countries made U.S. sovereign debt yields look relatively attractive. In the investment-grade universe, long-term Treasuries performed best, but corporate securities did well, too. Other segments lagged with milder gains. High yield bonds produced good returns, helped by rebounding commodity prices.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580" w:right="239" w:bottom="1440" w:gutter="0" w:footer="0" w:header="0"/>
        </w:sectPr>
      </w:pPr>
    </w:p>
    <w:bookmarkStart w:id="18" w:name="page19"/>
    <w:bookmarkEnd w:id="18"/>
    <w:p>
      <w:pPr>
        <w:spacing w:after="0" w:line="259" w:lineRule="auto"/>
        <w:rPr>
          <w:sz w:val="20"/>
          <w:szCs w:val="20"/>
          <w:color w:val="auto"/>
        </w:rPr>
      </w:pPr>
      <w:r>
        <w:rPr>
          <w:rFonts w:ascii="Arial" w:cs="Arial" w:eastAsia="Arial" w:hAnsi="Arial"/>
          <w:sz w:val="18"/>
          <w:szCs w:val="18"/>
          <w:color w:val="auto"/>
        </w:rPr>
        <w:t>Government bonds in developed non-U.S. countries produced strong returns, as new eurozone and Japanese stimulus measures lifted bond prices and further suppressed yields. A generally weaker dollar boosted returns for U.S. investors. Emerging markets bonds rallied as a weaker dollar, reduced risk aversion, and the Fed’s decision to postpone further rate hikes prompted investors to seek higher-yielding securities. Bonds denominated in local currencies outperformed dollar-denominated issues.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for the first quarter of 2016,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Index</w:t>
            </w:r>
          </w:p>
        </w:tc>
        <w:tc>
          <w:tcPr>
            <w:tcW w:w="140" w:type="dxa"/>
            <w:vAlign w:val="bottom"/>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43"/>
        </w:trPr>
        <w:tc>
          <w:tcPr>
            <w:tcW w:w="9620" w:type="dxa"/>
            <w:vAlign w:val="bottom"/>
            <w:gridSpan w:val="2"/>
          </w:tcPr>
          <w:p>
            <w:pPr>
              <w:ind w:left="40"/>
              <w:spacing w:after="0"/>
              <w:rPr>
                <w:sz w:val="20"/>
                <w:szCs w:val="20"/>
                <w:color w:val="auto"/>
              </w:rPr>
            </w:pPr>
            <w:r>
              <w:rPr>
                <w:rFonts w:ascii="Arial" w:cs="Arial" w:eastAsia="Arial" w:hAnsi="Arial"/>
                <w:sz w:val="18"/>
                <w:szCs w:val="18"/>
                <w:color w:val="auto"/>
              </w:rPr>
              <w:t>Barclays U.S. Aggregate Bond Index</w:t>
            </w:r>
          </w:p>
        </w:tc>
        <w:tc>
          <w:tcPr>
            <w:tcW w:w="1700" w:type="dxa"/>
            <w:vAlign w:val="bottom"/>
          </w:tcPr>
          <w:p>
            <w:pPr>
              <w:jc w:val="right"/>
              <w:ind w:right="59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r>
      <w:tr>
        <w:trPr>
          <w:trHeight w:val="27"/>
        </w:trPr>
        <w:tc>
          <w:tcPr>
            <w:tcW w:w="9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9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Suisse High Yield Index</w:t>
            </w:r>
          </w:p>
        </w:tc>
        <w:tc>
          <w:tcPr>
            <w:tcW w:w="17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9620" w:type="dxa"/>
            <w:vAlign w:val="bottom"/>
            <w:gridSpan w:val="2"/>
          </w:tcPr>
          <w:p>
            <w:pPr>
              <w:ind w:left="40"/>
              <w:spacing w:after="0"/>
              <w:rPr>
                <w:sz w:val="20"/>
                <w:szCs w:val="20"/>
                <w:color w:val="auto"/>
              </w:rPr>
            </w:pPr>
            <w:r>
              <w:rPr>
                <w:rFonts w:ascii="Arial" w:cs="Arial" w:eastAsia="Arial" w:hAnsi="Arial"/>
                <w:sz w:val="18"/>
                <w:szCs w:val="18"/>
                <w:color w:val="auto"/>
              </w:rPr>
              <w:t>Barclays Municipal Bond Index</w:t>
            </w:r>
          </w:p>
        </w:tc>
        <w:tc>
          <w:tcPr>
            <w:tcW w:w="1700" w:type="dxa"/>
            <w:vAlign w:val="bottom"/>
          </w:tcPr>
          <w:p>
            <w:pPr>
              <w:jc w:val="right"/>
              <w:ind w:right="59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r>
      <w:tr>
        <w:trPr>
          <w:trHeight w:val="27"/>
        </w:trPr>
        <w:tc>
          <w:tcPr>
            <w:tcW w:w="9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9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Barclays Global Aggregate Ex-U.S. Dollar Bond Index</w:t>
            </w:r>
          </w:p>
        </w:tc>
        <w:tc>
          <w:tcPr>
            <w:tcW w:w="17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9620" w:type="dxa"/>
            <w:vAlign w:val="bottom"/>
            <w:gridSpan w:val="2"/>
          </w:tcPr>
          <w:p>
            <w:pPr>
              <w:ind w:left="40"/>
              <w:spacing w:after="0"/>
              <w:rPr>
                <w:sz w:val="20"/>
                <w:szCs w:val="20"/>
                <w:color w:val="auto"/>
              </w:rPr>
            </w:pPr>
            <w:r>
              <w:rPr>
                <w:rFonts w:ascii="Arial" w:cs="Arial" w:eastAsia="Arial" w:hAnsi="Arial"/>
                <w:sz w:val="18"/>
                <w:szCs w:val="18"/>
                <w:color w:val="auto"/>
              </w:rPr>
              <w:t>JPMorgan Emerging Markets Bond Index Plus</w:t>
            </w:r>
          </w:p>
        </w:tc>
        <w:tc>
          <w:tcPr>
            <w:tcW w:w="1700" w:type="dxa"/>
            <w:vAlign w:val="bottom"/>
          </w:tcPr>
          <w:p>
            <w:pPr>
              <w:jc w:val="right"/>
              <w:ind w:right="59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Assets under management ended the first quarter of 2016 at $764.6 billion, an increase of $1.5 billion from December 31, 2015. The following table presents our assets under management (in billions) at December 31, 2015, and March 31, 2016, by investment portfolio and investment objective.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Borders>
              <w:bottom w:val="single" w:sz="8" w:color="auto"/>
            </w:tcBorders>
            <w:shd w:val="clear" w:color="auto" w:fill="CCEEFF"/>
          </w:tcPr>
          <w:p>
            <w:pPr>
              <w:spacing w:after="0"/>
              <w:rPr>
                <w:sz w:val="22"/>
                <w:szCs w:val="22"/>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12/31/2015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3/31/2016</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277.9</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under management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764.6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4"/>
        </w:trPr>
        <w:tc>
          <w:tcPr>
            <w:tcW w:w="8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Borders>
              <w:bottom w:val="single" w:sz="8" w:color="auto"/>
            </w:tcBorders>
            <w:shd w:val="clear" w:color="auto" w:fill="CCEEFF"/>
          </w:tcPr>
          <w:p>
            <w:pPr>
              <w:spacing w:after="0"/>
              <w:rPr>
                <w:sz w:val="22"/>
                <w:szCs w:val="22"/>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12/31/2015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3/31/2016</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and blended asset portfolios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592.8</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589.2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Fixed income portfolios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175.4</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under management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764.6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our assets under management (in billions) during the first quarter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0"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Three months ended 3/31/2016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812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Sponsored U.S.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investment</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90"/>
        </w:trPr>
        <w:tc>
          <w:tcPr>
            <w:tcW w:w="8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mutual funds</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portfolios</w:t>
            </w:r>
          </w:p>
        </w:tc>
        <w:tc>
          <w:tcPr>
            <w:tcW w:w="240" w:type="dxa"/>
            <w:vAlign w:val="bottom"/>
          </w:tcPr>
          <w:p>
            <w:pPr>
              <w:spacing w:after="0"/>
              <w:rPr>
                <w:sz w:val="16"/>
                <w:szCs w:val="16"/>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27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beginning of period</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487.1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276.0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763.1</w:t>
            </w:r>
          </w:p>
        </w:tc>
      </w:tr>
      <w:tr>
        <w:trPr>
          <w:trHeight w:val="277"/>
        </w:trPr>
        <w:tc>
          <w:tcPr>
            <w:tcW w:w="8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before client transfers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Client transfers from mutual funds to other portfolios</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after client transfers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Market depreciation, net of income</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8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during the period</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77"/>
        </w:trPr>
        <w:tc>
          <w:tcPr>
            <w:tcW w:w="8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March 31, 2016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277.9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764.6</w:t>
            </w:r>
          </w:p>
        </w:tc>
      </w:tr>
      <w:tr>
        <w:trPr>
          <w:trHeight w:val="20"/>
        </w:trPr>
        <w:tc>
          <w:tcPr>
            <w:tcW w:w="8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client transfers from mutual funds to other investment portfolios noted in the table above were primarily transfers from mutual funds to collective investment trusts, including our retirement date trusts and to separate accounts.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net cash flows after client transfers (in billions) during the first quarter of 2016,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Sponsored U.S. mutual funds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ind w:left="80"/>
              <w:spacing w:after="0"/>
              <w:rPr>
                <w:sz w:val="20"/>
                <w:szCs w:val="20"/>
                <w:color w:val="auto"/>
              </w:rPr>
            </w:pPr>
            <w:r>
              <w:rPr>
                <w:rFonts w:ascii="Arial" w:cs="Arial" w:eastAsia="Arial" w:hAnsi="Arial"/>
                <w:sz w:val="18"/>
                <w:szCs w:val="18"/>
                <w:color w:val="auto"/>
              </w:rPr>
              <w:t>Stock and blended asset funds</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9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Bond funds</w:t>
            </w:r>
          </w:p>
        </w:tc>
        <w:tc>
          <w:tcPr>
            <w:tcW w:w="9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9360" w:type="dxa"/>
            <w:vAlign w:val="bottom"/>
          </w:tcPr>
          <w:p>
            <w:pPr>
              <w:ind w:left="80"/>
              <w:spacing w:after="0"/>
              <w:rPr>
                <w:sz w:val="20"/>
                <w:szCs w:val="20"/>
                <w:color w:val="auto"/>
              </w:rPr>
            </w:pPr>
            <w:r>
              <w:rPr>
                <w:rFonts w:ascii="Arial" w:cs="Arial" w:eastAsia="Arial" w:hAnsi="Arial"/>
                <w:sz w:val="18"/>
                <w:szCs w:val="18"/>
                <w:color w:val="auto"/>
              </w:rPr>
              <w:t>Money market funds</w:t>
            </w:r>
          </w:p>
        </w:tc>
        <w:tc>
          <w:tcPr>
            <w:tcW w:w="9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9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9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9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9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Stock and blended assets</w:t>
            </w:r>
          </w:p>
        </w:tc>
        <w:tc>
          <w:tcPr>
            <w:tcW w:w="9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9360" w:type="dxa"/>
            <w:vAlign w:val="bottom"/>
          </w:tcPr>
          <w:p>
            <w:pPr>
              <w:ind w:left="80"/>
              <w:spacing w:after="0"/>
              <w:rPr>
                <w:sz w:val="20"/>
                <w:szCs w:val="20"/>
                <w:color w:val="auto"/>
              </w:rPr>
            </w:pPr>
            <w:r>
              <w:rPr>
                <w:rFonts w:ascii="Arial" w:cs="Arial" w:eastAsia="Arial" w:hAnsi="Arial"/>
                <w:sz w:val="18"/>
                <w:szCs w:val="18"/>
                <w:color w:val="auto"/>
              </w:rPr>
              <w:t>Fixed income, money market, and stable value</w:t>
            </w:r>
          </w:p>
        </w:tc>
        <w:tc>
          <w:tcPr>
            <w:tcW w:w="9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9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9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57"/>
        </w:trPr>
        <w:tc>
          <w:tcPr>
            <w:tcW w:w="9360" w:type="dxa"/>
            <w:vAlign w:val="bottom"/>
          </w:tcPr>
          <w:p>
            <w:pPr>
              <w:ind w:left="40"/>
              <w:spacing w:after="0"/>
              <w:rPr>
                <w:sz w:val="20"/>
                <w:szCs w:val="20"/>
                <w:color w:val="auto"/>
              </w:rPr>
            </w:pPr>
            <w:r>
              <w:rPr>
                <w:rFonts w:ascii="Arial" w:cs="Arial" w:eastAsia="Arial" w:hAnsi="Arial"/>
                <w:sz w:val="18"/>
                <w:szCs w:val="18"/>
                <w:color w:val="auto"/>
              </w:rPr>
              <w:t>Total net cash flows after client transfers</w:t>
            </w: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r>
      <w:tr>
        <w:trPr>
          <w:trHeight w:val="20"/>
        </w:trPr>
        <w:tc>
          <w:tcPr>
            <w:tcW w:w="9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target-date retirement portfolios invest in a broadly diversified portfolio of other T. Rowe Price funds or T. Rowe Price collective investment trusts, and automatically rebalance to maintain their specific asset allocation weightings. Total net cash flows for the three-month period ended March 31, 2016, include $4.2 billion that originated in our target-date retirement portfolios. Assets under management in these portfolios at March 31, 2016, totaled $172.6 billion, including $138.5 billion in target-date retirement funds and $34.1 billion in target-date retirement trusts.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often involve costs that precede any future revenues that we may recognize from an increase to our assets under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0344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363"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34290</wp:posOffset>
            </wp:positionV>
            <wp:extent cx="21437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3/31/2015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3/31/2016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Dollar change</w:t>
            </w: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Percentage change</w:t>
            </w: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millions, except per-share data)</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Investment advisory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896.5</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870.8</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549.2</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583.2</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Non-operating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85.1</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58.3</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217.5 %</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 on common stock of 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Rowe Price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324"/>
        </w:trPr>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assets under management (in billions)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759.0</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728.1</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Investment advisory fees earned in the first quarter of 2016 decreased over the comparable 2015 quarter as average assets under our management decreased $30.9 billion, or 4.1%, to $728.1 billion. The average annualized effective fee rate earned on our assets under management during the first quarter of 2016 was 48.1 basis points compared with 47.9 basis points earned during the first quarter of 2015. The increase was primarily a result of a decline in money market fee waivers of $9.7 million from the first quarter of 2015. We voluntarily waived in the 2016 quarter $4.0 million in money market related fees, including advisory fees and fund expenses, in order to maintain a positive yield for fund investors. These fee waivers represent less than 1% of total investment advisory fees earned during the first quarter of 2016 and were waived from certain money market mutual funds and trusts, which have combined net assets of $15.8 billion at March 31, 2016. We expect that these fee waivers will continue for the remainder of 2016.</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584" w:right="239" w:bottom="1440" w:gutter="0" w:footer="0" w:header="0"/>
        </w:sectPr>
      </w:pPr>
    </w:p>
    <w:bookmarkStart w:id="20" w:name="page21"/>
    <w:bookmarkEnd w:id="20"/>
    <w:p>
      <w:pPr>
        <w:jc w:val="both"/>
        <w:ind w:right="380"/>
        <w:spacing w:after="0" w:line="264" w:lineRule="auto"/>
        <w:rPr>
          <w:sz w:val="20"/>
          <w:szCs w:val="20"/>
          <w:color w:val="auto"/>
        </w:rPr>
      </w:pPr>
      <w:r>
        <w:rPr>
          <w:rFonts w:ascii="Arial" w:cs="Arial" w:eastAsia="Arial" w:hAnsi="Arial"/>
          <w:sz w:val="18"/>
          <w:szCs w:val="18"/>
          <w:color w:val="auto"/>
        </w:rPr>
        <w:t>Our operating margin in the first quarter of 2016 was 41.3%, compared to 46.5% in the 2015 quarter, as we continue to make investments to broaden and deepen our investment management, distribution, and service capabilities around the world despite the impact recent market volatility has had on our net revenues.</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first quarter of 2016 results were impacted by greater non-operating income resulting from higher realized gains on investments and implementing new accounting guidance related to the consolidation of certain sponsored investment portfolios. When aggregated, these items added $.11 in diluted earnings per common share in the quarter when compared to the prior year period.</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January 1, 2016, we implemented new accounting guidance that requires us to consolidate certain sponsored investment portfolios in which we are deemed to have a controlling interest. This results in the recognition in our consolidated statements of income each portfolio's investment income and operating expenses, including the portion attributable to redeemable non-controlling interests. The portion attributable to redeemable non-controlling interests is removed from our net income to arrive at net income attributable to T. Rowe Price Group, which is used in our calculation of earnings per share. For the first quarter of 2016, the impact (in millions) of consolidating these sponsored investment portfolios on the individual lines of the firm's income statement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23.8</w:t>
            </w:r>
          </w:p>
        </w:tc>
      </w:tr>
      <w:tr>
        <w:trPr>
          <w:trHeight w:val="27"/>
        </w:trPr>
        <w:tc>
          <w:tcPr>
            <w:tcW w:w="99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r>
      <w:tr>
        <w:trPr>
          <w:trHeight w:val="20"/>
        </w:trPr>
        <w:tc>
          <w:tcPr>
            <w:tcW w:w="9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9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the firm's interest in the consolidated sponsored investment portfolios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Attributable to redeemable non-controlling interests (unrelated third party investors)</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99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Investment advisory revenues earned in the first quarter of 2016 from the T. Rowe Price mutual funds distributed in the U.S. were $632.1 million, a decrease of $13.8 million, or 2.1%, from the comparable 2015 quarter. Average mutual fund assets under management in the first quarter of 2016 were $465.6 billion, a decrease of 4.4% from the average in the first quarter of 2015. The decline in revenues from lower average mutual fund assets under management was muted some by the reduction in money market fee waivers made in the first quarter of 2016 compared with the 2015 quarter.</w:t>
      </w:r>
    </w:p>
    <w:p>
      <w:pPr>
        <w:spacing w:after="0" w:line="17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Investment advisory revenues earned in the first quarter of 2016 from the other investment portfolios were $238.7 million, a decrease of $11.9 million, or 4.7%, from the comparable 2015 quarter. Average assets under management in the first quarter of 2016 were $262.5 billion, a decrease of 3.5% from the average in the first quarter of 2015.</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Administrative fee revenues decreased $3.6 million to $89.4 million in the first quarter of 2016, as fund accounting and portfolio recordkeeping operations we have provided to our sponsored U.S. mutual funds prior to August 2015 are now being performed by BNY Mellon. Changes in administrative fee revenues are generally offset by similar changes in related operating expenses that are incurred to provide services to the funds and their investors.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Compensation and related costs were $355.2 million in the first quarter of 2016, an increase of $8.7 million, or 2.5%, compared to the first quarter of 2015. The largest part of the change is attributable to a $12.0 million increase in base salaries and related benefits which results from a modest increase in salaries at the beginning of 2016 combined with a 2.5% increase in our average staff size from the first quarter of 2015. Our stock-based compensation expense has also increased $5.8 million in the first quarter of 2016. These increases are offset by a $2.2 million decrease in the interim accrual for our annual variable compensation programs. Our interim accrual for annual variable compensation program is recognized ratably over the year using the ratio of recognized quarterly net operating income to forecasted annual net operating income. The increase in compensation and related costs and our average staff size from the 2015 quarter were also muted by lower compensation costs resulting from shifting 210 associates in August 2015 and providing ongoing transition support to BNY Mellon. However, these lower compensation costs are offset by increases in costs paid to BNY Mellon to provide these administrative services and other transition-related activities, which are reflected in other operating expenses. We employed 6,061 associates at March 31, 2016.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584" w:right="239" w:bottom="1440" w:gutter="0" w:footer="0" w:header="0"/>
        </w:sectPr>
      </w:pPr>
    </w:p>
    <w:bookmarkStart w:id="21" w:name="page22"/>
    <w:bookmarkEnd w:id="21"/>
    <w:p>
      <w:pPr>
        <w:jc w:val="both"/>
        <w:ind w:right="140"/>
        <w:spacing w:after="0" w:line="264" w:lineRule="auto"/>
        <w:rPr>
          <w:sz w:val="20"/>
          <w:szCs w:val="20"/>
          <w:color w:val="auto"/>
        </w:rPr>
      </w:pPr>
      <w:r>
        <w:rPr>
          <w:rFonts w:ascii="Arial" w:cs="Arial" w:eastAsia="Arial" w:hAnsi="Arial"/>
          <w:sz w:val="18"/>
          <w:szCs w:val="18"/>
          <w:color w:val="auto"/>
        </w:rPr>
        <w:t>Occupancy and facility costs, together with depreciation and amortization expense, were $73.6 million in the first quarter of 2016, up $6.2 million compared to the first quarter of 2015. The increase is primarily related to ongoing updates and enhancements of technology capabilities, including related maintenance programs.</w:t>
      </w:r>
    </w:p>
    <w:p>
      <w:pPr>
        <w:spacing w:after="0" w:line="3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Advertising and promotion costs were $23.1 million in the first quarter of 2016, compared with $25.3 million in the comparable 2015 period. We currently expect advertising and promotion costs for the full-year 2016 to be comparable to 2015 levels.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operating expenses in the first quarter of 2016 were up $24.9 million from the comparable 2015 quarter. About half of the increase is attributable to costs now being paid to BNY Mellon for the performance of certain administrative services as well as implementation services related to the transition of fund accounting and portfolio recordkeeping operations to their technology platform. The remainder of the increase in costs is due to higher business demands and the firm's continued investment in its operating capabilities.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non-operating income in the first quarter of 2016 was $85.1 million, an increase of $58.3 million from the 2015 quarter. The following table details the components of non-operating income (in millions) during the first quarter of 2015 and 2016.</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180" w:type="dxa"/>
            <w:vAlign w:val="bottom"/>
            <w:shd w:val="clear" w:color="auto" w:fill="CCEEFF"/>
          </w:tcPr>
          <w:p>
            <w:pPr>
              <w:spacing w:after="0"/>
              <w:rPr>
                <w:sz w:val="22"/>
                <w:szCs w:val="22"/>
                <w:color w:val="auto"/>
              </w:rPr>
            </w:pPr>
          </w:p>
        </w:tc>
        <w:tc>
          <w:tcPr>
            <w:tcW w:w="3000" w:type="dxa"/>
            <w:vAlign w:val="bottom"/>
            <w:tcBorders>
              <w:bottom w:val="single" w:sz="8" w:color="auto"/>
            </w:tcBorders>
            <w:gridSpan w:val="4"/>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Borders>
              <w:bottom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5"/>
              </w:rPr>
              <w:t>2016 vs. 2015</w:t>
            </w:r>
          </w:p>
        </w:tc>
      </w:tr>
      <w:tr>
        <w:trPr>
          <w:trHeight w:val="243"/>
        </w:trPr>
        <w:tc>
          <w:tcPr>
            <w:tcW w:w="6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3/31/2015</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3/31/2016</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Dollar change</w:t>
            </w:r>
          </w:p>
        </w:tc>
      </w:tr>
      <w:tr>
        <w:trPr>
          <w:trHeight w:val="27"/>
        </w:trPr>
        <w:tc>
          <w:tcPr>
            <w:tcW w:w="61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18"/>
        </w:trPr>
        <w:tc>
          <w:tcPr>
            <w:tcW w:w="6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Net gains realized on dispositions of available-for-sale investments</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16.6</w:t>
            </w:r>
          </w:p>
        </w:tc>
        <w:tc>
          <w:tcPr>
            <w:tcW w:w="220" w:type="dxa"/>
            <w:vAlign w:val="bottom"/>
          </w:tcPr>
          <w:p>
            <w:pPr>
              <w:spacing w:after="0"/>
              <w:rPr>
                <w:sz w:val="21"/>
                <w:szCs w:val="21"/>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52.3</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27"/>
        </w:trPr>
        <w:tc>
          <w:tcPr>
            <w:tcW w:w="6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Ordinary and capital gain dividends on sponsored fund investments</w:t>
            </w: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Investment gains on sponsored equity method and trading investments</w:t>
            </w:r>
          </w:p>
        </w:tc>
        <w:tc>
          <w:tcPr>
            <w:tcW w:w="11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61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investment income on sponsored fund investments not consolidated</w:t>
            </w: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22.7</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59.1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Other investment income</w:t>
            </w:r>
          </w:p>
        </w:tc>
        <w:tc>
          <w:tcPr>
            <w:tcW w:w="11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1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 income on investments</w:t>
            </w: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25.6</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61.3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Net investment income on consolidated sponsored investment portfolios</w:t>
            </w:r>
          </w:p>
        </w:tc>
        <w:tc>
          <w:tcPr>
            <w:tcW w:w="11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23.8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6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expense</w:t>
            </w:r>
          </w:p>
        </w:tc>
        <w:tc>
          <w:tcPr>
            <w:tcW w:w="11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57"/>
        </w:trPr>
        <w:tc>
          <w:tcPr>
            <w:tcW w:w="6180" w:type="dxa"/>
            <w:vAlign w:val="bottom"/>
          </w:tcPr>
          <w:p>
            <w:pPr>
              <w:ind w:left="120"/>
              <w:spacing w:after="0"/>
              <w:rPr>
                <w:sz w:val="20"/>
                <w:szCs w:val="20"/>
                <w:color w:val="auto"/>
              </w:rPr>
            </w:pPr>
            <w:r>
              <w:rPr>
                <w:rFonts w:ascii="Arial" w:cs="Arial" w:eastAsia="Arial" w:hAnsi="Arial"/>
                <w:sz w:val="18"/>
                <w:szCs w:val="18"/>
                <w:color w:val="auto"/>
              </w:rPr>
              <w:t>Non-operating income</w:t>
            </w:r>
          </w:p>
        </w:tc>
        <w:tc>
          <w:tcPr>
            <w:tcW w:w="118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26.8</w:t>
            </w:r>
          </w:p>
        </w:tc>
        <w:tc>
          <w:tcPr>
            <w:tcW w:w="2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85.1</w:t>
            </w:r>
          </w:p>
        </w:tc>
        <w:tc>
          <w:tcPr>
            <w:tcW w:w="2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58.3</w:t>
            </w:r>
          </w:p>
        </w:tc>
      </w:tr>
      <w:tr>
        <w:trPr>
          <w:trHeight w:val="20"/>
        </w:trPr>
        <w:tc>
          <w:tcPr>
            <w:tcW w:w="6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sold certain available-for-sale holdings during the first quarter of 2016 and used the proceeds to provide seed capital to new and existing sponsored products in support of our distribution efforts outside the United States. The investment income on consolidated sponsored investment portfolios represents each portfolio’s total investment income, including the portion that is attributable to unrelated third party investors. The investment income on consolidated sponsored investment portfolios has increased in the first quarter of 2016 as the number of portfolios we consolidated increased significantly upon the adoption of the new consolidation accounting guidance. See Note 1, The Company and Basis of Preparation, in the condensed consolidated financial statements contained in Part I, Item 1 of this filing.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effective tax rate for the first quarter of 2016 was 38.6%. We currently estimate that our effective rate for the full-year 2016 will be about 38.7%. Our effective income tax rate reflects the relative contribution of pre-tax income generated by our non-U.S. subsidiaries that are subject to tax rates that are lower than our U.S. rates. Changes in the relative contribution of pre-tax income from U.S. and non-U.S. sources or changes in tax rates in the U.S. or relevant non-U.S. jurisdictions may affect our effective income tax rate and overall net income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remain debt-free with ample liquidity, including cash and discretionary sponsored portfolio investment holdings of $1.9 billion at March 31, 2016. We also have seed capital investments in sponsored investment portfolios of $1.2 billion, of which $.9 billion are interests in sponsored investment portfolios that we consolidate in our financial statements and are discussed in more detail below. We expended $206.7 million to repurchase 3.1 million shares of our common stock in the first quarter of 2016, and will generally repurchase our common stock over time to offset the dilution created by our equity-based compensation plans. We anticipate property and equipment expenditures for the full year 2016 to be up to $180 million, 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584" w:right="239" w:bottom="1440" w:gutter="0" w:footer="0" w:header="0"/>
        </w:sectPr>
      </w:pPr>
    </w:p>
    <w:bookmarkStart w:id="22" w:name="page23"/>
    <w:bookmarkEnd w:id="22"/>
    <w:p>
      <w:pPr>
        <w:ind w:right="560"/>
        <w:spacing w:after="0" w:line="277" w:lineRule="auto"/>
        <w:rPr>
          <w:sz w:val="20"/>
          <w:szCs w:val="20"/>
          <w:color w:val="auto"/>
        </w:rPr>
      </w:pPr>
      <w:r>
        <w:rPr>
          <w:rFonts w:ascii="Arial" w:cs="Arial" w:eastAsia="Arial" w:hAnsi="Arial"/>
          <w:sz w:val="18"/>
          <w:szCs w:val="18"/>
          <w:color w:val="auto"/>
        </w:rPr>
        <w:t>which about two-thirds is planned for technology initiatives. Given the availability of our financial resources, we expect to fund our anticipated capital expenditures with operating resources and do not maintain an available external source of liquidity.</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January 1, 2016, we implemented new consolidation accounting guidance that resulted in the consolidation of sponsored investment portfolios in which we have a controlling interest in our financial statements. Our condensed consolidated balance sheet now reflects the cash and cash equivalents, investments, other assets and liabilities of the sponsored portfolios as well as redeemable non-controlling interests for the portion of the sponsored portfolios that are held by unrelated third party investors. At March 31, 2016, the net assets of our consolidated sponsored investment portfolios included in our condensed consolidated balance sheet totaled $1,768.1 million, of which Price Group’s interest was $943.0 million and the interests held by unrelated third party investors was $825.1 million.</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Although we can redeem our net interest in these sponsored investment portfolios at any time, we cannot directly access or sell the assets held by the portfolios to obtain cash for general operations. Additionally, the assets of these investment portfolios are not available to our general creditors. Our interest in these sponsored investment portfolios represents seed capital that is redeemable, although we generally expect to be invested for several years until unrelated third party investors substantially reduce our relative ownership percentage.</w:t>
      </w:r>
    </w:p>
    <w:p>
      <w:pPr>
        <w:spacing w:after="0" w:line="18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following table summarizes the cash flows (in millions) for the three months ended March 31, 2016, that are attributable to Price Group and our consolidated sponsored investment portfolios. The table also reflects the eliminations required in preparing our condensed consolidated statement of cash flow for the three months ended March 31, 2016.</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3060" w:type="dxa"/>
            <w:vAlign w:val="bottom"/>
            <w:tcBorders>
              <w:bottom w:val="single" w:sz="8" w:color="auto"/>
            </w:tcBorders>
            <w:gridSpan w:val="3"/>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0"/>
              </w:rPr>
              <w:t>For three months ended 3/31/2016</w:t>
            </w:r>
          </w:p>
        </w:tc>
        <w:tc>
          <w:tcPr>
            <w:tcW w:w="3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25"/>
        </w:trPr>
        <w:tc>
          <w:tcPr>
            <w:tcW w:w="4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Cash flow</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attributable to</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consolidated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As reported for</w:t>
            </w:r>
          </w:p>
        </w:tc>
      </w:t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Cash flow</w:t>
            </w:r>
          </w:p>
        </w:tc>
        <w:tc>
          <w:tcPr>
            <w:tcW w:w="160" w:type="dxa"/>
            <w:vAlign w:val="bottom"/>
          </w:tcPr>
          <w:p>
            <w:pPr>
              <w:spacing w:after="0"/>
              <w:rPr>
                <w:sz w:val="18"/>
                <w:szCs w:val="18"/>
                <w:color w:val="auto"/>
              </w:rPr>
            </w:pPr>
          </w:p>
        </w:tc>
        <w:tc>
          <w:tcPr>
            <w:tcW w:w="1480" w:type="dxa"/>
            <w:vAlign w:val="bottom"/>
          </w:tcPr>
          <w:p>
            <w:pPr>
              <w:jc w:val="center"/>
              <w:ind w:right="130"/>
              <w:spacing w:after="0"/>
              <w:rPr>
                <w:sz w:val="20"/>
                <w:szCs w:val="20"/>
                <w:color w:val="auto"/>
              </w:rPr>
            </w:pPr>
            <w:r>
              <w:rPr>
                <w:rFonts w:ascii="Arial" w:cs="Arial" w:eastAsia="Arial" w:hAnsi="Arial"/>
                <w:sz w:val="18"/>
                <w:szCs w:val="18"/>
                <w:b w:val="1"/>
                <w:bCs w:val="1"/>
                <w:color w:val="auto"/>
                <w:w w:val="84"/>
              </w:rPr>
              <w:t>sponsored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As reported</w:t>
            </w:r>
          </w:p>
        </w:tc>
        <w:tc>
          <w:tcPr>
            <w:tcW w:w="20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the three</w:t>
            </w:r>
          </w:p>
        </w:tc>
      </w:tr>
      <w:tr>
        <w:trPr>
          <w:trHeight w:val="216"/>
        </w:trPr>
        <w:tc>
          <w:tcPr>
            <w:tcW w:w="424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attributable to</w:t>
            </w:r>
          </w:p>
        </w:tc>
        <w:tc>
          <w:tcPr>
            <w:tcW w:w="160" w:type="dxa"/>
            <w:vAlign w:val="bottom"/>
          </w:tcPr>
          <w:p>
            <w:pPr>
              <w:spacing w:after="0"/>
              <w:rPr>
                <w:sz w:val="18"/>
                <w:szCs w:val="18"/>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investment</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on statement</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months ended</w:t>
            </w:r>
          </w:p>
        </w:tc>
      </w:tr>
      <w:tr>
        <w:trPr>
          <w:trHeight w:val="234"/>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Price Group</w:t>
            </w:r>
          </w:p>
        </w:tc>
        <w:tc>
          <w:tcPr>
            <w:tcW w:w="160" w:type="dxa"/>
            <w:vAlign w:val="bottom"/>
          </w:tcPr>
          <w:p>
            <w:pPr>
              <w:spacing w:after="0"/>
              <w:rPr>
                <w:sz w:val="20"/>
                <w:szCs w:val="20"/>
                <w:color w:val="auto"/>
              </w:rPr>
            </w:pPr>
          </w:p>
        </w:tc>
        <w:tc>
          <w:tcPr>
            <w:tcW w:w="14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portfolios</w:t>
            </w:r>
          </w:p>
        </w:tc>
        <w:tc>
          <w:tcPr>
            <w:tcW w:w="240" w:type="dxa"/>
            <w:vAlign w:val="bottom"/>
          </w:tcPr>
          <w:p>
            <w:pPr>
              <w:spacing w:after="0"/>
              <w:rPr>
                <w:sz w:val="20"/>
                <w:szCs w:val="20"/>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Eliminations</w:t>
            </w:r>
          </w:p>
        </w:tc>
        <w:tc>
          <w:tcPr>
            <w:tcW w:w="13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5"/>
              </w:rPr>
              <w:t>of cash flows</w:t>
            </w: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3/31/2015</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69.1</w:t>
            </w:r>
          </w:p>
        </w:tc>
        <w:tc>
          <w:tcPr>
            <w:tcW w:w="24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173.9</w:t>
            </w:r>
          </w:p>
        </w:tc>
        <w:tc>
          <w:tcPr>
            <w:tcW w:w="3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443.3</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w:t>
            </w: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4240" w:type="dxa"/>
            <w:vAlign w:val="bottom"/>
          </w:tcPr>
          <w:p>
            <w:pPr>
              <w:ind w:left="40"/>
              <w:spacing w:after="0"/>
              <w:rPr>
                <w:sz w:val="20"/>
                <w:szCs w:val="20"/>
                <w:color w:val="auto"/>
              </w:rPr>
            </w:pPr>
            <w:r>
              <w:rPr>
                <w:rFonts w:ascii="Arial" w:cs="Arial" w:eastAsia="Arial" w:hAnsi="Arial"/>
                <w:sz w:val="18"/>
                <w:szCs w:val="18"/>
                <w:color w:val="auto"/>
              </w:rPr>
              <w:t>equivalents of consolidated sponsored investment</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portfolios</w:t>
            </w: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Net change in cash and cash equivalents during period</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77.5</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1,172.3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1,172.3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1,506.1</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77.5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1,810.4</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Operating activities attributable to Price Group during the first quarter of 2016 provided cash flows of $498.5 million, down $45.3 million from the 2015 period. In calculating cash flows provided by operating activities, we adjusted for $52.3 million in realized gains during the first quarter of 2016 compared with $16.6 million in the comparable 2015 quarter. The remainder of the decrease is primarily related to the $14.3 million reduction in net income attributable to Price Group for the first quarter of 2016. Our interim operating cash flows do not include the cash impact of variable compensation that is accrued throughout the year before being substantially paid out in December. The net cash provided by operating activities attributable to Price Group were offset in part by the cash outflows attributable to our consolidated sponsored investment and the net change in trading securities held in their underlying investment portfolios.</w:t>
      </w:r>
    </w:p>
    <w:p>
      <w:pPr>
        <w:spacing w:after="0" w:line="18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Net cash used in investing activities that are attributable to Price Group totaled $35.2 million in the first quarter of 2016. During the first quarter of 2016, proceeds from the sale of certain investments were used to provide seed capital to new and existing sponsored investment portfolios that we consolidate. Since we consolidate these sponsored portfolios, the seed capital provided of $173.9 million in the 2016 quarter was eliminated in consolidation and the net proceeds of $176.2 million is reflected as net cash provided by investing activities in the first quarter of 2016. Net cash of our consolidated sponsored investment portfolios that we consolidated or deconsolidated added net cash of $69.1 million during the first quarter of 2016. Additionally, our property and equipment additions were $6.1 million lower in the first quarter of 2016 compared to the 2015 period.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584" w:right="239" w:bottom="1440" w:gutter="0" w:footer="0" w:header="0"/>
        </w:sectPr>
      </w:pPr>
    </w:p>
    <w:bookmarkStart w:id="23" w:name="page24"/>
    <w:bookmarkEnd w:id="23"/>
    <w:p>
      <w:pPr>
        <w:ind w:right="60"/>
        <w:spacing w:after="0" w:line="276" w:lineRule="auto"/>
        <w:rPr>
          <w:sz w:val="20"/>
          <w:szCs w:val="20"/>
          <w:color w:val="auto"/>
        </w:rPr>
      </w:pPr>
      <w:r>
        <w:rPr>
          <w:rFonts w:ascii="Arial" w:cs="Arial" w:eastAsia="Arial" w:hAnsi="Arial"/>
          <w:sz w:val="17"/>
          <w:szCs w:val="17"/>
          <w:color w:val="auto"/>
        </w:rPr>
        <w:t>Net cash used in financing activities attributable to Price Group were $312.7 million in the first quarter of 2016 compared with $205.4 million in the 2015 quarter. We expended $93.1 million more in common stock purchases in the first quarter of 2016 compared to the 2015 period. The cash proceeds received from stock options exercises were lower in the first quarter of 2016 by $11.5 million compared with the 2015 period. The net cash used in financing activities attributable to Price Group were offset by $270.8 million in cash provided by consolidated sponsored investment portfolios from the net subscriptions received from and redemptions/distributions paid to redeemable non-controlling interest holders.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Since the end of 2013, we have returned $3.3 billion to stockholders through stock repurchases, our regular quarterly dividends, and one special dividend.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Total cash returned to</w:t>
            </w: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millions)</w:t>
            </w:r>
          </w:p>
        </w:tc>
        <w:tc>
          <w:tcPr>
            <w:tcW w:w="2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Recurring dividend</w:t>
            </w:r>
          </w:p>
        </w:tc>
        <w:tc>
          <w:tcPr>
            <w:tcW w:w="1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Special dividend</w:t>
            </w: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repurchases</w:t>
            </w: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stockholders</w:t>
            </w: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462.1</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415.5</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877.6</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534.5</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2,046.8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Three-months ended March 31, 2016</w:t>
            </w:r>
          </w:p>
        </w:tc>
        <w:tc>
          <w:tcPr>
            <w:tcW w:w="2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135.9</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206.7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342.6</w:t>
            </w: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1,132.5</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524.5</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3,267.0</w:t>
            </w: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consolidated balance sheets, the revenues and expenses in our consolidated statements of income, and the information that is contained in our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 Given the impact the implementation of Accounting Standards Update No. 2015-02 - Consolidation (Topic 810): Amendments to the Consolidation Analysis on January 1, 2016, has had on our consolidated financial statements, we now consider our consolidation policy one of the policies that are most critical to the preparation and understanding of our consolidated financial statements. Our consolidation policy is included in Note 1-The Company and Basis for Preparation, in the condensed consolidation financial statements contained in Part I, Item 1 of this filing. There have been no other material changes in the critical accounting policies previously identified in our 2015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22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 May 2014, the FASB issued Accounting Standards Update No. 2014-09 — Revenue from Contracts with Customers and subsequently have issued three related accounting standard updates clarifying several aspect of the ASU 2014-09. The overall objective of the new standard updates is to provide a single, comprehensive revenue recognition model for all contracts with customers to improve comparability within industries, across industries, and across capital markets. The revenue standard contains principles that will be applied to determine the measurement of revenue and timing of when it is recognized. We would be required to adopt the new standard on January 1, 2018. We are currently evaluating the impact these standards will have on our financial position and results of operations.</w:t>
      </w:r>
    </w:p>
    <w:p>
      <w:pPr>
        <w:spacing w:after="0" w:line="19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January 2016, the FASB issued Accounting Standards Update No. 2016-01 — Financial Instruments—Overall (Subtopic 825-10): Recognition and Measurement of Financial Assets and Financial Liabilities. The amendments in this update address certain aspects of recognition, measurement, presentation, and disclosure of financial instruments. The ASU is effective for fiscal years and interim periods within those years beginning after December 15, 2017, and requires a cumulative-effect adjustment to the balance sheet as of the beginning of the fiscal year of adoption. Early adoption is not permitted. The new guidance will require the change in fair value of equity investments with readily determinable fair values to be recognized through the income statements. We are currently evaluating the full impact of the standard, however, upon adoption the change in the fair value of our available-for-sale investments will be recognized in our consolidated income statement instead of our consolidated statement of comprehensive income.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800" w:right="239" w:bottom="1440" w:gutter="0" w:footer="0" w:header="0"/>
        </w:sectPr>
      </w:pPr>
    </w:p>
    <w:bookmarkStart w:id="24" w:name="page25"/>
    <w:bookmarkEnd w:id="24"/>
    <w:p>
      <w:pPr>
        <w:ind w:right="140"/>
        <w:spacing w:after="0" w:line="302" w:lineRule="auto"/>
        <w:rPr>
          <w:sz w:val="20"/>
          <w:szCs w:val="20"/>
          <w:color w:val="auto"/>
        </w:rPr>
      </w:pPr>
      <w:r>
        <w:rPr>
          <w:rFonts w:ascii="Arial" w:cs="Arial" w:eastAsia="Arial" w:hAnsi="Arial"/>
          <w:sz w:val="16"/>
          <w:szCs w:val="16"/>
          <w:color w:val="auto"/>
        </w:rPr>
        <w:t>In February 2016, the FASB issued Accounting Standards Update No. 2016-02—Leases (Topic 842). The objective of the update is to increase transparency and comparability among organizations by recognizing lease assets and lease liabilities on the balance sheet and disclosing key information about leasing arrangements. The amendments in this update are effective for fiscal years beginning after December 15, 2018, including interim periods within those fiscal years. Early adoption is permitted. We are currently evaluating the impact this standard will have on our financial position and results of operations.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March 2016, the FASB issued Accounting Standards Update No. 2016-09—Compensation—Stock Compensation (Topic 718): Improvements to Employee Share-Based Payment Accounting. This update simplifies several aspects of the accounting for share-based payment transactions, including the income tax consequences, classification of awards as either equity or liabilities, and classification on the statement of cash flows. Early adoption is permitted. The amendments in this update are effective for annual periods beginning after December 15, 2016, and interim periods within those annual periods. We are currently evaluating the impact this standard will have on our financial position and results of operations.</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condensed consolidated statements, including those we have not yet adopted. We do not believe that any such guidance has or will have a material effect on our financial position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dividends, investments, capital expenditures, stock repurchases,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2015.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U.S. mutual funds (Price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income will also fluctuate as a result of the consolidation of certain of our investment portfolios as well as the size of our investments, changes in their market valuations, and any other-than-temporary impairments that may arise, or in the case of our equity method investments, our proportionate share of the investee’s net income.</w:t>
      </w:r>
    </w:p>
    <w:p>
      <w:pPr>
        <w:spacing w:after="0" w:line="16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U.S. and to further penetrate our distribution channels within the U.S.; variations in the level of total compensation expense due to, among other things, bonuses, stock option grants and other equity grants, other incentive awards, changes in our employee count and mix, and competitive factors; any goodwill or other asset impairment that may arise; fluctuation in foreign currency exchange rates applicable to our investment in and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fund accounting and other recordkeeping services, facilities, communications, power, and the mutual fund transfer agent and accounting systems.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00"/>
          </w:cols>
          <w:pgMar w:left="240" w:top="584" w:right="259" w:bottom="1440" w:gutter="0" w:footer="0" w:header="0"/>
        </w:sectPr>
      </w:pPr>
    </w:p>
    <w:bookmarkStart w:id="25" w:name="page26"/>
    <w:bookmarkEnd w:id="25"/>
    <w:p>
      <w:pPr>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March 31, 2016. Based on that evaluation, our principal executive and principal financial officers have concluded that our disclosure controls and procedures as of March 31, 2016,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6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first quarter of 2016, and has concluded that there was no change during the first quarter of 2016 that has materially affected, or is reasonably likely to materially affect, our internal control over financial reporting.</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00"/>
          </w:cols>
          <w:pgMar w:left="240" w:top="584" w:right="2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the exception of the following additions or updates to the list of current and proposed legal or regulatory requirements discussed in Item 1A of our Form 10-K Annual Report for 2015 there have been no material changes in the risk factors previously provided.</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first quarter of 2016, the U.S. Department of Labor finalized changes to definitions and rules related to fiduciaries. These changes will require modifications to our distribution activities and may impact our ability to service clients in the manner we service them today or engage in certain types of distribution activities. The Securities and Exchange Commission (SEC) is considering its own fiduciary rule proposal. Any such rule may also have an impact on our business activities.</w:t>
      </w:r>
    </w:p>
    <w:p>
      <w:pPr>
        <w:spacing w:after="0" w:line="268"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As previously noted, 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They may also result in changes to our product or service offerings. The changing regulatory landscape may also impact a number of our service providers and to the extent such providers alter their services or increase their fees it may impact our expenses or those of the products we offer.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first quarter of 2016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shd w:val="clear" w:color="auto" w:fill="CCEEFF"/>
          </w:tcPr>
          <w:p>
            <w:pPr>
              <w:spacing w:after="0"/>
              <w:rPr>
                <w:sz w:val="14"/>
                <w:szCs w:val="14"/>
                <w:color w:val="auto"/>
              </w:rPr>
            </w:pP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Maximum Number of Shares</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Average Price</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shd w:val="clear" w:color="auto" w:fill="CCEEFF"/>
          </w:tcPr>
          <w:p>
            <w:pPr>
              <w:spacing w:after="0"/>
              <w:rPr>
                <w:sz w:val="12"/>
                <w:szCs w:val="12"/>
                <w:color w:val="auto"/>
              </w:rPr>
            </w:pPr>
          </w:p>
        </w:tc>
        <w:tc>
          <w:tcPr>
            <w:tcW w:w="1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Month</w:t>
            </w:r>
          </w:p>
        </w:tc>
        <w:tc>
          <w:tcPr>
            <w:tcW w:w="120" w:type="dxa"/>
            <w:vAlign w:val="bottom"/>
            <w:vMerge w:val="restart"/>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20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w w:val="99"/>
              </w:rPr>
              <w:t>Paid per Share</w:t>
            </w: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Announced Program</w:t>
            </w: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Under the Program</w:t>
            </w:r>
          </w:p>
        </w:tc>
        <w:tc>
          <w:tcPr>
            <w:tcW w:w="0" w:type="dxa"/>
            <w:vAlign w:val="bottom"/>
          </w:tcPr>
          <w:p>
            <w:pPr>
              <w:spacing w:after="0"/>
              <w:rPr>
                <w:sz w:val="1"/>
                <w:szCs w:val="1"/>
                <w:color w:val="auto"/>
              </w:rPr>
            </w:pPr>
          </w:p>
        </w:tc>
      </w:tr>
      <w:tr>
        <w:trPr>
          <w:trHeight w:val="243"/>
        </w:trPr>
        <w:tc>
          <w:tcPr>
            <w:tcW w:w="36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January</w:t>
            </w:r>
          </w:p>
        </w:tc>
        <w:tc>
          <w:tcPr>
            <w:tcW w:w="2080" w:type="dxa"/>
            <w:vAlign w:val="bottom"/>
          </w:tcPr>
          <w:p>
            <w:pPr>
              <w:jc w:val="right"/>
              <w:ind w:right="36"/>
              <w:spacing w:after="0"/>
              <w:rPr>
                <w:sz w:val="20"/>
                <w:szCs w:val="20"/>
                <w:color w:val="auto"/>
              </w:rPr>
            </w:pPr>
            <w:r>
              <w:rPr>
                <w:rFonts w:ascii="Arial" w:cs="Arial" w:eastAsia="Arial" w:hAnsi="Arial"/>
                <w:sz w:val="18"/>
                <w:szCs w:val="18"/>
                <w:color w:val="auto"/>
              </w:rPr>
              <w:t>2,270,279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66.39</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2,259,905</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17,531,526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February</w:t>
            </w:r>
          </w:p>
        </w:tc>
        <w:tc>
          <w:tcPr>
            <w:tcW w:w="2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874,117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66.81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850,000</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16,681,526</w:t>
            </w:r>
          </w:p>
        </w:tc>
        <w:tc>
          <w:tcPr>
            <w:tcW w:w="0" w:type="dxa"/>
            <w:vAlign w:val="bottom"/>
          </w:tcPr>
          <w:p>
            <w:pPr>
              <w:spacing w:after="0"/>
              <w:rPr>
                <w:sz w:val="1"/>
                <w:szCs w:val="1"/>
                <w:color w:val="auto"/>
              </w:rPr>
            </w:pPr>
          </w:p>
        </w:tc>
      </w:tr>
      <w:tr>
        <w:trPr>
          <w:trHeight w:val="243"/>
        </w:trPr>
        <w:tc>
          <w:tcPr>
            <w:tcW w:w="3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March</w:t>
            </w:r>
          </w:p>
        </w:tc>
        <w:tc>
          <w:tcPr>
            <w:tcW w:w="2080" w:type="dxa"/>
            <w:vAlign w:val="bottom"/>
          </w:tcPr>
          <w:p>
            <w:pPr>
              <w:jc w:val="right"/>
              <w:ind w:right="36"/>
              <w:spacing w:after="0"/>
              <w:rPr>
                <w:sz w:val="20"/>
                <w:szCs w:val="20"/>
                <w:color w:val="auto"/>
              </w:rPr>
            </w:pPr>
            <w:r>
              <w:rPr>
                <w:rFonts w:ascii="Arial" w:cs="Arial" w:eastAsia="Arial" w:hAnsi="Arial"/>
                <w:sz w:val="18"/>
                <w:szCs w:val="18"/>
                <w:color w:val="auto"/>
              </w:rPr>
              <w:t>250,936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72.99</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16,681,526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Total</w:t>
            </w:r>
          </w:p>
        </w:tc>
        <w:tc>
          <w:tcPr>
            <w:tcW w:w="2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3,395,332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66.99</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3,109,905</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first quarter of 2016, 284,728 were related to shares surrendered in connection with employee stock option exercises and 699 were related to shares withheld to cover tax withholdings associated with the vesting of restricted stock awards.</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3,109,905 shares of our common stock were repurchased pursuant to the Board of Directors’ December 11, 2014, publicly announced authorization. The maximum number of shares that may yet be purchased as of March 31, 2016, under the Board of Directors’ December 11, 2014 and December 10, 2015 publicly announced authorizations are 16,681,526.</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36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April 26, 2016, we issued an earnings release reporting our results of operations for the first quarter of 2016. A copy of that earnings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 FILINGS.</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make available free of charge through our website our annual report on Form 10-K, quarterly reports on Form 10-Q, current reports on Form 8-K, and any amendments to those reports filed or furnished pursuant to Section 13(a) of the Exchange Act as soon as reasonably practicable after we electronically file them with, or furnish them to, the SEC. To obtain any of this information, access our website at troweprice.com. We use our website as a channel of distribution for material company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3(i).1</w:t>
            </w:r>
          </w:p>
        </w:tc>
        <w:tc>
          <w:tcPr>
            <w:tcW w:w="10180" w:type="dxa"/>
            <w:vAlign w:val="bottom"/>
          </w:tcPr>
          <w:p>
            <w:pPr>
              <w:ind w:left="620"/>
              <w:spacing w:after="0"/>
              <w:rPr>
                <w:sz w:val="20"/>
                <w:szCs w:val="20"/>
                <w:color w:val="auto"/>
              </w:rPr>
            </w:pPr>
            <w:r>
              <w:rPr>
                <w:rFonts w:ascii="Arial" w:cs="Arial" w:eastAsia="Arial" w:hAnsi="Arial"/>
                <w:sz w:val="18"/>
                <w:szCs w:val="18"/>
                <w:color w:val="auto"/>
                <w:w w:val="91"/>
              </w:rPr>
              <w:t>Charter of T. Rowe Price Group, Inc., as Amended by Articles of Amendment dated April 10, 2008. (Incorporated by reference from</w:t>
            </w:r>
          </w:p>
        </w:tc>
      </w:tr>
      <w:tr>
        <w:trPr>
          <w:trHeight w:val="230"/>
        </w:trPr>
        <w:tc>
          <w:tcPr>
            <w:tcW w:w="110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Arial" w:cs="Arial" w:eastAsia="Arial" w:hAnsi="Arial"/>
                <w:sz w:val="18"/>
                <w:szCs w:val="18"/>
                <w:color w:val="auto"/>
              </w:rPr>
              <w:t>Form 10-Q Report for the quarterly period ended June 30, 2008 filed on April 10, 2008; File No. 033-07012-99).</w:t>
            </w:r>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3(ii)</w:t>
            </w:r>
          </w:p>
        </w:tc>
        <w:tc>
          <w:tcPr>
            <w:tcW w:w="10180" w:type="dxa"/>
            <w:vAlign w:val="bottom"/>
          </w:tcPr>
          <w:p>
            <w:pPr>
              <w:ind w:left="620"/>
              <w:spacing w:after="0"/>
              <w:rPr>
                <w:sz w:val="20"/>
                <w:szCs w:val="20"/>
                <w:color w:val="auto"/>
              </w:rPr>
            </w:pPr>
            <w:r>
              <w:rPr>
                <w:rFonts w:ascii="Arial" w:cs="Arial" w:eastAsia="Arial" w:hAnsi="Arial"/>
                <w:sz w:val="18"/>
                <w:szCs w:val="18"/>
                <w:color w:val="auto"/>
                <w:w w:val="91"/>
              </w:rPr>
              <w:t>Amended and Restated By-Laws of T. Rowe Price Group, Inc. as of December 10, 2015. (Incorporated by reference from Form 8-K</w:t>
            </w:r>
          </w:p>
        </w:tc>
      </w:tr>
      <w:tr>
        <w:trPr>
          <w:trHeight w:val="230"/>
        </w:trPr>
        <w:tc>
          <w:tcPr>
            <w:tcW w:w="110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Arial" w:cs="Arial" w:eastAsia="Arial" w:hAnsi="Arial"/>
                <w:sz w:val="18"/>
                <w:szCs w:val="18"/>
                <w:color w:val="auto"/>
              </w:rPr>
              <w:t>Current Report file on December 10, 2015; File No. 000-32191).</w:t>
            </w:r>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10.05</w:t>
            </w:r>
          </w:p>
        </w:tc>
        <w:tc>
          <w:tcPr>
            <w:tcW w:w="10180" w:type="dxa"/>
            <w:vAlign w:val="bottom"/>
          </w:tcPr>
          <w:p>
            <w:pPr>
              <w:ind w:left="620"/>
              <w:spacing w:after="0"/>
              <w:rPr>
                <w:sz w:val="20"/>
                <w:szCs w:val="20"/>
                <w:color w:val="auto"/>
              </w:rPr>
            </w:pPr>
            <w:r>
              <w:rPr>
                <w:rFonts w:ascii="Arial" w:cs="Arial" w:eastAsia="Arial" w:hAnsi="Arial"/>
                <w:sz w:val="18"/>
                <w:szCs w:val="18"/>
                <w:color w:val="auto"/>
                <w:w w:val="91"/>
              </w:rPr>
              <w:t>Fund Accounting Services Agreement as of January 1, 2014 between T. Rowe Price Associates, Inc. and the T. Rowe Price Funds.</w:t>
            </w:r>
          </w:p>
        </w:tc>
      </w:tr>
      <w:tr>
        <w:trPr>
          <w:trHeight w:val="230"/>
        </w:trPr>
        <w:tc>
          <w:tcPr>
            <w:tcW w:w="110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Arial" w:cs="Arial" w:eastAsia="Arial" w:hAnsi="Arial"/>
                <w:sz w:val="18"/>
                <w:szCs w:val="18"/>
                <w:color w:val="auto"/>
              </w:rPr>
              <w:t>(Incorporated by reference from Form 485BPOS filed on April 27, 2015; File No. 033-16567).</w:t>
            </w:r>
          </w:p>
        </w:tc>
      </w:tr>
      <w:tr>
        <w:trPr>
          <w:trHeight w:val="405"/>
        </w:trPr>
        <w:tc>
          <w:tcPr>
            <w:tcW w:w="1100" w:type="dxa"/>
            <w:vAlign w:val="bottom"/>
          </w:tcPr>
          <w:p>
            <w:pPr>
              <w:spacing w:after="0"/>
              <w:rPr>
                <w:sz w:val="20"/>
                <w:szCs w:val="20"/>
                <w:color w:val="auto"/>
              </w:rPr>
            </w:pPr>
            <w:r>
              <w:rPr>
                <w:rFonts w:ascii="Arial" w:cs="Arial" w:eastAsia="Arial" w:hAnsi="Arial"/>
                <w:sz w:val="18"/>
                <w:szCs w:val="18"/>
                <w:color w:val="auto"/>
              </w:rPr>
              <w:t>10.21</w:t>
            </w:r>
          </w:p>
        </w:tc>
        <w:tc>
          <w:tcPr>
            <w:tcW w:w="10180" w:type="dxa"/>
            <w:vAlign w:val="bottom"/>
          </w:tcPr>
          <w:p>
            <w:pPr>
              <w:ind w:left="620"/>
              <w:spacing w:after="0"/>
              <w:rPr>
                <w:sz w:val="20"/>
                <w:szCs w:val="20"/>
                <w:color w:val="auto"/>
              </w:rPr>
            </w:pPr>
            <w:r>
              <w:rPr>
                <w:rFonts w:ascii="Arial" w:cs="Arial" w:eastAsia="Arial" w:hAnsi="Arial"/>
                <w:sz w:val="18"/>
                <w:szCs w:val="18"/>
                <w:color w:val="auto"/>
              </w:rPr>
              <w:t>Employment Agreement as of March 15, 2016, between T. Rowe Price International Limited and Christopher Alderson.</w:t>
            </w:r>
          </w:p>
        </w:tc>
      </w:tr>
      <w:tr>
        <w:trPr>
          <w:trHeight w:val="405"/>
        </w:trPr>
        <w:tc>
          <w:tcPr>
            <w:tcW w:w="1100" w:type="dxa"/>
            <w:vAlign w:val="bottom"/>
          </w:tcPr>
          <w:p>
            <w:pPr>
              <w:spacing w:after="0"/>
              <w:rPr>
                <w:sz w:val="20"/>
                <w:szCs w:val="20"/>
                <w:color w:val="auto"/>
              </w:rPr>
            </w:pPr>
            <w:r>
              <w:rPr>
                <w:rFonts w:ascii="Arial" w:cs="Arial" w:eastAsia="Arial" w:hAnsi="Arial"/>
                <w:sz w:val="18"/>
                <w:szCs w:val="18"/>
                <w:color w:val="auto"/>
              </w:rPr>
              <w:t>15</w:t>
            </w:r>
          </w:p>
        </w:tc>
        <w:tc>
          <w:tcPr>
            <w:tcW w:w="10180" w:type="dxa"/>
            <w:vAlign w:val="bottom"/>
          </w:tcPr>
          <w:p>
            <w:pPr>
              <w:ind w:left="620"/>
              <w:spacing w:after="0"/>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tc>
      </w:tr>
      <w:tr>
        <w:trPr>
          <w:trHeight w:val="405"/>
        </w:trPr>
        <w:tc>
          <w:tcPr>
            <w:tcW w:w="1100" w:type="dxa"/>
            <w:vAlign w:val="bottom"/>
          </w:tcPr>
          <w:p>
            <w:pPr>
              <w:spacing w:after="0"/>
              <w:rPr>
                <w:sz w:val="20"/>
                <w:szCs w:val="20"/>
                <w:color w:val="auto"/>
              </w:rPr>
            </w:pPr>
            <w:r>
              <w:rPr>
                <w:rFonts w:ascii="Arial" w:cs="Arial" w:eastAsia="Arial" w:hAnsi="Arial"/>
                <w:sz w:val="18"/>
                <w:szCs w:val="18"/>
                <w:color w:val="auto"/>
              </w:rPr>
              <w:t>31(i).1</w:t>
            </w:r>
          </w:p>
        </w:tc>
        <w:tc>
          <w:tcPr>
            <w:tcW w:w="10180" w:type="dxa"/>
            <w:vAlign w:val="bottom"/>
          </w:tcPr>
          <w:p>
            <w:pPr>
              <w:ind w:left="62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405"/>
        </w:trPr>
        <w:tc>
          <w:tcPr>
            <w:tcW w:w="1100" w:type="dxa"/>
            <w:vAlign w:val="bottom"/>
          </w:tcPr>
          <w:p>
            <w:pPr>
              <w:spacing w:after="0"/>
              <w:rPr>
                <w:sz w:val="20"/>
                <w:szCs w:val="20"/>
                <w:color w:val="auto"/>
              </w:rPr>
            </w:pPr>
            <w:r>
              <w:rPr>
                <w:rFonts w:ascii="Arial" w:cs="Arial" w:eastAsia="Arial" w:hAnsi="Arial"/>
                <w:sz w:val="18"/>
                <w:szCs w:val="18"/>
                <w:color w:val="auto"/>
              </w:rPr>
              <w:t>31(i).2</w:t>
            </w:r>
          </w:p>
        </w:tc>
        <w:tc>
          <w:tcPr>
            <w:tcW w:w="10180" w:type="dxa"/>
            <w:vAlign w:val="bottom"/>
          </w:tcPr>
          <w:p>
            <w:pPr>
              <w:ind w:left="62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405"/>
        </w:trPr>
        <w:tc>
          <w:tcPr>
            <w:tcW w:w="1100" w:type="dxa"/>
            <w:vAlign w:val="bottom"/>
          </w:tcPr>
          <w:p>
            <w:pPr>
              <w:spacing w:after="0"/>
              <w:rPr>
                <w:sz w:val="20"/>
                <w:szCs w:val="20"/>
                <w:color w:val="auto"/>
              </w:rPr>
            </w:pPr>
            <w:r>
              <w:rPr>
                <w:rFonts w:ascii="Arial" w:cs="Arial" w:eastAsia="Arial" w:hAnsi="Arial"/>
                <w:sz w:val="18"/>
                <w:szCs w:val="18"/>
                <w:color w:val="auto"/>
              </w:rPr>
              <w:t>32</w:t>
            </w:r>
          </w:p>
        </w:tc>
        <w:tc>
          <w:tcPr>
            <w:tcW w:w="10180" w:type="dxa"/>
            <w:vAlign w:val="bottom"/>
          </w:tcPr>
          <w:p>
            <w:pPr>
              <w:ind w:left="620"/>
              <w:spacing w:after="0"/>
              <w:rPr>
                <w:sz w:val="20"/>
                <w:szCs w:val="20"/>
                <w:color w:val="auto"/>
              </w:rPr>
            </w:pPr>
            <w:r>
              <w:rPr>
                <w:rFonts w:ascii="Arial" w:cs="Arial" w:eastAsia="Arial" w:hAnsi="Arial"/>
                <w:sz w:val="18"/>
                <w:szCs w:val="18"/>
                <w:color w:val="auto"/>
              </w:rPr>
              <w:t>Section 1350 Certifications.</w:t>
            </w:r>
          </w:p>
        </w:tc>
      </w:tr>
      <w:tr>
        <w:trPr>
          <w:trHeight w:val="405"/>
        </w:trPr>
        <w:tc>
          <w:tcPr>
            <w:tcW w:w="1100" w:type="dxa"/>
            <w:vAlign w:val="bottom"/>
          </w:tcPr>
          <w:p>
            <w:pPr>
              <w:spacing w:after="0"/>
              <w:rPr>
                <w:sz w:val="20"/>
                <w:szCs w:val="20"/>
                <w:color w:val="auto"/>
              </w:rPr>
            </w:pPr>
            <w:r>
              <w:rPr>
                <w:rFonts w:ascii="Arial" w:cs="Arial" w:eastAsia="Arial" w:hAnsi="Arial"/>
                <w:sz w:val="18"/>
                <w:szCs w:val="18"/>
                <w:color w:val="auto"/>
              </w:rPr>
              <w:t>99</w:t>
            </w:r>
          </w:p>
        </w:tc>
        <w:tc>
          <w:tcPr>
            <w:tcW w:w="10180" w:type="dxa"/>
            <w:vAlign w:val="bottom"/>
          </w:tcPr>
          <w:p>
            <w:pPr>
              <w:ind w:left="620"/>
              <w:spacing w:after="0"/>
              <w:rPr>
                <w:sz w:val="20"/>
                <w:szCs w:val="20"/>
                <w:color w:val="auto"/>
              </w:rPr>
            </w:pPr>
            <w:r>
              <w:rPr>
                <w:rFonts w:ascii="Arial" w:cs="Arial" w:eastAsia="Arial" w:hAnsi="Arial"/>
                <w:sz w:val="18"/>
                <w:szCs w:val="18"/>
                <w:color w:val="auto"/>
              </w:rPr>
              <w:t>Earnings release issued April 26, 2016, reporting our results of operations for the first quarter of 2016.</w:t>
            </w:r>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10180" w:type="dxa"/>
            <w:vAlign w:val="bottom"/>
          </w:tcPr>
          <w:p>
            <w:pPr>
              <w:ind w:left="620"/>
              <w:spacing w:after="0"/>
              <w:rPr>
                <w:sz w:val="20"/>
                <w:szCs w:val="20"/>
                <w:color w:val="auto"/>
              </w:rPr>
            </w:pPr>
            <w:r>
              <w:rPr>
                <w:rFonts w:ascii="Arial" w:cs="Arial" w:eastAsia="Arial" w:hAnsi="Arial"/>
                <w:sz w:val="18"/>
                <w:szCs w:val="18"/>
                <w:color w:val="auto"/>
                <w:w w:val="96"/>
              </w:rPr>
              <w:t>The following series of unaudited XBRL-formatted documents are collectively included herewith as Exhibit 101. The financial</w:t>
            </w:r>
          </w:p>
        </w:tc>
      </w:tr>
      <w:tr>
        <w:trPr>
          <w:trHeight w:val="216"/>
        </w:trPr>
        <w:tc>
          <w:tcPr>
            <w:tcW w:w="1100" w:type="dxa"/>
            <w:vAlign w:val="bottom"/>
          </w:tcPr>
          <w:p>
            <w:pPr>
              <w:spacing w:after="0"/>
              <w:rPr>
                <w:sz w:val="18"/>
                <w:szCs w:val="18"/>
                <w:color w:val="auto"/>
              </w:rPr>
            </w:pPr>
          </w:p>
        </w:tc>
        <w:tc>
          <w:tcPr>
            <w:tcW w:w="10180" w:type="dxa"/>
            <w:vAlign w:val="bottom"/>
          </w:tcPr>
          <w:p>
            <w:pPr>
              <w:ind w:left="620"/>
              <w:spacing w:after="0"/>
              <w:rPr>
                <w:sz w:val="20"/>
                <w:szCs w:val="20"/>
                <w:color w:val="auto"/>
              </w:rPr>
            </w:pPr>
            <w:r>
              <w:rPr>
                <w:rFonts w:ascii="Arial" w:cs="Arial" w:eastAsia="Arial" w:hAnsi="Arial"/>
                <w:sz w:val="18"/>
                <w:szCs w:val="18"/>
                <w:color w:val="auto"/>
                <w:w w:val="91"/>
              </w:rPr>
              <w:t>information is extracted from T. Rowe Price Group’s unaudited condensed consolidated interim financial statements and notes that</w:t>
            </w:r>
          </w:p>
        </w:tc>
      </w:tr>
      <w:tr>
        <w:trPr>
          <w:trHeight w:val="230"/>
        </w:trPr>
        <w:tc>
          <w:tcPr>
            <w:tcW w:w="110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Arial" w:cs="Arial" w:eastAsia="Arial" w:hAnsi="Arial"/>
                <w:sz w:val="18"/>
                <w:szCs w:val="18"/>
                <w:color w:val="auto"/>
              </w:rPr>
              <w:t>are included in this Form 10-Q Report.</w:t>
            </w:r>
          </w:p>
        </w:tc>
      </w:tr>
    </w:tbl>
    <w:p>
      <w:pPr>
        <w:spacing w:after="0" w:line="17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101.INS XBRL Instance Document (File name: trow-20160331.xml).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101.SCH XBRL Taxonomy Extension Schema Document (File name: trow-20160331.xsd).</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101.CAL XBRL Taxonomy Calculation Linkbase Document (File name: trow-20160331_cal.xml).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101.LAB XBRL Taxonomy Label Linkbase Document (File name: trow-20160331_lab.xml).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101.PRE XBRL Taxonomy Presentation Linkbase Document (File name: trow-20160331_pre.xml).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101.DEF XBRL Taxonomy Definition Linkbase Document (File name: trow-20160331_def.xml).</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00"/>
          </w:cols>
          <w:pgMar w:left="240" w:top="580" w:right="259" w:bottom="1440" w:gutter="0" w:footer="0" w:header="0"/>
        </w:sectPr>
      </w:pPr>
    </w:p>
    <w:bookmarkStart w:id="28" w:name="page29"/>
    <w:bookmarkEnd w:id="28"/>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26,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Kenneth V. Moreland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220"/>
          </w:cols>
          <w:pgMar w:left="240" w:top="364" w:right="4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3039110</wp:posOffset>
            </wp:positionH>
            <wp:positionV relativeFrom="page">
              <wp:posOffset>226060</wp:posOffset>
            </wp:positionV>
            <wp:extent cx="2058035" cy="557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58035" cy="55753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Christopher Alderson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Old Enton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Water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Surrey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GU8 5A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Chris,</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Further to our recent conversations, I am pleased to confirm the below updated details of your employment as Head of International Equity with T. Rowe Price International Limited (TRPIL) (“the Company”), a wholly owned subsidiary of T. Rowe Price Group (TRPG). You have been appointed Vice President of TRPIL as well as Vice President of Group, in addition to a number of other officer titles and directorships which may vary slightly from time to time. Your continuous service date is 16</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September 1985.</w:t>
      </w:r>
    </w:p>
    <w:p>
      <w:pPr>
        <w:spacing w:after="0" w:line="14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Your employment is subject to you having the continued right to live and work in the UK.</w:t>
      </w:r>
    </w:p>
    <w:p>
      <w:pPr>
        <w:spacing w:after="0" w:line="225"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Your job title is Head of International Equity and you report to Bill Stromberg. Bill will be your line manager for the purposes of the Associate Handbook. Although this will be the post you initially take up, the Company may transfer you to another similar position or to another department.</w:t>
      </w:r>
    </w:p>
    <w:p>
      <w:pPr>
        <w:spacing w:after="0" w:line="199" w:lineRule="exact"/>
        <w:rPr>
          <w:rFonts w:ascii="Arial" w:cs="Arial" w:eastAsia="Arial" w:hAnsi="Arial"/>
          <w:sz w:val="18"/>
          <w:szCs w:val="18"/>
          <w:color w:val="auto"/>
        </w:rPr>
      </w:pPr>
    </w:p>
    <w:p>
      <w:pPr>
        <w:ind w:left="660" w:hanging="328"/>
        <w:spacing w:after="0" w:line="23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Your salary is £225,000 per annum, accruing on a daily basis. Salaries are paid monthly on or about the 25</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of each month directly into your bank account as set out in the Associate Handbook. Salaries are subject to annual review (but without commitment to increase) based on performance.</w:t>
      </w:r>
    </w:p>
    <w:p>
      <w:pPr>
        <w:spacing w:after="0" w:line="216" w:lineRule="exact"/>
        <w:rPr>
          <w:rFonts w:ascii="Arial" w:cs="Arial" w:eastAsia="Arial" w:hAnsi="Arial"/>
          <w:sz w:val="18"/>
          <w:szCs w:val="18"/>
          <w:color w:val="auto"/>
        </w:rPr>
      </w:pPr>
    </w:p>
    <w:p>
      <w:pPr>
        <w:ind w:left="660" w:right="12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reserves the right to recover from your salary payments any overpayments made to you and to recover from your final salary payment an amount equal to any sums you owe to the Company. If you are a US taxpayer, no offset will be made against any amount that constitutes deferred compensation within the meaning of US Tax Code section 409A earlier than the date such amount is otherwise due to be paid to you.</w:t>
      </w:r>
    </w:p>
    <w:p>
      <w:pPr>
        <w:spacing w:after="0" w:line="204" w:lineRule="exact"/>
        <w:rPr>
          <w:rFonts w:ascii="Arial" w:cs="Arial" w:eastAsia="Arial" w:hAnsi="Arial"/>
          <w:sz w:val="18"/>
          <w:szCs w:val="18"/>
          <w:color w:val="auto"/>
        </w:rPr>
      </w:pPr>
    </w:p>
    <w:p>
      <w:pPr>
        <w:ind w:left="66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 may be eligible to participate in the annual discretionary performance bonus program in accordance with the rules of that program. Bonuses are paid at the discretion of the Company. Any bonus is paid based upon the performance of the Company and your achievement of performance objectives determined between you and your manager. A bonus will only be awarded if you continue to be in employment at the time of payment.</w:t>
      </w:r>
    </w:p>
    <w:p>
      <w:pPr>
        <w:spacing w:after="0" w:line="204" w:lineRule="exact"/>
        <w:rPr>
          <w:rFonts w:ascii="Arial" w:cs="Arial" w:eastAsia="Arial" w:hAnsi="Arial"/>
          <w:sz w:val="18"/>
          <w:szCs w:val="18"/>
          <w:color w:val="auto"/>
        </w:rPr>
      </w:pPr>
    </w:p>
    <w:p>
      <w:pPr>
        <w:ind w:left="660" w:right="2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 may be eligible to participate in our equity incentive program subject to the terms of that program. Equity awards are made at the discretion of the Company and generally are made two times per year. You will be eligible to participate in future equity programs in the Company’s discretion. Equity awards under any future programs will be subject to such vesting and other terms and conditions as the Company, at its discretion, may establish.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5848985" cy="600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8985" cy="60007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30" w:name="page31"/>
    <w:bookmarkEnd w:id="30"/>
    <w:p>
      <w:pPr>
        <w:ind w:left="328"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1483360" cy="394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483360" cy="394335"/>
                    </a:xfrm>
                    <a:prstGeom prst="rect">
                      <a:avLst/>
                    </a:prstGeom>
                    <a:noFill/>
                  </pic:spPr>
                </pic:pic>
              </a:graphicData>
            </a:graphic>
          </wp:anchor>
        </w:drawing>
        <w:t>The office is open for business at all times. The core hours applicable to your employment will be 9:00 a.m. to 5:00 p.m., as required by the Company with a break of one hour for lunch. However, you will be required to devote sufficient time to your duties to enable you properly to perform these and this may necessitate you working outside your normal hours if required to do so. If you do work additional hours</w:t>
      </w:r>
    </w:p>
    <w:p>
      <w:pPr>
        <w:spacing w:after="0" w:line="1" w:lineRule="exact"/>
        <w:rPr>
          <w:rFonts w:ascii="Arial" w:cs="Arial" w:eastAsia="Arial" w:hAnsi="Arial"/>
          <w:sz w:val="18"/>
          <w:szCs w:val="18"/>
          <w:color w:val="auto"/>
        </w:rPr>
      </w:pPr>
    </w:p>
    <w:p>
      <w:pPr>
        <w:ind w:left="328" w:right="380"/>
        <w:spacing w:after="0" w:line="262" w:lineRule="auto"/>
        <w:rPr>
          <w:rFonts w:ascii="Arial" w:cs="Arial" w:eastAsia="Arial" w:hAnsi="Arial"/>
          <w:sz w:val="18"/>
          <w:szCs w:val="18"/>
          <w:color w:val="auto"/>
        </w:rPr>
      </w:pPr>
      <w:r>
        <w:rPr>
          <w:rFonts w:ascii="Arial" w:cs="Arial" w:eastAsia="Arial" w:hAnsi="Arial"/>
          <w:sz w:val="18"/>
          <w:szCs w:val="18"/>
          <w:color w:val="auto"/>
        </w:rPr>
        <w:t>and you have not agreed to opt out of the Working Time Regulations 1998 (“the Regulations”) you must keep a record of them and advise Human Resources of them so that the Company can comply with its obligations under the Regulations.</w:t>
      </w:r>
    </w:p>
    <w:p>
      <w:pPr>
        <w:spacing w:after="0" w:line="196" w:lineRule="exact"/>
        <w:rPr>
          <w:rFonts w:ascii="Arial" w:cs="Arial" w:eastAsia="Arial" w:hAnsi="Arial"/>
          <w:sz w:val="18"/>
          <w:szCs w:val="18"/>
          <w:color w:val="auto"/>
        </w:rPr>
      </w:pPr>
    </w:p>
    <w:p>
      <w:pPr>
        <w:ind w:left="648" w:right="240" w:hanging="324"/>
        <w:spacing w:after="0" w:line="254" w:lineRule="auto"/>
        <w:tabs>
          <w:tab w:leader="none" w:pos="648" w:val="left"/>
        </w:tabs>
        <w:numPr>
          <w:ilvl w:val="1"/>
          <w:numId w:val="4"/>
        </w:numPr>
        <w:rPr>
          <w:rFonts w:ascii="Arial" w:cs="Arial" w:eastAsia="Arial" w:hAnsi="Arial"/>
          <w:sz w:val="18"/>
          <w:szCs w:val="18"/>
          <w:color w:val="auto"/>
        </w:rPr>
      </w:pPr>
      <w:r>
        <w:rPr>
          <w:rFonts w:ascii="Arial" w:cs="Arial" w:eastAsia="Arial" w:hAnsi="Arial"/>
          <w:sz w:val="18"/>
          <w:szCs w:val="18"/>
          <w:color w:val="auto"/>
        </w:rPr>
        <w:t>You agree that your working time, including overtime (whether or not paid), in any reference period may exceed 48 hours in any seven day period and that the limit specified in Regulation 4(1) of the Regulations shall not apply to your employment by us. You must give the Company not less than 12 weeks’ written notice if you wish to withdraw your agreement. If you do not agree to opting-out of the Regulations please delete this paragraph before counter-signing this letter.</w:t>
      </w:r>
    </w:p>
    <w:p>
      <w:pPr>
        <w:spacing w:after="0" w:line="204" w:lineRule="exact"/>
        <w:rPr>
          <w:rFonts w:ascii="Arial" w:cs="Arial" w:eastAsia="Arial" w:hAnsi="Arial"/>
          <w:sz w:val="18"/>
          <w:szCs w:val="18"/>
          <w:color w:val="auto"/>
        </w:rPr>
      </w:pPr>
    </w:p>
    <w:p>
      <w:pPr>
        <w:ind w:left="648" w:hanging="324"/>
        <w:spacing w:after="0"/>
        <w:tabs>
          <w:tab w:leader="none" w:pos="648" w:val="left"/>
        </w:tabs>
        <w:numPr>
          <w:ilvl w:val="1"/>
          <w:numId w:val="4"/>
        </w:numPr>
        <w:rPr>
          <w:rFonts w:ascii="Arial" w:cs="Arial" w:eastAsia="Arial" w:hAnsi="Arial"/>
          <w:sz w:val="18"/>
          <w:szCs w:val="18"/>
          <w:color w:val="auto"/>
        </w:rPr>
      </w:pPr>
      <w:r>
        <w:rPr>
          <w:rFonts w:ascii="Arial" w:cs="Arial" w:eastAsia="Arial" w:hAnsi="Arial"/>
          <w:sz w:val="18"/>
          <w:szCs w:val="18"/>
          <w:color w:val="auto"/>
        </w:rPr>
        <w:t>Further details on the Working Times Regulations are set out in the Staff Handbook.</w:t>
      </w:r>
    </w:p>
    <w:p>
      <w:pPr>
        <w:spacing w:after="0" w:line="225" w:lineRule="exact"/>
        <w:rPr>
          <w:rFonts w:ascii="Arial" w:cs="Arial" w:eastAsia="Arial" w:hAnsi="Arial"/>
          <w:sz w:val="18"/>
          <w:szCs w:val="18"/>
          <w:color w:val="auto"/>
        </w:rPr>
      </w:pPr>
    </w:p>
    <w:p>
      <w:pPr>
        <w:ind w:left="648" w:hanging="324"/>
        <w:spacing w:after="0" w:line="262" w:lineRule="auto"/>
        <w:tabs>
          <w:tab w:leader="none" w:pos="648"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failure to comply with the Company’s record keeping requirements on working time set out in the Associate Handbook will be a disciplinary offence and dealt with under the Company’s disciplinary procedures.</w:t>
      </w:r>
    </w:p>
    <w:p>
      <w:pPr>
        <w:spacing w:after="0" w:line="196" w:lineRule="exact"/>
        <w:rPr>
          <w:rFonts w:ascii="Arial" w:cs="Arial" w:eastAsia="Arial" w:hAnsi="Arial"/>
          <w:sz w:val="18"/>
          <w:szCs w:val="18"/>
          <w:color w:val="auto"/>
        </w:rPr>
      </w:pPr>
    </w:p>
    <w:p>
      <w:pPr>
        <w:ind w:left="328" w:right="640" w:hanging="328"/>
        <w:spacing w:after="0" w:line="262"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your employment with the Company you must not without the prior consent in writing of the Ethics Committee directly or indirectly be employed or otherwise engaged in any other business, trade or profession.</w:t>
      </w:r>
    </w:p>
    <w:p>
      <w:pPr>
        <w:spacing w:after="0" w:line="193" w:lineRule="exact"/>
        <w:rPr>
          <w:rFonts w:ascii="Arial" w:cs="Arial" w:eastAsia="Arial" w:hAnsi="Arial"/>
          <w:sz w:val="18"/>
          <w:szCs w:val="18"/>
          <w:color w:val="auto"/>
        </w:rPr>
      </w:pPr>
    </w:p>
    <w:p>
      <w:pPr>
        <w:ind w:left="328" w:right="240" w:hanging="328"/>
        <w:spacing w:after="0" w:line="226"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Your annual holiday entitlement is 30 working days in addition to English Public and Bank Holidays. The holiday year runs from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January to 31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December. Joiners and leavers during the year are entitled to a proportionate number of days. Further details are set out in the Associate Handbook.</w:t>
      </w:r>
    </w:p>
    <w:p>
      <w:pPr>
        <w:spacing w:after="0" w:line="217" w:lineRule="exact"/>
        <w:rPr>
          <w:rFonts w:ascii="Arial" w:cs="Arial" w:eastAsia="Arial" w:hAnsi="Arial"/>
          <w:sz w:val="18"/>
          <w:szCs w:val="18"/>
          <w:color w:val="auto"/>
        </w:rPr>
      </w:pPr>
    </w:p>
    <w:p>
      <w:pPr>
        <w:ind w:left="328" w:hanging="328"/>
        <w:spacing w:after="0" w:line="251"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 to clause 11 and the summary termination provisions in the Associate Handbook, you may terminate your employment hereunder by giving to the Company not less than three months’ written notice. The Company may terminate your employment by giving you three months’ notice in writing. If, in order to avoid the imposition of additional taxes or penalties against you under US tax laws, US Tax Code section 409A(a)(2)(B)(i) requires a six-month delay before the payment of any amount that becomes due on account of your separation from service, T. Rowe Price will withhold such payment until the first day of the seventh month after the date that you separate from service. This provision may apply to you if you are a US taxpayer. You must notify T. Rowe Price Human Resources in writing if you are currently, or if during your employment become, a US taxpayer. T. Rowe Price will not be responsible for any additional taxes or penalties imposed under US Tax Code section 409A if you fail to notify T. Rowe Price in writing of your status as a US taxpayer before your separation from service occurs.</w:t>
      </w:r>
    </w:p>
    <w:p>
      <w:pPr>
        <w:spacing w:after="0" w:line="212" w:lineRule="exact"/>
        <w:rPr>
          <w:rFonts w:ascii="Arial" w:cs="Arial" w:eastAsia="Arial" w:hAnsi="Arial"/>
          <w:sz w:val="18"/>
          <w:szCs w:val="18"/>
          <w:color w:val="auto"/>
        </w:rPr>
      </w:pPr>
    </w:p>
    <w:p>
      <w:pPr>
        <w:ind w:left="328" w:hanging="328"/>
        <w:spacing w:after="0" w:line="256"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reserves the right to make a payment of salary in lieu of any period of notice given by you or the Company. Any payment in lieu of notice will be calculated on the basis of your base salary only at the time your employment ends and will be paid during the notice period in accordance with the regular payroll schedule in effect at that time.</w:t>
      </w:r>
    </w:p>
    <w:p>
      <w:pPr>
        <w:spacing w:after="0" w:line="201" w:lineRule="exact"/>
        <w:rPr>
          <w:rFonts w:ascii="Arial" w:cs="Arial" w:eastAsia="Arial" w:hAnsi="Arial"/>
          <w:sz w:val="18"/>
          <w:szCs w:val="18"/>
          <w:color w:val="auto"/>
        </w:rPr>
      </w:pPr>
    </w:p>
    <w:p>
      <w:pPr>
        <w:ind w:left="328" w:right="120" w:hanging="328"/>
        <w:spacing w:after="0" w:line="254"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you have been absent from work due to illness for more than 90 days during any period of twelve consecutive months the Company may terminate your employment with one month’s notice. The validity of the notice shall be dependent on it being given immediately after the expiry of the ninety days of illness and while you are still ill, but its validity shall not be affected by the fact that you have returned to your work after the notice of dismissal has been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558800</wp:posOffset>
            </wp:positionV>
            <wp:extent cx="148336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83360" cy="154305"/>
                    </a:xfrm>
                    <a:prstGeom prst="rect">
                      <a:avLst/>
                    </a:prstGeom>
                    <a:noFill/>
                  </pic:spPr>
                </pic:pic>
              </a:graphicData>
            </a:graphic>
          </wp:anchor>
        </w:drawing>
      </w:r>
    </w:p>
    <w:p>
      <w:pPr>
        <w:sectPr>
          <w:pgSz w:w="11900" w:h="16838" w:orient="portrait"/>
          <w:cols w:equalWidth="0" w:num="1">
            <w:col w:w="11068"/>
          </w:cols>
          <w:pgMar w:left="572" w:top="1435" w:right="259" w:bottom="1440" w:gutter="0" w:footer="0" w:header="0"/>
        </w:sectPr>
      </w:pPr>
    </w:p>
    <w:bookmarkStart w:id="31" w:name="page32"/>
    <w:bookmarkEnd w:id="31"/>
    <w:p>
      <w:pPr>
        <w:ind w:left="328" w:right="140" w:hanging="328"/>
        <w:spacing w:after="0" w:line="262"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1483360" cy="394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483360" cy="394335"/>
                    </a:xfrm>
                    <a:prstGeom prst="rect">
                      <a:avLst/>
                    </a:prstGeom>
                    <a:noFill/>
                  </pic:spPr>
                </pic:pic>
              </a:graphicData>
            </a:graphic>
          </wp:anchor>
        </w:drawing>
        <w:t>Following the Termination Date, you will not represent yourself as being in any way connected with the businesses of the Company or of its associated or subsidiary companies (except to the extent agreed by such a company).</w:t>
      </w:r>
    </w:p>
    <w:p>
      <w:pPr>
        <w:spacing w:after="0" w:line="196"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benefits to which you will be entitled are as follows:</w:t>
      </w:r>
    </w:p>
    <w:p>
      <w:pPr>
        <w:spacing w:after="0" w:line="225" w:lineRule="exact"/>
        <w:rPr>
          <w:rFonts w:ascii="Arial" w:cs="Arial" w:eastAsia="Arial" w:hAnsi="Arial"/>
          <w:sz w:val="18"/>
          <w:szCs w:val="18"/>
          <w:color w:val="auto"/>
        </w:rPr>
      </w:pPr>
    </w:p>
    <w:p>
      <w:pPr>
        <w:ind w:left="1288" w:right="40" w:hanging="315"/>
        <w:spacing w:after="0" w:line="253" w:lineRule="auto"/>
        <w:tabs>
          <w:tab w:leader="none" w:pos="1288" w:val="left"/>
        </w:tabs>
        <w:numPr>
          <w:ilvl w:val="1"/>
          <w:numId w:val="5"/>
        </w:numPr>
        <w:rPr>
          <w:rFonts w:ascii="Arial" w:cs="Arial" w:eastAsia="Arial" w:hAnsi="Arial"/>
          <w:sz w:val="18"/>
          <w:szCs w:val="18"/>
          <w:color w:val="auto"/>
        </w:rPr>
      </w:pPr>
      <w:r>
        <w:rPr>
          <w:rFonts w:ascii="Arial" w:cs="Arial" w:eastAsia="Arial" w:hAnsi="Arial"/>
          <w:sz w:val="18"/>
          <w:szCs w:val="18"/>
          <w:color w:val="auto"/>
        </w:rPr>
        <w:t>Subject to you complying with the rules of any scheme from time to time in force, and to the Company being able to secure cover for you on reasonable terms, you will be eligible for private health insurance cover with an insurer selected by the Company (currently operated by VitalityHealth). Private medical cover will not extend into your retirement with the Company. The Company reserves the right at any time to withdraw this benefit or to amend the terms upon which it is provided.</w:t>
      </w:r>
    </w:p>
    <w:p>
      <w:pPr>
        <w:spacing w:after="0" w:line="205" w:lineRule="exact"/>
        <w:rPr>
          <w:rFonts w:ascii="Arial" w:cs="Arial" w:eastAsia="Arial" w:hAnsi="Arial"/>
          <w:sz w:val="18"/>
          <w:szCs w:val="18"/>
          <w:color w:val="auto"/>
        </w:rPr>
      </w:pPr>
    </w:p>
    <w:p>
      <w:pPr>
        <w:ind w:left="1288" w:right="140" w:hanging="315"/>
        <w:spacing w:after="0" w:line="252" w:lineRule="auto"/>
        <w:tabs>
          <w:tab w:leader="none" w:pos="1288"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Provided you satisfy the relevant statutory requirements and subject to its rules from time to time in force, you will be automatically enrolled into the Company's defined contribution retirement plan, the T. Rowe Price UK Retirement Scheme (the "Pension Scheme") from the date on which you meet the requirements or such later date notified to you. By signing this letter, you agree that the Company will act on your behalf in taking the steps necessary to enrol you in the Pension Scheme. Both you and the Company will make contributions into the Pension Scheme at the level notified to you by the Company from time to time in writing. Your contributions will be deducted from your pay and paid across to the Pension Scheme.</w:t>
      </w:r>
    </w:p>
    <w:p>
      <w:pPr>
        <w:spacing w:after="0" w:line="207" w:lineRule="exact"/>
        <w:rPr>
          <w:rFonts w:ascii="Arial" w:cs="Arial" w:eastAsia="Arial" w:hAnsi="Arial"/>
          <w:sz w:val="18"/>
          <w:szCs w:val="18"/>
          <w:color w:val="auto"/>
        </w:rPr>
      </w:pPr>
    </w:p>
    <w:p>
      <w:pPr>
        <w:jc w:val="both"/>
        <w:ind w:left="1288" w:right="320"/>
        <w:spacing w:after="0" w:line="256" w:lineRule="auto"/>
        <w:rPr>
          <w:rFonts w:ascii="Arial" w:cs="Arial" w:eastAsia="Arial" w:hAnsi="Arial"/>
          <w:sz w:val="18"/>
          <w:szCs w:val="18"/>
          <w:color w:val="auto"/>
        </w:rPr>
      </w:pPr>
      <w:r>
        <w:rPr>
          <w:rFonts w:ascii="Arial" w:cs="Arial" w:eastAsia="Arial" w:hAnsi="Arial"/>
          <w:sz w:val="18"/>
          <w:szCs w:val="18"/>
          <w:color w:val="auto"/>
        </w:rPr>
        <w:t>You are entitled to opt out of the Pension Scheme by giving notice. Further details will be provided to you following your enrolment in the Pension Scheme. If you cease to be a member of the Pension Scheme, the Company will not pay any further pension contributions in respect of you.</w:t>
      </w:r>
    </w:p>
    <w:p>
      <w:pPr>
        <w:spacing w:after="0" w:line="201" w:lineRule="exact"/>
        <w:rPr>
          <w:rFonts w:ascii="Arial" w:cs="Arial" w:eastAsia="Arial" w:hAnsi="Arial"/>
          <w:sz w:val="18"/>
          <w:szCs w:val="18"/>
          <w:color w:val="auto"/>
        </w:rPr>
      </w:pPr>
    </w:p>
    <w:p>
      <w:pPr>
        <w:ind w:left="1288" w:right="200"/>
        <w:spacing w:after="0" w:line="254" w:lineRule="auto"/>
        <w:rPr>
          <w:rFonts w:ascii="Arial" w:cs="Arial" w:eastAsia="Arial" w:hAnsi="Arial"/>
          <w:sz w:val="18"/>
          <w:szCs w:val="18"/>
          <w:color w:val="auto"/>
        </w:rPr>
      </w:pPr>
      <w:r>
        <w:rPr>
          <w:rFonts w:ascii="Arial" w:cs="Arial" w:eastAsia="Arial" w:hAnsi="Arial"/>
          <w:sz w:val="18"/>
          <w:szCs w:val="18"/>
          <w:color w:val="auto"/>
        </w:rPr>
        <w:t>Should you decide to opt out of membership of the Pension Scheme or otherwise cease membership of the Pension Scheme the Company may be required by law to re-enrol you in an appropriate scheme. In these circumstances, subject to any statutory right you may have to opt-out, you will be required to make such contributions to that scheme as may be required by law from time to time.</w:t>
      </w:r>
    </w:p>
    <w:p>
      <w:pPr>
        <w:spacing w:after="0" w:line="204" w:lineRule="exact"/>
        <w:rPr>
          <w:rFonts w:ascii="Arial" w:cs="Arial" w:eastAsia="Arial" w:hAnsi="Arial"/>
          <w:sz w:val="18"/>
          <w:szCs w:val="18"/>
          <w:color w:val="auto"/>
        </w:rPr>
      </w:pPr>
    </w:p>
    <w:p>
      <w:pPr>
        <w:jc w:val="both"/>
        <w:ind w:left="1288" w:right="80"/>
        <w:spacing w:after="0" w:line="262" w:lineRule="auto"/>
        <w:rPr>
          <w:rFonts w:ascii="Arial" w:cs="Arial" w:eastAsia="Arial" w:hAnsi="Arial"/>
          <w:sz w:val="18"/>
          <w:szCs w:val="18"/>
          <w:color w:val="auto"/>
        </w:rPr>
      </w:pPr>
      <w:r>
        <w:rPr>
          <w:rFonts w:ascii="Arial" w:cs="Arial" w:eastAsia="Arial" w:hAnsi="Arial"/>
          <w:sz w:val="18"/>
          <w:szCs w:val="18"/>
          <w:color w:val="auto"/>
        </w:rPr>
        <w:t>The Company reserves the right to terminate its participation in the Pension Scheme, to amend the Pension Scheme or to substitute another pension scheme. There is no contracting-out certificate in force in relation to the State Second Pension.</w:t>
      </w:r>
    </w:p>
    <w:p>
      <w:pPr>
        <w:spacing w:after="0" w:line="196" w:lineRule="exact"/>
        <w:rPr>
          <w:rFonts w:ascii="Arial" w:cs="Arial" w:eastAsia="Arial" w:hAnsi="Arial"/>
          <w:sz w:val="18"/>
          <w:szCs w:val="18"/>
          <w:color w:val="auto"/>
        </w:rPr>
      </w:pPr>
    </w:p>
    <w:p>
      <w:pPr>
        <w:ind w:left="1288" w:hanging="315"/>
        <w:spacing w:after="0" w:line="254" w:lineRule="auto"/>
        <w:tabs>
          <w:tab w:leader="none" w:pos="1288"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offers Permanent Health Insurance subject to the requirements of the Company insurers and subject to the Company's right to terminate your employment in accordance with your contract of employment. The terms upon which this insurance is provided and the level of cover will be in accordance with the Company policy, as in force from time to time. The Company reserves the right to amend or terminate this benefit at any time.</w:t>
      </w:r>
    </w:p>
    <w:p>
      <w:pPr>
        <w:spacing w:after="0" w:line="204" w:lineRule="exact"/>
        <w:rPr>
          <w:rFonts w:ascii="Arial" w:cs="Arial" w:eastAsia="Arial" w:hAnsi="Arial"/>
          <w:sz w:val="18"/>
          <w:szCs w:val="18"/>
          <w:color w:val="auto"/>
        </w:rPr>
      </w:pPr>
    </w:p>
    <w:p>
      <w:pPr>
        <w:ind w:left="1288" w:hanging="315"/>
        <w:spacing w:after="0"/>
        <w:tabs>
          <w:tab w:leader="none" w:pos="1288" w:val="left"/>
        </w:tabs>
        <w:numPr>
          <w:ilvl w:val="1"/>
          <w:numId w:val="5"/>
        </w:numPr>
        <w:rPr>
          <w:rFonts w:ascii="Arial" w:cs="Arial" w:eastAsia="Arial" w:hAnsi="Arial"/>
          <w:sz w:val="18"/>
          <w:szCs w:val="18"/>
          <w:color w:val="auto"/>
        </w:rPr>
      </w:pPr>
      <w:r>
        <w:rPr>
          <w:rFonts w:ascii="Arial" w:cs="Arial" w:eastAsia="Arial" w:hAnsi="Arial"/>
          <w:sz w:val="18"/>
          <w:szCs w:val="18"/>
          <w:color w:val="auto"/>
        </w:rPr>
        <w:t>You will be covered by Death in Service benefit subject to the terms of the scheme from time to time in force.</w:t>
      </w:r>
    </w:p>
    <w:p>
      <w:pPr>
        <w:spacing w:after="0" w:line="225" w:lineRule="exact"/>
        <w:rPr>
          <w:sz w:val="20"/>
          <w:szCs w:val="20"/>
          <w:color w:val="auto"/>
        </w:rPr>
      </w:pPr>
    </w:p>
    <w:p>
      <w:pPr>
        <w:jc w:val="both"/>
        <w:ind w:left="1268" w:right="120"/>
        <w:spacing w:after="0" w:line="256" w:lineRule="auto"/>
        <w:rPr>
          <w:sz w:val="20"/>
          <w:szCs w:val="20"/>
          <w:color w:val="auto"/>
        </w:rPr>
      </w:pPr>
      <w:r>
        <w:rPr>
          <w:rFonts w:ascii="Arial" w:cs="Arial" w:eastAsia="Arial" w:hAnsi="Arial"/>
          <w:sz w:val="18"/>
          <w:szCs w:val="18"/>
          <w:color w:val="auto"/>
        </w:rPr>
        <w:t>Neither the Company, nor the trustees of the TRP UK Retirement plan are liable to provide any benefit until they have first received the sum from the insurer and you understand and agree that if the insurer fails or refused to provide you with any benefits under the insurance arrangement provided by the Company you will have no right of action against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711835</wp:posOffset>
            </wp:positionV>
            <wp:extent cx="148336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83360" cy="154305"/>
                    </a:xfrm>
                    <a:prstGeom prst="rect">
                      <a:avLst/>
                    </a:prstGeom>
                    <a:noFill/>
                  </pic:spPr>
                </pic:pic>
              </a:graphicData>
            </a:graphic>
          </wp:anchor>
        </w:drawing>
      </w:r>
    </w:p>
    <w:p>
      <w:pPr>
        <w:sectPr>
          <w:pgSz w:w="11900" w:h="16838" w:orient="portrait"/>
          <w:cols w:equalWidth="0" w:num="1">
            <w:col w:w="11088"/>
          </w:cols>
          <w:pgMar w:left="572" w:top="1435" w:right="239" w:bottom="1440" w:gutter="0" w:footer="0" w:header="0"/>
        </w:sectPr>
      </w:pPr>
    </w:p>
    <w:bookmarkStart w:id="32" w:name="page33"/>
    <w:bookmarkEnd w:id="32"/>
    <w:p>
      <w:pPr>
        <w:ind w:left="1268" w:right="8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1483360" cy="394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483360" cy="394335"/>
                    </a:xfrm>
                    <a:prstGeom prst="rect">
                      <a:avLst/>
                    </a:prstGeom>
                    <a:noFill/>
                  </pic:spPr>
                </pic:pic>
              </a:graphicData>
            </a:graphic>
          </wp:anchor>
        </w:drawing>
        <w:t>in respect of such failure or refusal. Further details are attached in the TRP UK Retirement Plan Handbook. The Company reserves the right to amend or terminate this benefit at any time.</w:t>
      </w:r>
    </w:p>
    <w:p>
      <w:pPr>
        <w:spacing w:after="0" w:line="102" w:lineRule="exact"/>
        <w:rPr>
          <w:sz w:val="20"/>
          <w:szCs w:val="20"/>
          <w:color w:val="auto"/>
        </w:rPr>
      </w:pPr>
    </w:p>
    <w:p>
      <w:pPr>
        <w:ind w:left="1288" w:right="100" w:hanging="315"/>
        <w:spacing w:after="0" w:line="256" w:lineRule="auto"/>
        <w:tabs>
          <w:tab w:leader="none" w:pos="1288" w:val="left"/>
        </w:tabs>
        <w:numPr>
          <w:ilvl w:val="1"/>
          <w:numId w:val="6"/>
        </w:numPr>
        <w:rPr>
          <w:rFonts w:ascii="Arial" w:cs="Arial" w:eastAsia="Arial" w:hAnsi="Arial"/>
          <w:sz w:val="18"/>
          <w:szCs w:val="18"/>
          <w:color w:val="auto"/>
        </w:rPr>
      </w:pPr>
      <w:r>
        <w:rPr>
          <w:rFonts w:ascii="Arial" w:cs="Arial" w:eastAsia="Arial" w:hAnsi="Arial"/>
          <w:sz w:val="18"/>
          <w:szCs w:val="18"/>
          <w:color w:val="auto"/>
        </w:rPr>
        <w:t>You will be eligible to participate in the Employee Stock Purchase Plan. Details of this plan are outlined in the plan prospectus as in force from time to time. The Company reserves the right to amend or terminate the Stock Purchase Plan at any time.</w:t>
      </w:r>
    </w:p>
    <w:p>
      <w:pPr>
        <w:spacing w:after="0" w:line="201" w:lineRule="exact"/>
        <w:rPr>
          <w:rFonts w:ascii="Arial" w:cs="Arial" w:eastAsia="Arial" w:hAnsi="Arial"/>
          <w:sz w:val="18"/>
          <w:szCs w:val="18"/>
          <w:color w:val="auto"/>
        </w:rPr>
      </w:pPr>
    </w:p>
    <w:p>
      <w:pPr>
        <w:ind w:left="328" w:right="380" w:hanging="328"/>
        <w:spacing w:after="0" w:line="256"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disciplinary rules and problem resolution procedures are detailed in the Associate Handbook. Please note that the disciplinary rules form part of your contract of employment but that the disciplinary and problem resolution procedures are non-contractual.</w:t>
      </w:r>
    </w:p>
    <w:p>
      <w:pPr>
        <w:spacing w:after="0" w:line="201" w:lineRule="exact"/>
        <w:rPr>
          <w:rFonts w:ascii="Arial" w:cs="Arial" w:eastAsia="Arial" w:hAnsi="Arial"/>
          <w:sz w:val="18"/>
          <w:szCs w:val="18"/>
          <w:color w:val="auto"/>
        </w:rPr>
      </w:pPr>
    </w:p>
    <w:p>
      <w:pPr>
        <w:ind w:left="328" w:hanging="328"/>
        <w:spacing w:after="0" w:line="262"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is a condition of employment that you comply at all times with all T. Rowe Price compliance procedures including T. Rowe Price Code of Ethics which incorporates the Associate Dealing Rules.</w:t>
      </w:r>
    </w:p>
    <w:p>
      <w:pPr>
        <w:spacing w:after="0" w:line="196" w:lineRule="exact"/>
        <w:rPr>
          <w:rFonts w:ascii="Arial" w:cs="Arial" w:eastAsia="Arial" w:hAnsi="Arial"/>
          <w:sz w:val="18"/>
          <w:szCs w:val="18"/>
          <w:color w:val="auto"/>
        </w:rPr>
      </w:pPr>
    </w:p>
    <w:p>
      <w:pPr>
        <w:ind w:left="328" w:right="400" w:hanging="328"/>
        <w:spacing w:after="0" w:line="254"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your employment with the Company and at any time after the termination thereof other than in proper performance of your duties hereunder you must not disclose to any other person any confidential information concerning the business or affairs of the Company or any of its associated or subsidiary companies or their clients. This clause is without prejudice to your rights under the Public Interest Disclosure Act 1998.</w:t>
      </w:r>
    </w:p>
    <w:p>
      <w:pPr>
        <w:spacing w:after="0" w:line="204" w:lineRule="exact"/>
        <w:rPr>
          <w:rFonts w:ascii="Arial" w:cs="Arial" w:eastAsia="Arial" w:hAnsi="Arial"/>
          <w:sz w:val="18"/>
          <w:szCs w:val="18"/>
          <w:color w:val="auto"/>
        </w:rPr>
      </w:pPr>
    </w:p>
    <w:p>
      <w:pPr>
        <w:ind w:left="328" w:right="560" w:hanging="328"/>
        <w:spacing w:after="0" w:line="256"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Your contractual terms and conditions of employment are as set out in this letter and in the contractual sections of the Associate Handbook. These documents are a complete statement of your contractual terms and conditions and supersede any previous arrangements or understandings.</w:t>
      </w:r>
    </w:p>
    <w:p>
      <w:pPr>
        <w:spacing w:after="0" w:line="201" w:lineRule="exact"/>
        <w:rPr>
          <w:rFonts w:ascii="Arial" w:cs="Arial" w:eastAsia="Arial" w:hAnsi="Arial"/>
          <w:sz w:val="18"/>
          <w:szCs w:val="18"/>
          <w:color w:val="auto"/>
        </w:rPr>
      </w:pPr>
    </w:p>
    <w:p>
      <w:pPr>
        <w:jc w:val="both"/>
        <w:ind w:left="328" w:right="20" w:hanging="328"/>
        <w:spacing w:after="0" w:line="291" w:lineRule="auto"/>
        <w:tabs>
          <w:tab w:leader="none" w:pos="328" w:val="left"/>
        </w:tabs>
        <w:numPr>
          <w:ilvl w:val="0"/>
          <w:numId w:val="7"/>
        </w:numPr>
        <w:rPr>
          <w:rFonts w:ascii="Arial" w:cs="Arial" w:eastAsia="Arial" w:hAnsi="Arial"/>
          <w:sz w:val="17"/>
          <w:szCs w:val="17"/>
          <w:color w:val="auto"/>
        </w:rPr>
      </w:pPr>
      <w:r>
        <w:rPr>
          <w:rFonts w:ascii="Arial" w:cs="Arial" w:eastAsia="Arial" w:hAnsi="Arial"/>
          <w:sz w:val="17"/>
          <w:szCs w:val="17"/>
          <w:color w:val="auto"/>
        </w:rPr>
        <w:t>Your employment will be based in the TRPIL London offices. However, in view of the nature of business, it may be necessary to assign you to different duties or transfer you to an alternative location. Should this arise then your manager will discuss the rationale with you.</w:t>
      </w:r>
    </w:p>
    <w:p>
      <w:pPr>
        <w:spacing w:after="0" w:line="174" w:lineRule="exact"/>
        <w:rPr>
          <w:rFonts w:ascii="Arial" w:cs="Arial" w:eastAsia="Arial" w:hAnsi="Arial"/>
          <w:sz w:val="17"/>
          <w:szCs w:val="17"/>
          <w:color w:val="auto"/>
        </w:rPr>
      </w:pPr>
    </w:p>
    <w:p>
      <w:pPr>
        <w:ind w:left="328" w:right="340" w:hanging="328"/>
        <w:spacing w:after="0" w:line="262"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sake of completeness, we ask you to note that there are no collective agreements directly affecting the terms and conditions of your employment with the Company and that this employment contract is not for either a temporary or fixed term.</w:t>
      </w:r>
    </w:p>
    <w:p>
      <w:pPr>
        <w:spacing w:after="0" w:line="196" w:lineRule="exact"/>
        <w:rPr>
          <w:rFonts w:ascii="Arial" w:cs="Arial" w:eastAsia="Arial" w:hAnsi="Arial"/>
          <w:sz w:val="18"/>
          <w:szCs w:val="18"/>
          <w:color w:val="auto"/>
        </w:rPr>
      </w:pPr>
    </w:p>
    <w:p>
      <w:pPr>
        <w:ind w:left="328" w:right="780" w:hanging="328"/>
        <w:spacing w:after="0" w:line="262"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When your employment ends, or at any other time if you are requested to do so, you must return to the Company all property belonging or relating to the Company.</w:t>
      </w:r>
    </w:p>
    <w:p>
      <w:pPr>
        <w:spacing w:after="0" w:line="196" w:lineRule="exact"/>
        <w:rPr>
          <w:rFonts w:ascii="Arial" w:cs="Arial" w:eastAsia="Arial" w:hAnsi="Arial"/>
          <w:sz w:val="18"/>
          <w:szCs w:val="18"/>
          <w:color w:val="auto"/>
        </w:rPr>
      </w:pPr>
    </w:p>
    <w:p>
      <w:pPr>
        <w:ind w:left="328" w:right="100" w:hanging="328"/>
        <w:spacing w:after="0" w:line="254"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Details of our policy on Data Protection are set out in the Associate Handbook. However, in order to process data about you, the Company needs your specific consent. Therefore, for the purposes of the Data Protection Act 1998 you give your consent to the holding and processing of personal data provided by you to the Company for all purposes relating to the performance of this Contract, including, but not limited to:</w:t>
      </w:r>
    </w:p>
    <w:p>
      <w:pPr>
        <w:spacing w:after="0" w:line="204" w:lineRule="exact"/>
        <w:rPr>
          <w:sz w:val="20"/>
          <w:szCs w:val="20"/>
          <w:color w:val="auto"/>
        </w:rPr>
      </w:pPr>
    </w:p>
    <w:p>
      <w:pPr>
        <w:ind w:left="1288" w:hanging="315"/>
        <w:spacing w:after="0"/>
        <w:tabs>
          <w:tab w:leader="none" w:pos="1288" w:val="left"/>
        </w:tabs>
        <w:numPr>
          <w:ilvl w:val="0"/>
          <w:numId w:val="8"/>
        </w:numPr>
        <w:rPr>
          <w:rFonts w:ascii="Arial" w:cs="Arial" w:eastAsia="Arial" w:hAnsi="Arial"/>
          <w:sz w:val="18"/>
          <w:szCs w:val="18"/>
          <w:color w:val="auto"/>
        </w:rPr>
      </w:pPr>
      <w:r>
        <w:rPr>
          <w:rFonts w:ascii="Arial" w:cs="Arial" w:eastAsia="Arial" w:hAnsi="Arial"/>
          <w:sz w:val="18"/>
          <w:szCs w:val="18"/>
          <w:color w:val="auto"/>
        </w:rPr>
        <w:t>Administering and maintaining personnel records;</w:t>
      </w:r>
    </w:p>
    <w:p>
      <w:pPr>
        <w:spacing w:after="0" w:line="9" w:lineRule="exact"/>
        <w:rPr>
          <w:rFonts w:ascii="Arial" w:cs="Arial" w:eastAsia="Arial" w:hAnsi="Arial"/>
          <w:sz w:val="18"/>
          <w:szCs w:val="18"/>
          <w:color w:val="auto"/>
        </w:rPr>
      </w:pPr>
    </w:p>
    <w:p>
      <w:pPr>
        <w:ind w:left="1288" w:hanging="315"/>
        <w:spacing w:after="0"/>
        <w:tabs>
          <w:tab w:leader="none" w:pos="1288"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Paying and reviewing salary and other remuneration and benefits;</w:t>
      </w:r>
    </w:p>
    <w:p>
      <w:pPr>
        <w:spacing w:after="0" w:line="9" w:lineRule="exact"/>
        <w:rPr>
          <w:rFonts w:ascii="Arial" w:cs="Arial" w:eastAsia="Arial" w:hAnsi="Arial"/>
          <w:sz w:val="18"/>
          <w:szCs w:val="18"/>
          <w:color w:val="auto"/>
        </w:rPr>
      </w:pPr>
    </w:p>
    <w:p>
      <w:pPr>
        <w:ind w:left="1288" w:hanging="315"/>
        <w:spacing w:after="0"/>
        <w:tabs>
          <w:tab w:leader="none" w:pos="1288"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and administering any benefits;</w:t>
      </w:r>
    </w:p>
    <w:p>
      <w:pPr>
        <w:spacing w:after="0" w:line="9" w:lineRule="exact"/>
        <w:rPr>
          <w:rFonts w:ascii="Arial" w:cs="Arial" w:eastAsia="Arial" w:hAnsi="Arial"/>
          <w:sz w:val="18"/>
          <w:szCs w:val="18"/>
          <w:color w:val="auto"/>
        </w:rPr>
      </w:pPr>
    </w:p>
    <w:p>
      <w:pPr>
        <w:ind w:left="1288" w:hanging="315"/>
        <w:spacing w:after="0"/>
        <w:tabs>
          <w:tab w:leader="none" w:pos="1288"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Undertaking performance appraisals and reviews;</w:t>
      </w:r>
    </w:p>
    <w:p>
      <w:pPr>
        <w:spacing w:after="0" w:line="9" w:lineRule="exact"/>
        <w:rPr>
          <w:rFonts w:ascii="Arial" w:cs="Arial" w:eastAsia="Arial" w:hAnsi="Arial"/>
          <w:sz w:val="18"/>
          <w:szCs w:val="18"/>
          <w:color w:val="auto"/>
        </w:rPr>
      </w:pPr>
    </w:p>
    <w:p>
      <w:pPr>
        <w:ind w:left="1288" w:hanging="315"/>
        <w:spacing w:after="0"/>
        <w:tabs>
          <w:tab w:leader="none" w:pos="1288"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sickness and other absence records;</w:t>
      </w:r>
    </w:p>
    <w:p>
      <w:pPr>
        <w:spacing w:after="0" w:line="9" w:lineRule="exact"/>
        <w:rPr>
          <w:rFonts w:ascii="Arial" w:cs="Arial" w:eastAsia="Arial" w:hAnsi="Arial"/>
          <w:sz w:val="18"/>
          <w:szCs w:val="18"/>
          <w:color w:val="auto"/>
        </w:rPr>
      </w:pPr>
    </w:p>
    <w:p>
      <w:pPr>
        <w:ind w:left="1288" w:hanging="315"/>
        <w:spacing w:after="0"/>
        <w:tabs>
          <w:tab w:leader="none" w:pos="1288"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Taking decisions as to your fitness for work;</w:t>
      </w:r>
    </w:p>
    <w:p>
      <w:pPr>
        <w:spacing w:after="0" w:line="9" w:lineRule="exact"/>
        <w:rPr>
          <w:rFonts w:ascii="Arial" w:cs="Arial" w:eastAsia="Arial" w:hAnsi="Arial"/>
          <w:sz w:val="18"/>
          <w:szCs w:val="18"/>
          <w:color w:val="auto"/>
        </w:rPr>
      </w:pPr>
    </w:p>
    <w:p>
      <w:pPr>
        <w:ind w:left="1288" w:right="60" w:hanging="315"/>
        <w:spacing w:after="0" w:line="250" w:lineRule="auto"/>
        <w:tabs>
          <w:tab w:leader="none" w:pos="1288"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references and information to future employers, and if necessary, governmental and quasi-governmental bodies for social security and other purposes, the Inland Revenue and the Contributions Agency;</w:t>
      </w:r>
    </w:p>
    <w:p>
      <w:pPr>
        <w:ind w:left="1288" w:hanging="315"/>
        <w:spacing w:after="0"/>
        <w:tabs>
          <w:tab w:leader="none" w:pos="1288"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information to future purchasers of the Company or for the business in which you work; and</w:t>
      </w:r>
    </w:p>
    <w:p>
      <w:pPr>
        <w:spacing w:after="0" w:line="9" w:lineRule="exact"/>
        <w:rPr>
          <w:rFonts w:ascii="Arial" w:cs="Arial" w:eastAsia="Arial" w:hAnsi="Arial"/>
          <w:sz w:val="18"/>
          <w:szCs w:val="18"/>
          <w:color w:val="auto"/>
        </w:rPr>
      </w:pPr>
    </w:p>
    <w:p>
      <w:pPr>
        <w:ind w:left="1288" w:hanging="315"/>
        <w:spacing w:after="0"/>
        <w:tabs>
          <w:tab w:leader="none" w:pos="1288"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Transferring information concerning you to a country or territory outside the EEA.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434975</wp:posOffset>
            </wp:positionV>
            <wp:extent cx="148336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83360" cy="154305"/>
                    </a:xfrm>
                    <a:prstGeom prst="rect">
                      <a:avLst/>
                    </a:prstGeom>
                    <a:noFill/>
                  </pic:spPr>
                </pic:pic>
              </a:graphicData>
            </a:graphic>
          </wp:anchor>
        </w:drawing>
      </w:r>
    </w:p>
    <w:p>
      <w:pPr>
        <w:sectPr>
          <w:pgSz w:w="11900" w:h="16838" w:orient="portrait"/>
          <w:cols w:equalWidth="0" w:num="1">
            <w:col w:w="11048"/>
          </w:cols>
          <w:pgMar w:left="572" w:top="1435" w:right="279" w:bottom="1440" w:gutter="0" w:footer="0" w:header="0"/>
        </w:sectPr>
      </w:pPr>
    </w:p>
    <w:bookmarkStart w:id="33" w:name="page34"/>
    <w:bookmarkEnd w:id="33"/>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1483360" cy="394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483360" cy="3943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This contract supersedes and replaces all previous understandings, agreements or contacts, written or verbal, between the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your acceptance of these terms by signing and returning to us the duplicate of this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Deanna Fidler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Deanna Fidler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 accept these terms and employment with T. Rowe Price International under the terms and conditions stated above. I confirm that I have received and understood the terms set out in the Associate Handbook.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Signed:</w:t>
            </w: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/s/ Christopher Alderson</w:t>
            </w:r>
          </w:p>
        </w:tc>
        <w:tc>
          <w:tcPr>
            <w:tcW w:w="4320" w:type="dxa"/>
            <w:vAlign w:val="bottom"/>
          </w:tcPr>
          <w:p>
            <w:pPr>
              <w:ind w:left="20"/>
              <w:spacing w:after="0"/>
              <w:rPr>
                <w:sz w:val="20"/>
                <w:szCs w:val="20"/>
                <w:color w:val="auto"/>
              </w:rPr>
            </w:pPr>
            <w:r>
              <w:rPr>
                <w:rFonts w:ascii="Arial" w:cs="Arial" w:eastAsia="Arial" w:hAnsi="Arial"/>
                <w:sz w:val="18"/>
                <w:szCs w:val="18"/>
                <w:color w:val="auto"/>
              </w:rPr>
              <w:t>17 March 2016</w:t>
            </w:r>
          </w:p>
        </w:tc>
      </w:tr>
      <w:tr>
        <w:trPr>
          <w:trHeight w:val="27"/>
        </w:trPr>
        <w:tc>
          <w:tcPr>
            <w:tcW w:w="92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Christopher Alderson</w:t>
            </w:r>
          </w:p>
        </w:tc>
        <w:tc>
          <w:tcPr>
            <w:tcW w:w="4320" w:type="dxa"/>
            <w:vAlign w:val="bottom"/>
          </w:tcPr>
          <w:p>
            <w:pPr>
              <w:ind w:left="20"/>
              <w:spacing w:after="0"/>
              <w:rPr>
                <w:sz w:val="20"/>
                <w:szCs w:val="20"/>
                <w:color w:val="auto"/>
              </w:rPr>
            </w:pPr>
            <w:r>
              <w:rPr>
                <w:rFonts w:ascii="Arial" w:cs="Arial" w:eastAsia="Arial" w:hAnsi="Arial"/>
                <w:sz w:val="18"/>
                <w:szCs w:val="18"/>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2495550</wp:posOffset>
            </wp:positionV>
            <wp:extent cx="148336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83360" cy="154305"/>
                    </a:xfrm>
                    <a:prstGeom prst="rect">
                      <a:avLst/>
                    </a:prstGeom>
                    <a:noFill/>
                  </pic:spPr>
                </pic:pic>
              </a:graphicData>
            </a:graphic>
          </wp:anchor>
        </w:drawing>
      </w:r>
    </w:p>
    <w:p>
      <w:pPr>
        <w:sectPr>
          <w:pgSz w:w="11900" w:h="16838" w:orient="portrait"/>
          <w:cols w:equalWidth="0" w:num="1">
            <w:col w:w="10880"/>
          </w:cols>
          <w:pgMar w:left="240" w:top="1440" w:right="779" w:bottom="1440" w:gutter="0" w:footer="0" w:header="0"/>
        </w:sectPr>
      </w:pPr>
    </w:p>
    <w:bookmarkStart w:id="34" w:name="page35"/>
    <w:bookmarkEnd w:id="34"/>
    <w:p>
      <w:pPr>
        <w:ind w:left="4340"/>
        <w:spacing w:after="0"/>
        <w:rPr>
          <w:sz w:val="20"/>
          <w:szCs w:val="20"/>
          <w:color w:val="auto"/>
        </w:rPr>
      </w:pPr>
      <w:r>
        <w:rPr>
          <w:rFonts w:ascii="Arial" w:cs="Arial" w:eastAsia="Arial" w:hAnsi="Arial"/>
          <w:sz w:val="17"/>
          <w:szCs w:val="17"/>
          <w:color w:val="auto"/>
        </w:rPr>
        <w:t>EXHIBIT 15</w:t>
      </w:r>
    </w:p>
    <w:p>
      <w:pPr>
        <w:spacing w:after="0" w:line="20" w:lineRule="exact"/>
        <w:rPr>
          <w:sz w:val="20"/>
          <w:szCs w:val="20"/>
          <w:color w:val="auto"/>
        </w:rPr>
      </w:pPr>
      <w:r>
        <w:rPr>
          <w:sz w:val="20"/>
          <w:szCs w:val="20"/>
          <w:color w:val="auto"/>
        </w:rPr>
        <w:br w:type="column"/>
      </w:r>
    </w:p>
    <w:p>
      <w:pPr>
        <w:jc w:val="right"/>
        <w:spacing w:after="0" w:line="277"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5520" w:space="720"/>
            <w:col w:w="5180"/>
          </w:cols>
          <w:pgMar w:left="240" w:top="584"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200" w:lineRule="exact"/>
        <w:rPr>
          <w:sz w:val="20"/>
          <w:szCs w:val="20"/>
          <w:color w:val="auto"/>
        </w:rPr>
      </w:pPr>
    </w:p>
    <w:p>
      <w:pPr>
        <w:spacing w:after="0" w:line="22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 xml:space="preserve">Re: Registration Statements on Form S-8: No. </w:t>
      </w:r>
      <w:r>
        <w:rPr>
          <w:rFonts w:ascii="Arial" w:cs="Arial" w:eastAsia="Arial" w:hAnsi="Arial"/>
          <w:sz w:val="18"/>
          <w:szCs w:val="18"/>
          <w:b w:val="1"/>
          <w:bCs w:val="1"/>
          <w:color w:val="auto"/>
        </w:rPr>
        <w:t>33-7012</w:t>
      </w:r>
      <w:r>
        <w:rPr>
          <w:rFonts w:ascii="Arial" w:cs="Arial" w:eastAsia="Arial" w:hAnsi="Arial"/>
          <w:sz w:val="18"/>
          <w:szCs w:val="18"/>
          <w:color w:val="auto"/>
        </w:rPr>
        <w:t xml:space="preserve">, No. </w:t>
      </w:r>
      <w:r>
        <w:rPr>
          <w:rFonts w:ascii="Arial" w:cs="Arial" w:eastAsia="Arial" w:hAnsi="Arial"/>
          <w:sz w:val="18"/>
          <w:szCs w:val="18"/>
          <w:b w:val="1"/>
          <w:bCs w:val="1"/>
          <w:color w:val="auto"/>
        </w:rPr>
        <w:t>333-90967</w:t>
      </w:r>
      <w:r>
        <w:rPr>
          <w:rFonts w:ascii="Arial" w:cs="Arial" w:eastAsia="Arial" w:hAnsi="Arial"/>
          <w:sz w:val="18"/>
          <w:szCs w:val="18"/>
          <w:color w:val="auto"/>
        </w:rPr>
        <w:t xml:space="preserve">, No. </w:t>
      </w:r>
      <w:r>
        <w:rPr>
          <w:rFonts w:ascii="Arial" w:cs="Arial" w:eastAsia="Arial" w:hAnsi="Arial"/>
          <w:sz w:val="18"/>
          <w:szCs w:val="18"/>
          <w:b w:val="1"/>
          <w:bCs w:val="1"/>
          <w:color w:val="auto"/>
        </w:rPr>
        <w:t>333-59714</w:t>
      </w:r>
      <w:r>
        <w:rPr>
          <w:rFonts w:ascii="Arial" w:cs="Arial" w:eastAsia="Arial" w:hAnsi="Arial"/>
          <w:sz w:val="18"/>
          <w:szCs w:val="18"/>
          <w:color w:val="auto"/>
        </w:rPr>
        <w:t xml:space="preserve">, No. </w:t>
      </w:r>
      <w:r>
        <w:rPr>
          <w:rFonts w:ascii="Arial" w:cs="Arial" w:eastAsia="Arial" w:hAnsi="Arial"/>
          <w:sz w:val="18"/>
          <w:szCs w:val="18"/>
          <w:b w:val="1"/>
          <w:bCs w:val="1"/>
          <w:color w:val="auto"/>
        </w:rPr>
        <w:t>333-120882</w:t>
      </w:r>
      <w:r>
        <w:rPr>
          <w:rFonts w:ascii="Arial" w:cs="Arial" w:eastAsia="Arial" w:hAnsi="Arial"/>
          <w:sz w:val="18"/>
          <w:szCs w:val="18"/>
          <w:color w:val="auto"/>
        </w:rPr>
        <w:t xml:space="preserve">, No. </w:t>
      </w:r>
      <w:r>
        <w:rPr>
          <w:rFonts w:ascii="Arial" w:cs="Arial" w:eastAsia="Arial" w:hAnsi="Arial"/>
          <w:sz w:val="18"/>
          <w:szCs w:val="18"/>
          <w:b w:val="1"/>
          <w:bCs w:val="1"/>
          <w:color w:val="auto"/>
        </w:rPr>
        <w:t>333-120883</w:t>
      </w:r>
      <w:r>
        <w:rPr>
          <w:rFonts w:ascii="Arial" w:cs="Arial" w:eastAsia="Arial" w:hAnsi="Arial"/>
          <w:sz w:val="18"/>
          <w:szCs w:val="18"/>
          <w:color w:val="auto"/>
        </w:rPr>
        <w:t xml:space="preserve">, No. </w:t>
      </w:r>
      <w:r>
        <w:rPr>
          <w:rFonts w:ascii="Arial" w:cs="Arial" w:eastAsia="Arial" w:hAnsi="Arial"/>
          <w:sz w:val="18"/>
          <w:szCs w:val="18"/>
          <w:b w:val="1"/>
          <w:bCs w:val="1"/>
          <w:color w:val="auto"/>
        </w:rPr>
        <w:t>333-142092</w:t>
      </w:r>
      <w:r>
        <w:rPr>
          <w:rFonts w:ascii="Arial" w:cs="Arial" w:eastAsia="Arial" w:hAnsi="Arial"/>
          <w:sz w:val="18"/>
          <w:szCs w:val="18"/>
          <w:color w:val="auto"/>
        </w:rPr>
        <w:t xml:space="preserve">, No. </w:t>
      </w:r>
      <w:r>
        <w:rPr>
          <w:rFonts w:ascii="Arial" w:cs="Arial" w:eastAsia="Arial" w:hAnsi="Arial"/>
          <w:sz w:val="18"/>
          <w:szCs w:val="18"/>
          <w:b w:val="1"/>
          <w:bCs w:val="1"/>
          <w:color w:val="auto"/>
        </w:rPr>
        <w:t>333-167317</w:t>
      </w:r>
      <w:r>
        <w:rPr>
          <w:rFonts w:ascii="Arial" w:cs="Arial" w:eastAsia="Arial" w:hAnsi="Arial"/>
          <w:sz w:val="18"/>
          <w:szCs w:val="18"/>
          <w:color w:val="auto"/>
        </w:rPr>
        <w:t>, No.</w:t>
      </w:r>
      <w:r>
        <w:rPr>
          <w:rFonts w:ascii="Arial" w:cs="Arial" w:eastAsia="Arial" w:hAnsi="Arial"/>
          <w:sz w:val="18"/>
          <w:szCs w:val="18"/>
          <w:b w:val="1"/>
          <w:bCs w:val="1"/>
          <w:color w:val="auto"/>
        </w:rPr>
        <w:t xml:space="preserve"> 333-180904</w:t>
      </w:r>
      <w:r>
        <w:rPr>
          <w:rFonts w:ascii="Arial" w:cs="Arial" w:eastAsia="Arial" w:hAnsi="Arial"/>
          <w:sz w:val="18"/>
          <w:szCs w:val="18"/>
          <w:color w:val="auto"/>
        </w:rPr>
        <w:t>, and No.</w:t>
      </w:r>
      <w:r>
        <w:rPr>
          <w:rFonts w:ascii="Arial" w:cs="Arial" w:eastAsia="Arial" w:hAnsi="Arial"/>
          <w:sz w:val="18"/>
          <w:szCs w:val="18"/>
          <w:b w:val="1"/>
          <w:bCs w:val="1"/>
          <w:color w:val="auto"/>
        </w:rPr>
        <w:t xml:space="preserve"> 333-199560</w:t>
      </w:r>
      <w:r>
        <w:rPr>
          <w:rFonts w:ascii="Arial" w:cs="Arial" w:eastAsia="Arial" w:hAnsi="Arial"/>
          <w:sz w:val="18"/>
          <w:szCs w:val="18"/>
          <w:color w:val="auto"/>
        </w:rPr>
        <w:t>.</w:t>
      </w:r>
    </w:p>
    <w:p>
      <w:pPr>
        <w:spacing w:after="0" w:line="3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April 26, 2016 related to our review of interim financial information.</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26, 2016</w:t>
      </w:r>
    </w:p>
    <w:p>
      <w:pPr>
        <w:sectPr>
          <w:pgSz w:w="11900" w:h="16838" w:orient="portrait"/>
          <w:cols w:equalWidth="0" w:num="1">
            <w:col w:w="11420"/>
          </w:cols>
          <w:pgMar w:left="240" w:top="584" w:right="239" w:bottom="1440" w:gutter="0" w:footer="0" w:header="0"/>
          <w:type w:val="continuous"/>
        </w:sectPr>
      </w:pPr>
    </w:p>
    <w:bookmarkStart w:id="35" w:name="page36"/>
    <w:bookmarkEnd w:id="35"/>
    <w:p>
      <w:pPr>
        <w:spacing w:after="0"/>
        <w:tabs>
          <w:tab w:leader="none" w:pos="218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6"/>
          <w:szCs w:val="16"/>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William J. Stromberg, certify that:</w:t>
      </w:r>
    </w:p>
    <w:p>
      <w:pPr>
        <w:spacing w:after="0" w:line="171"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2016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April 26, 2016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80"/>
          </w:cols>
          <w:pgMar w:left="240" w:top="665" w:right="279" w:bottom="1440" w:gutter="0" w:footer="0" w:header="0"/>
        </w:sectPr>
      </w:pPr>
    </w:p>
    <w:bookmarkStart w:id="36" w:name="page37"/>
    <w:bookmarkEnd w:id="36"/>
    <w:p>
      <w:pPr>
        <w:spacing w:after="0"/>
        <w:tabs>
          <w:tab w:leader="none" w:pos="218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6"/>
          <w:szCs w:val="16"/>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71"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2016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April 26, 2016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65" w:right="279" w:bottom="1440" w:gutter="0" w:footer="0" w:header="0"/>
        </w:sectPr>
      </w:pPr>
    </w:p>
    <w:bookmarkStart w:id="37" w:name="page38"/>
    <w:bookmarkEnd w:id="37"/>
    <w:p>
      <w:pPr>
        <w:spacing w:after="0"/>
        <w:tabs>
          <w:tab w:leader="none" w:pos="27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March 31, 2016 of T. Rowe Price Group, Inc., that:</w:t>
      </w:r>
    </w:p>
    <w:p>
      <w:pPr>
        <w:spacing w:after="0" w:line="116"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82" w:lineRule="exact"/>
        <w:rPr>
          <w:rFonts w:ascii="Arial" w:cs="Arial" w:eastAsia="Arial" w:hAnsi="Arial"/>
          <w:sz w:val="17"/>
          <w:szCs w:val="17"/>
          <w:color w:val="auto"/>
        </w:rPr>
      </w:pPr>
    </w:p>
    <w:p>
      <w:pPr>
        <w:ind w:right="120" w:firstLine="8"/>
        <w:spacing w:after="0" w:line="277"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April 26, 2016</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360"/>
          </w:cols>
          <w:pgMar w:left="240" w:top="665" w:right="299" w:bottom="1440" w:gutter="0" w:footer="0" w:header="0"/>
        </w:sectPr>
      </w:pPr>
    </w:p>
    <w:bookmarkStart w:id="38" w:name="page39"/>
    <w:bookmarkEnd w:id="38"/>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1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7"/>
    </w:lvl>
    <w:lvl w:ilvl="1">
      <w:lvlJc w:val="left"/>
      <w:lvlText w:val="%2)"/>
      <w:numFmt w:val="lowerLetter"/>
      <w:start w:val="1"/>
    </w:lvl>
  </w:abstractNum>
  <w:abstractNum w:abstractNumId="4">
    <w:nsid w:val="7545E146"/>
    <w:multiLevelType w:val="hybridMultilevel"/>
    <w:lvl w:ilvl="0">
      <w:lvlJc w:val="left"/>
      <w:lvlText w:val="%1)"/>
      <w:numFmt w:val="decimal"/>
      <w:start w:val="13"/>
    </w:lvl>
    <w:lvl w:ilvl="1">
      <w:lvlJc w:val="left"/>
      <w:lvlText w:val="(%2)"/>
      <w:numFmt w:val="lowerLetter"/>
      <w:start w:val="1"/>
    </w:lvl>
  </w:abstractNum>
  <w:abstractNum w:abstractNumId="5">
    <w:nsid w:val="515F007C"/>
    <w:multiLevelType w:val="hybridMultilevel"/>
    <w:lvl w:ilvl="0">
      <w:lvlJc w:val="left"/>
      <w:lvlText w:val="%1"/>
      <w:numFmt w:val="decimal"/>
      <w:start w:val="1"/>
    </w:lvl>
    <w:lvl w:ilvl="1">
      <w:lvlJc w:val="left"/>
      <w:lvlText w:val="(%2)"/>
      <w:numFmt w:val="lowerLetter"/>
      <w:start w:val="5"/>
    </w:lvl>
  </w:abstractNum>
  <w:abstractNum w:abstractNumId="6">
    <w:nsid w:val="5BD062C2"/>
    <w:multiLevelType w:val="hybridMultilevel"/>
    <w:lvl w:ilvl="0">
      <w:lvlJc w:val="left"/>
      <w:lvlText w:val="%1)"/>
      <w:numFmt w:val="decimal"/>
      <w:start w:val="15"/>
    </w:lvl>
    <w:lvl w:ilvl="1">
      <w:lvlJc w:val="left"/>
      <w:lvlText w:val="%2"/>
      <w:numFmt w:val="lowerLetter"/>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2019-12-07T07:58:17Z</dcterms:created>
  <dcterms:modified xsi:type="dcterms:W3CDTF">2019-12-07T07:58:17Z</dcterms:modified>
</cp:coreProperties>
</file>