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ind w:left="1380" w:right="1660"/>
        <w:spacing w:after="0" w:line="407" w:lineRule="auto"/>
        <w:rPr>
          <w:sz w:val="20"/>
          <w:szCs w:val="20"/>
          <w:color w:val="auto"/>
        </w:rPr>
      </w:pPr>
      <w:r>
        <w:rPr>
          <w:rFonts w:ascii="Arial" w:cs="Arial" w:eastAsia="Arial" w:hAnsi="Arial"/>
          <w:sz w:val="18"/>
          <w:szCs w:val="18"/>
          <w:b w:val="1"/>
          <w:bCs w:val="1"/>
          <w:color w:val="auto"/>
        </w:rPr>
        <w:t xml:space="preserve">QUARTERLY REPORT PURSUANT TO SECTION 13 OF THE SECURITIES EXCHANGE ACT OF 1934 For the quarterly period ended </w:t>
      </w:r>
      <w:r>
        <w:rPr>
          <w:rFonts w:ascii="Arial" w:cs="Arial" w:eastAsia="Arial" w:hAnsi="Arial"/>
          <w:sz w:val="18"/>
          <w:szCs w:val="18"/>
          <w:b w:val="1"/>
          <w:bCs w:val="1"/>
          <w:u w:val="single" w:color="auto"/>
          <w:color w:val="auto"/>
        </w:rPr>
        <w:t>September 30, 2010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-130175</wp:posOffset>
            </wp:positionV>
            <wp:extent cx="274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-130175</wp:posOffset>
            </wp:positionV>
            <wp:extent cx="2487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4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1920" w:space="720"/>
            <w:col w:w="1420" w:space="720"/>
            <w:col w:w="3780" w:space="720"/>
            <w:col w:w="214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20, 2010, is 256,435,435</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258,534,000 shares in 2009 and 256,367,000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2,240.1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2,882.2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3,064.4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417.3</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502.5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1,084.4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1,328.3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1,719.7</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324.2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270.8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60" w:type="dxa"/>
            <w:vAlign w:val="bottom"/>
            <w:gridSpan w:val="2"/>
          </w:tcPr>
          <w:p>
            <w:pPr>
              <w:jc w:val="right"/>
              <w:ind w:right="687"/>
              <w:spacing w:after="0"/>
              <w:rPr>
                <w:sz w:val="20"/>
                <w:szCs w:val="20"/>
                <w:color w:val="auto"/>
              </w:rPr>
            </w:pPr>
            <w:r>
              <w:rPr>
                <w:rFonts w:ascii="Arial" w:cs="Arial" w:eastAsia="Arial" w:hAnsi="Arial"/>
                <w:sz w:val="18"/>
                <w:szCs w:val="18"/>
                <w:color w:val="auto"/>
              </w:rPr>
              <w:t>Page 3</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281.1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(142.1)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 plans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capital in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492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shares</w:t>
            </w: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Common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excess of par</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stockholders’</w:t>
            </w:r>
          </w:p>
        </w:tc>
      </w:tr>
      <w:tr>
        <w:trPr>
          <w:trHeight w:val="167"/>
        </w:trPr>
        <w:tc>
          <w:tcPr>
            <w:tcW w:w="49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7"/>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6"/>
              </w:rPr>
              <w:t>earnings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6"/>
              </w:rPr>
              <w:t>equity</w:t>
            </w:r>
          </w:p>
        </w:tc>
        <w:tc>
          <w:tcPr>
            <w:tcW w:w="10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258,534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Net unrealized gains, net of tax</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translation adjustment, net of tax</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Restricted shares issued</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on vesting of restricted stock units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tax benefits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Balances at September 30, 2010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256,367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r>
              <w:rPr>
                <w:rFonts w:ascii="Arial" w:cs="Arial" w:eastAsia="Arial" w:hAnsi="Arial"/>
                <w:sz w:val="18"/>
                <w:szCs w:val="18"/>
                <w:u w:val="single" w:color="auto"/>
                <w:color w:val="auto"/>
              </w:rPr>
              <w:t>6</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3,064.4</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2009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$130.1 million at December 31, 2009, and $135.6 million at September 30, 2010.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230.6</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271.3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587.9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809.2</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344.2</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1,012.4</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502.5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1,466.3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left="314"/>
              <w:spacing w:after="0"/>
              <w:rPr>
                <w:sz w:val="20"/>
                <w:szCs w:val="20"/>
                <w:color w:val="auto"/>
              </w:rPr>
            </w:pPr>
            <w:r>
              <w:rPr>
                <w:rFonts w:ascii="Arial" w:cs="Arial" w:eastAsia="Arial" w:hAnsi="Arial"/>
                <w:sz w:val="14"/>
                <w:szCs w:val="14"/>
                <w:color w:val="auto"/>
                <w:w w:val="92"/>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the third quarter</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center"/>
              <w:ind w:right="240"/>
              <w:spacing w:after="0"/>
              <w:rPr>
                <w:sz w:val="20"/>
                <w:szCs w:val="20"/>
                <w:color w:val="auto"/>
              </w:rPr>
            </w:pPr>
            <w:r>
              <w:rPr>
                <w:rFonts w:ascii="Arial" w:cs="Arial" w:eastAsia="Arial" w:hAnsi="Arial"/>
                <w:sz w:val="14"/>
                <w:szCs w:val="14"/>
                <w:color w:val="auto"/>
                <w:w w:val="95"/>
              </w:rPr>
              <w:t>the first nine months</w:t>
            </w: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2009</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178.5</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color w:val="auto"/>
              </w:rPr>
              <w:t>As of</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w w:val="91"/>
              </w:rPr>
              <w:t>12/31/2009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domiciled outside the United States account for more than 12% of our assets under management at September 30, 2010.</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nine months of the year were $187.5 million in 2009 and $197.6 million in 2010. Fees for these services during the third quarter were $61.7 million in 2009 and $66.0 million in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color w:val="auto"/>
              </w:rPr>
              <w:t>Unrealized holding</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2009</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September 30, 2010</w:t>
            </w:r>
          </w:p>
        </w:tc>
        <w:tc>
          <w:tcPr>
            <w:tcW w:w="5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9/30/2010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Fair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value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(30 securities in 2010) of</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debt securities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$164.9 million at December 31, 2009, and $167.6 million at September 30,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840" w:type="dxa"/>
            <w:vAlign w:val="bottom"/>
            <w:gridSpan w:val="3"/>
          </w:tcPr>
          <w:p>
            <w:pPr>
              <w:ind w:left="2160"/>
              <w:spacing w:after="0"/>
              <w:rPr>
                <w:sz w:val="20"/>
                <w:szCs w:val="20"/>
                <w:color w:val="auto"/>
              </w:rPr>
            </w:pPr>
            <w:r>
              <w:rPr>
                <w:rFonts w:ascii="Arial" w:cs="Arial" w:eastAsia="Arial" w:hAnsi="Arial"/>
                <w:sz w:val="14"/>
                <w:szCs w:val="14"/>
                <w:color w:val="auto"/>
                <w:w w:val="94"/>
              </w:rPr>
              <w:t>12/31/2009</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10% interest in Daiwa SB Investments Ltd. (Japan)</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 interest in UTI Asset Management Company Limited (India)</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INR non-deliverable forward contract</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from existing stockholders for 6.5 billion Indian rupees (INR) or $142.4 million, plus transaction costs of $3.2 million of which $2.0 million was paid in 2009. We are accounting for this investment using the equity method of accounting whereby its carrying value is adjusted to reflect our share of UTI’s earnings and losses, the unrealized gain or loss resulting from the translation of UTI’s financial statements into U.S. dollars and dividends received. Our share of UTI’s earnings recognized for the first nine months of 2010 totaled $2.8 million.</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conjunction with our signing of the definitive UTI purchase agreements in November 2009, we entered into a series of rolling non-deliverable forward contracts to economically hedge the foreign currency exchange rate exposure relating to the UTI acquisition price. We recognized non-operating investment income of $2.2 million in January 2010 in the valuation and settlement of these contracts.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There were no transfers in or out of the levels. The following table summarizes our investments (in millions) that are recognized in our balance sheet using fair value measurements determined based on the differing levels of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right"/>
              <w:ind w:right="500"/>
              <w:spacing w:after="0"/>
              <w:rPr>
                <w:sz w:val="20"/>
                <w:szCs w:val="20"/>
                <w:color w:val="auto"/>
              </w:rPr>
            </w:pPr>
            <w:r>
              <w:rPr>
                <w:rFonts w:ascii="Arial" w:cs="Arial" w:eastAsia="Arial" w:hAnsi="Arial"/>
                <w:sz w:val="14"/>
                <w:szCs w:val="14"/>
                <w:color w:val="auto"/>
                <w:w w:val="97"/>
              </w:rPr>
              <w:t>Level 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December 31, 2009</w:t>
            </w:r>
          </w:p>
        </w:tc>
        <w:tc>
          <w:tcPr>
            <w:tcW w:w="694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Cash equivalents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380"/>
              <w:spacing w:after="0"/>
              <w:rPr>
                <w:sz w:val="20"/>
                <w:szCs w:val="20"/>
                <w:color w:val="auto"/>
              </w:rPr>
            </w:pPr>
            <w:r>
              <w:rPr>
                <w:rFonts w:ascii="Arial" w:cs="Arial" w:eastAsia="Arial" w:hAnsi="Arial"/>
                <w:sz w:val="18"/>
                <w:szCs w:val="18"/>
                <w:color w:val="auto"/>
              </w:rPr>
              <w:t>676.5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ind w:left="200"/>
              <w:spacing w:after="0"/>
              <w:rPr>
                <w:sz w:val="20"/>
                <w:szCs w:val="20"/>
                <w:color w:val="auto"/>
              </w:rPr>
            </w:pPr>
            <w:r>
              <w:rPr>
                <w:rFonts w:ascii="Arial" w:cs="Arial" w:eastAsia="Arial" w:hAnsi="Arial"/>
                <w:sz w:val="18"/>
                <w:szCs w:val="18"/>
                <w:color w:val="auto"/>
              </w:rPr>
              <w:t>Held as available-for-sale</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380"/>
              <w:spacing w:after="0"/>
              <w:rPr>
                <w:sz w:val="20"/>
                <w:szCs w:val="20"/>
                <w:color w:val="auto"/>
              </w:rPr>
            </w:pPr>
            <w:r>
              <w:rPr>
                <w:rFonts w:ascii="Arial" w:cs="Arial" w:eastAsia="Arial" w:hAnsi="Arial"/>
                <w:sz w:val="18"/>
                <w:szCs w:val="18"/>
                <w:color w:val="auto"/>
              </w:rPr>
              <w:t>677.5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INR non-deliverable forward contract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80" w:type="dxa"/>
            <w:vAlign w:val="bottom"/>
            <w:gridSpan w:val="5"/>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1,356.7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September 30, 2010</w:t>
            </w:r>
          </w:p>
        </w:tc>
        <w:tc>
          <w:tcPr>
            <w:tcW w:w="6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Cash equivalents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380"/>
              <w:spacing w:after="0"/>
              <w:rPr>
                <w:sz w:val="20"/>
                <w:szCs w:val="20"/>
                <w:color w:val="auto"/>
              </w:rPr>
            </w:pPr>
            <w:r>
              <w:rPr>
                <w:rFonts w:ascii="Arial" w:cs="Arial" w:eastAsia="Arial" w:hAnsi="Arial"/>
                <w:sz w:val="18"/>
                <w:szCs w:val="18"/>
                <w:color w:val="auto"/>
              </w:rPr>
              <w:t>728.5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ind w:left="200"/>
              <w:spacing w:after="0"/>
              <w:rPr>
                <w:sz w:val="20"/>
                <w:szCs w:val="20"/>
                <w:color w:val="auto"/>
              </w:rPr>
            </w:pPr>
            <w:r>
              <w:rPr>
                <w:rFonts w:ascii="Arial" w:cs="Arial" w:eastAsia="Arial" w:hAnsi="Arial"/>
                <w:sz w:val="18"/>
                <w:szCs w:val="18"/>
                <w:color w:val="auto"/>
              </w:rPr>
              <w:t>Held as available-for-sale</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380"/>
              <w:spacing w:after="0"/>
              <w:rPr>
                <w:sz w:val="20"/>
                <w:szCs w:val="20"/>
                <w:color w:val="auto"/>
              </w:rPr>
            </w:pPr>
            <w:r>
              <w:rPr>
                <w:rFonts w:ascii="Arial" w:cs="Arial" w:eastAsia="Arial" w:hAnsi="Arial"/>
                <w:sz w:val="18"/>
                <w:szCs w:val="18"/>
                <w:color w:val="auto"/>
              </w:rPr>
              <w:t>722.1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93"/>
              </w:rPr>
              <w:t>1,452.5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spacing w:after="0"/>
              <w:rPr>
                <w:sz w:val="20"/>
                <w:szCs w:val="20"/>
                <w:color w:val="auto"/>
              </w:rPr>
            </w:pPr>
            <w:r>
              <w:rPr>
                <w:rFonts w:ascii="Arial" w:cs="Arial" w:eastAsia="Arial" w:hAnsi="Arial"/>
                <w:sz w:val="18"/>
                <w:szCs w:val="18"/>
                <w:color w:val="auto"/>
              </w:rPr>
              <w:t>NOTE 7 — STOCK-BASED COMPENSATION.</w:t>
            </w: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Stock-based grants.</w:t>
            </w:r>
          </w:p>
        </w:tc>
        <w:tc>
          <w:tcPr>
            <w:tcW w:w="69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8"/>
          </w:tcPr>
          <w:p>
            <w:pPr>
              <w:spacing w:after="0"/>
              <w:rPr>
                <w:sz w:val="20"/>
                <w:szCs w:val="20"/>
                <w:color w:val="auto"/>
              </w:rPr>
            </w:pPr>
            <w:r>
              <w:rPr>
                <w:rFonts w:ascii="Arial" w:cs="Arial" w:eastAsia="Arial" w:hAnsi="Arial"/>
                <w:sz w:val="18"/>
                <w:szCs w:val="18"/>
                <w:color w:val="auto"/>
                <w:w w:val="97"/>
              </w:rPr>
              <w:t>The following table summarizes the status of and changes in our stock option grants during the first nine months of 2010.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4"/>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39,269,159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5,662,250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142,160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Non-employee director grants</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hire grants</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6"/>
          </w:tcPr>
          <w:p>
            <w:pPr>
              <w:jc w:val="right"/>
              <w:ind w:right="170"/>
              <w:spacing w:after="0"/>
              <w:rPr>
                <w:sz w:val="20"/>
                <w:szCs w:val="20"/>
                <w:color w:val="auto"/>
              </w:rPr>
            </w:pPr>
            <w:r>
              <w:rPr>
                <w:rFonts w:ascii="Arial" w:cs="Arial" w:eastAsia="Arial" w:hAnsi="Arial"/>
                <w:sz w:val="18"/>
                <w:szCs w:val="18"/>
                <w:color w:val="auto"/>
              </w:rPr>
              <w:t>(3,398,185)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6"/>
            <w:shd w:val="clear" w:color="auto" w:fill="CCEEFF"/>
          </w:tcPr>
          <w:p>
            <w:pPr>
              <w:jc w:val="right"/>
              <w:ind w:right="170"/>
              <w:spacing w:after="0"/>
              <w:rPr>
                <w:sz w:val="20"/>
                <w:szCs w:val="20"/>
                <w:color w:val="auto"/>
              </w:rPr>
            </w:pPr>
            <w:r>
              <w:rPr>
                <w:rFonts w:ascii="Arial" w:cs="Arial" w:eastAsia="Arial" w:hAnsi="Arial"/>
                <w:sz w:val="18"/>
                <w:szCs w:val="18"/>
                <w:color w:val="auto"/>
              </w:rPr>
              <w:t>(217,150)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6"/>
          </w:tcPr>
          <w:p>
            <w:pPr>
              <w:jc w:val="right"/>
              <w:ind w:right="170"/>
              <w:spacing w:after="0"/>
              <w:rPr>
                <w:sz w:val="20"/>
                <w:szCs w:val="20"/>
                <w:color w:val="auto"/>
              </w:rPr>
            </w:pPr>
            <w:r>
              <w:rPr>
                <w:rFonts w:ascii="Arial" w:cs="Arial" w:eastAsia="Arial" w:hAnsi="Arial"/>
                <w:sz w:val="18"/>
                <w:szCs w:val="18"/>
                <w:color w:val="auto"/>
              </w:rPr>
              <w:t>(31,578)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41,439,656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spacing w:after="0"/>
              <w:rPr>
                <w:sz w:val="20"/>
                <w:szCs w:val="20"/>
                <w:color w:val="auto"/>
              </w:rPr>
            </w:pPr>
            <w:r>
              <w:rPr>
                <w:rFonts w:ascii="Arial" w:cs="Arial" w:eastAsia="Arial" w:hAnsi="Arial"/>
                <w:sz w:val="18"/>
                <w:szCs w:val="18"/>
                <w:color w:val="auto"/>
              </w:rPr>
              <w:t>Exercisable at end of period</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22,054,416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Restricted</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Restricted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480" w:type="dxa"/>
            <w:vAlign w:val="bottom"/>
          </w:tcPr>
          <w:p>
            <w:pPr>
              <w:spacing w:after="0"/>
              <w:rPr>
                <w:sz w:val="12"/>
                <w:szCs w:val="12"/>
                <w:color w:val="auto"/>
              </w:rPr>
            </w:pPr>
          </w:p>
        </w:tc>
        <w:tc>
          <w:tcPr>
            <w:tcW w:w="1300" w:type="dxa"/>
            <w:vAlign w:val="bottom"/>
          </w:tcPr>
          <w:p>
            <w:pPr>
              <w:ind w:left="140"/>
              <w:spacing w:after="0" w:line="149" w:lineRule="exact"/>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48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587,919</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310,951</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257,700</w:t>
            </w:r>
          </w:p>
        </w:tc>
        <w:tc>
          <w:tcPr>
            <w:tcW w:w="1680" w:type="dxa"/>
            <w:vAlign w:val="bottom"/>
            <w:gridSpan w:val="4"/>
          </w:tcPr>
          <w:p>
            <w:pPr>
              <w:jc w:val="right"/>
              <w:ind w:right="300"/>
              <w:spacing w:after="0"/>
              <w:rPr>
                <w:sz w:val="20"/>
                <w:szCs w:val="20"/>
                <w:color w:val="auto"/>
              </w:rPr>
            </w:pPr>
            <w:r>
              <w:rPr>
                <w:rFonts w:ascii="Arial" w:cs="Arial" w:eastAsia="Arial" w:hAnsi="Arial"/>
                <w:sz w:val="18"/>
                <w:szCs w:val="18"/>
                <w:color w:val="auto"/>
              </w:rPr>
              <w:t>159,855</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(11,387)</w:t>
            </w:r>
          </w:p>
        </w:tc>
        <w:tc>
          <w:tcPr>
            <w:tcW w:w="1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(10,075)</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(9,875)</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(11,000)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824,357</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449,731</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following table presents the compensation expense (in millions) to be recognized over the remaining vesting periods of the stock-based awards outstanding at September 30, 2010.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2012 through 2015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935"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 8 — EARNINGS PER SHARE CALCULATIONS.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(in millions) of our net income to net income allocated to our common stockholders and the weighted average shares (in millions) that are used in calculating the basic and the diluted earnings per share on our common stock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9/30/2010</w:t>
            </w:r>
          </w:p>
        </w:tc>
        <w:tc>
          <w:tcPr>
            <w:tcW w:w="6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281.1</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5"/>
              </w:rPr>
              <w:t>Less: net income allocated to outstanding restricted stock and stock unit holders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280.1</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478.6</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261.8</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Weighted average common shares outstanding assuming dilution reflects the potential additional dilution, determined using the treasury stock method that could occur if outstanding stock options were exercised. For the third quarter of 2010, the weighted average common shares outstanding assuming dilution excludes the effect of 17.8 million outstanding stock options with an average exercise price of $51.48 that, when taken together with related unrecognized compensation expense, are out-of-the-money. The weighted average common shares outstanding assuming dilution for the first nine months of 2010 excludes 14.1 million outstanding stock options with an average exercise price of $52.09.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9 — COMPREHENSIVE INCOME AND 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Nine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281.1</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480.6</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131.0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than temporary impairments recognized in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losses (gains) realized on dispositions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09"/>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 of investments in sponsored mutual funds recognized in other comprehensive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280" w:type="dxa"/>
            <w:vAlign w:val="bottom"/>
          </w:tcPr>
          <w:p>
            <w:pPr>
              <w:ind w:left="82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losses (gains) realized on dispositions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2"/>
        </w:trPr>
        <w:tc>
          <w:tcPr>
            <w:tcW w:w="92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Net unrealized holding gains of debt securities held by savings bank subsidiary recognized in other</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9280" w:type="dxa"/>
            <w:vAlign w:val="bottom"/>
          </w:tcPr>
          <w:p>
            <w:pPr>
              <w:ind w:left="420"/>
              <w:spacing w:after="0"/>
              <w:rPr>
                <w:sz w:val="20"/>
                <w:szCs w:val="20"/>
                <w:color w:val="auto"/>
              </w:rPr>
            </w:pPr>
            <w:r>
              <w:rPr>
                <w:rFonts w:ascii="Arial" w:cs="Arial" w:eastAsia="Arial" w:hAnsi="Arial"/>
                <w:sz w:val="18"/>
                <w:szCs w:val="18"/>
                <w:color w:val="auto"/>
              </w:rPr>
              <w:t>Total net unrealized holding gains recognized in other comprehensive income</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UTI Asset Management Company Ltd.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Change in currency translation adjustment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tax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9280" w:type="dxa"/>
            <w:vAlign w:val="bottom"/>
          </w:tcPr>
          <w:p>
            <w:pPr>
              <w:ind w:left="420"/>
              <w:spacing w:after="0"/>
              <w:rPr>
                <w:sz w:val="20"/>
                <w:szCs w:val="20"/>
                <w:color w:val="auto"/>
              </w:rPr>
            </w:pPr>
            <w:r>
              <w:rPr>
                <w:rFonts w:ascii="Arial" w:cs="Arial" w:eastAsia="Arial" w:hAnsi="Arial"/>
                <w:sz w:val="18"/>
                <w:szCs w:val="18"/>
                <w:color w:val="auto"/>
              </w:rPr>
              <w:t>Total currency translation adjustment</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495.9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third quarter was $178.4 million in 2009 and $203.0 million in 2010.</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currency translation gain results from translating our proportionate share of the financial statements of UTI, our equity method investment, into U.S. dollars. Assets and liabilities are translated into U.S. dollars using quarter-end exchange rates, and revenues and expenses are translated using weighted-average exchange rates for the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(in millions) at September 30, 2010,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tax benefit of $.3 million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923"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2010, the related condensed consolidated statements of income for the three- and nine-month periods ended September 30, 2010 and 2009, the related condensed consolidated statements of cash flows for the nine-month periods ended September 30, 2010 and 2009, and the related condensed consolidated statement of stockholders’ equity for the nine-month period ended September 30, 2010. These condensed consolidated financial statements are the responsibility of the Company’s management.</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2009, and the related consolidated statements of income, stockholders’ equity, and cash flows for the year then ended (not presented herein); and in our report dated February 5, 2010,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domiciled outside the United States account for more than 12% of our assets under management at September 30, 2010.</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January 20, 2010, we purchased a 26% equity interest in UTI Asset Management Company and an affiliate from existing stockholders for 6.5 billion Indian rupees (INR) or $142.4 million. During the first nine months of 2010, we repurchased 5.0 million shares of our common stock for $240.0 million. We funded the investment in UTI and the share repurchases with existing cash balances and cash generated from operations.</w:t>
      </w:r>
    </w:p>
    <w:p>
      <w:pPr>
        <w:spacing w:after="0" w:line="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decided in the fourth quarter 2010 that we will make a capital contribution to certain of our sponsored money market mutual funds. We are making this contribution to offset the cumulative net losses realized by those funds in recent years in order to allay any fund shareholder concerns that might arise as a result of new SEC disclosure rules. This fourth quarter contribution to the funds will result in a one-time pretax charge of approximately $17 million. Our sponsored money market mutual funds have net assets totaling approximately $28 billion at September 30,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U.S. equity markets recovered their second quarter 2010 losses despite a volatile third quarter. After moving higher in July on favorable second quarter corporate earnings reports, equity markets weakened again in August amid concerns that the economic recovery was faltering, as evidenced by a rise in the unemployment rate to 9.6% and continued weakness in the housing market despite historically low mortgage rates. In September, the equity markets rebounded strongly on better than expected economic data, particularly in the manufacturing sector, and reassurance from the Federal Reserve that the central bank would employ their monetary policy tools, as needed, to help promote economic recovery. With the slow pace of the economic recovery continuing and both actual inflation and inflation expectations at low levels, the Federal Reserve maintained the target funds rate near zero.</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S&amp;P 500 Index of large-cap companies in leading industries of the U.S. economy posted a third quarter gain of 11.3%, in contrast to the 11.4% loss in the second quarter 2010. For the quarter, the NASDAQ Composite Index, which is heavily weighted with technology companies, returned 12.3% (excluding dividends). This strong third quarter performance helped push the year-to-date returns for these indexes into positive territory, a return of 3.9% and 4.4%, respectively.</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Other equity markets around the world posted strong gains in the third quarter as well, despite lingering concerns over European debt, the stability of the Chinese economic recovery, and fears of a double-dip recession in the U.S. Returns to U.S. investors were boosted as the dollar weakened against other currencies. Emerging markets fared best, particularly in Europe, the Middle East and Africa, as developed markets continued to confront economic pressures. The MSCI Emerging Markets Index returned 18.2% while the MSCI EAFE Index, which measures the performance of mostly large-cap stocks in Europe, Australasia and the Far East, returned 16.5%. These indexes ended the first nine months of 2010 up 11.0% and 1.5%, respectively.</w:t>
      </w:r>
    </w:p>
    <w:p>
      <w:pPr>
        <w:spacing w:after="0" w:line="5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Long-term Treasury yields continued to fall in the third quarter. By the end of the third quarter, the yield on the benchmark 10-year U.S. Treasury was 2.53%, a decrease of 44 basis points from June 30, 2010. On the shortest end of the yield curve, the annual yield for one-month treasury bills was .14%.</w:t>
      </w:r>
    </w:p>
    <w:p>
      <w:pPr>
        <w:spacing w:after="0" w:line="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fixed income securities continued to see positive returns in the third quarter. While long-term Treasuries performed well due to the skepticism about the strength and durability of the economic recovery, corporate bonds also experienced good returns as investors sought higher yields and were attracted by generally solid balance sheets. The Barclays Capital U.S. Aggregate Index gained 2.5% in the third quarter and 7.9% for the first nine months of 2010. The Barclays Capital Global Aggregate Ex-US Dollar Bond Index was up 10.9% in the third quarter 2010, and 6.4% for the year-to-date due in part to a weakening U.S. dollar. For the first nine months of 2010, the Credit Suisse High Yield Index gained 10.9%, while the J.P. Morgan Emerging Markets Index Plus gained 14.5%.</w:t>
      </w:r>
    </w:p>
    <w:p>
      <w:pPr>
        <w:spacing w:after="0" w:line="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Investors entrusted net inflows of $23.4 billion to our investment management during the first nine months of 2010, including $8.0 billion in the third quarter. Market appreciation and income added $25.0 billion to assets under management for the first nine months of 2010. Assets under our management totaled $439.7 billion at September 30, 2010, up 48.6 billion from June 30, 2010. The changes (in billions) in 2010 have occurred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First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2"/>
              </w:rPr>
              <w:t>Quarter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2"/>
              </w:rPr>
              <w:t>Quarter</w:t>
            </w:r>
          </w:p>
        </w:tc>
        <w:tc>
          <w:tcPr>
            <w:tcW w:w="12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Quarter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7"/>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3/31/2010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6/30/2010</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9/30/2010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9/30/2010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775" w:gutter="0" w:footer="0" w:header="0"/>
        </w:sectPr>
      </w:pPr>
    </w:p>
    <w:bookmarkStart w:id="12" w:name="page13"/>
    <w:bookmarkEnd w:id="12"/>
    <w:p>
      <w:pPr>
        <w:ind w:right="140"/>
        <w:spacing w:after="0" w:line="302" w:lineRule="auto"/>
        <w:rPr>
          <w:sz w:val="20"/>
          <w:szCs w:val="20"/>
          <w:color w:val="auto"/>
        </w:rPr>
      </w:pPr>
      <w:r>
        <w:rPr>
          <w:rFonts w:ascii="Arial" w:cs="Arial" w:eastAsia="Arial" w:hAnsi="Arial"/>
          <w:sz w:val="16"/>
          <w:szCs w:val="16"/>
          <w:color w:val="auto"/>
        </w:rPr>
        <w:t>Assets under management at September 30, 2010, include $320.9 billion in stock and blended asset investment portfolios and $118.8 billion in fixed income investment portfolios. The investment portfolios that we manage consist of $258.7 billion in the T. Rowe Price mutual funds distributed in the United States and $181.0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2010 versus third quarter 2009.</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Investment advisory revenues increased 20.4%, or $85.2 million, to $502.5 million in the third quarter of 2010 as average assets under our management increased $74.9 billion to $416.1 billion. The average annualized fee rate earned on our assets under management was 47.9 basis points during the third quarter of 2010 down from the 48.5 basis points earned in the 2009 quarter. Money market fees of $5.2 million were voluntarily waived to maintain a positive yield for fund investors in the 2010 quarter and were greater than the $1.4 million of fees waived in the comparable 2009 period. We waived these fees beginning in 2009 and anticipate such fee waivers in the fourth quarter of 2010 and into 2011.</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$88.0 million, or 17.7%, to $586.1 million. Operating expenses of $324.2 million in the third quarter of 2010 were up $33.4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11.5% from the comparable 2009 quarter. Overall, net operating income of $261.9 million for the third quarter of 2010 was 26.3% higher than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$207.3 million earned in the 2009 quarter. The increase in our average assets under management and resulting advisory revenue increased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for the third quarter 2010 to 44.7% from 41.6% in the comparable 2009 quarter. Net income increased $36.2 million from the third quarter of 2009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$169.1 million and diluted earnings per share on our common stock increased 28.0% to $.64 from $.50 in the 2009 quarter.</w:t>
      </w:r>
    </w:p>
    <w:p>
      <w:pPr>
        <w:spacing w:after="0" w:line="10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18.9%, or $54.8 million, to $344.2 million. Average mutual fund assets under management in the third quarter of 2010 were $245.9 billion, an increase of 20.4% from the average for the comparable 2009 quarter. Mutual fund assets at September 30, 2010 were $258.7 billion, an increase of $25.2 billion, or 10.8% from the end of June 2010.</w:t>
      </w:r>
    </w:p>
    <w:p>
      <w:pPr>
        <w:spacing w:after="0" w:line="3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inflows to the sponsored mutual funds were $1.1 billion during the third quarter of 2010, including $700 million originating in our target-date retirement funds. Fund net inflows are presented net of $1.0 billion of assets transferred to our sponsored target-date retirement trusts from our target-date retirement funds during the quarter. Net inflows of $1.8 billion added to the bond funds were offset by net outflows of $.6 billion from the stock and blended asset funds and $.1 billion from the money market funds. The Short-Term Bond and Tax Free Income Funds had net inflows of $.4 billion and $.3 billion, respectively. Market appreciation and income increased our mutual fund assets under management by $24.1 billion during the third quarter of 2010.</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$30.4 million, or 23.8%, from the third quarter of 2009, to $158.3 million. Average assets in these portfolios were $170.2 billion during the third quarter of 2010, an increase of $33.3 billion, or 24.3%, from the 2009 quarter. Ending assets at September 30, 2010 were $181.0 billion, up $23.4 billion from the end of June 2010. Net inflows of $6.9 billion in the 2010 quarter were sourced primarily from institutional investors in and outside the U.S. and third party financial intermediaries. These inflows included $1.0 billion of assets transferred from the target-date retirement funds into target-date retirement trusts. Market appreciation and income increased assets under management in these portfolios by $16.5 billion.</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Administrative fees increased $2.9 million from the third quarter of 2009 to $82.9 million. This change includes a $2.3 million increase in our mutual fund servicing revenue and $2.0 million increase in 12b-1 distribution and service fees recognized on higher average assets under management in the Advisor and R classes of our sponsored mutual funds. These increases are offset by a $1.8 million decrease in brokerage fees resulting from the reduction in per-trade commissions charged beginning July 1, 2010 to customers with substantial assets. Changes in administrative fees are generally offset by a similar change in the related operating expenses that are incurred to distribute Advisor and R class fund shares through third party intermediaries and to provide services to the funds and their investors.</w:t>
      </w:r>
    </w:p>
    <w:p>
      <w:pPr>
        <w:spacing w:after="0" w:line="8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Compensation and related costs increased $17.9 million, or 9.1%, compared to the third quarter of 2009. This increase is attributable to a $10.0 million increase over the prior year’s quarter in our annual variable compensation programs, which are based on our operating results and other factors such as our relative risk-adjusted investment performance, and the high quality of our investor services. The 2010 quarter also includes an increase of $4.0 million in salaries expense from the 2009 quarter, which results from an increase in our average staff size of nearly 2.5% coupled with a modest increase in our associates’ base salaries at the beginning of the year. At September 30, 2010, we employed 4,975 associates up 3.6% from the 4,802 associates employed at the end of 2009. Increases in temporary employment expenses and other employee costs make up the balance of the change from the 2009 period.</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Advertising and promotion expenditures were up $5.6 million, or 43.1%, compared to the third quarter of 2009 in response to investor interest in recovering markets. We currently expect that our advertising and promotion expenditures for the fourth quarter of 2010 will be up about $5.0 million from the comparable 2009 quarter. We vary our level of spending based on market conditions and investor demand as well as our efforts to expand our investor base in the U.S. and abroad.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t>Occupancy and facility costs together with depreciation and amortization expense were up $1.8 million versus the 2009 period. The costs for our facilities, upgrading technology capabilities and related maintenance have all risen to meet increased business demands.</w:t>
      </w:r>
    </w:p>
    <w:p>
      <w:pPr>
        <w:spacing w:after="0" w:line="6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Other operating expenses increased $8.1 million, or 20.7%, from the third quarter of 2009, including an increase of $2.0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discussed above. Consulting fees, travel costs, other professional fees and other operating costs have all risen from the third quarter of 2009 to meet increasing business demands.</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non-operating investment activity, which includes interest income as well as the recognition of investment gains and losses, increased $3.7 million from the comparable 2009 quarter. The increase includes $1.3 million of additional investment gains realized on the sale of mutual fund investments as we rebalanced our portfolio and $1.8 million of equity earnings from our investment in UTI.</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third quarter 2010 provision for income taxes as a percentage of pretax income is 37.6%, down from our estimate for the full year 2010 of 38.0% due to certain discrete period adjustments made to our prior years’ tax accruals.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2010 versus first nine months of 2009.</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Investment advisory revenues were up 35.2%, or $381.9 million, to nearly $1.5 billion in the first nine months of 2010 as average assets under our management increased $106.3 billion to $408.9 billion. The average annualized fee rate earned on our assets under management was 47.9 basis points during the nine months of 2010, unchanged from the basis points earned during the comparable 2009 period and down slightly from the 48.1 basis points earned during the 2009 year. We have waived $18.4 million in money market advisory fees for the first nine months of 2010.</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Net revenues increased $394.9 million, or 29.8%, to $1.7 billion. Operating expenses grew $113.0 million to $966.0 million in the first nine months of 2010, an increase of 13.2% from the comparable 2009 period. Overall, net operating income for year-to-date 2010 increased $281.9 million, or 59.7%, to $753.7 million. Our operating margin for the first nine months of 2010 was 43.8%, up from 35.6% for the 2009 period. Our net income increased</w:t>
      </w:r>
    </w:p>
    <w:p>
      <w:pPr>
        <w:ind w:right="80"/>
        <w:spacing w:after="0" w:line="261" w:lineRule="auto"/>
        <w:rPr>
          <w:sz w:val="20"/>
          <w:szCs w:val="20"/>
          <w:color w:val="auto"/>
        </w:rPr>
      </w:pPr>
      <w:r>
        <w:rPr>
          <w:rFonts w:ascii="Arial" w:cs="Arial" w:eastAsia="Arial" w:hAnsi="Arial"/>
          <w:sz w:val="18"/>
          <w:szCs w:val="18"/>
          <w:color w:val="auto"/>
        </w:rPr>
        <w:t>$199.5 million, or 71.0% to $480.6 million from the 2009 period. Diluted earnings per share on our common stock is $1.81 for the first nine months of 2010, an increase of $.74 from $1.07 earned in the 2009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35.0%, or $262.5 million, to about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 billion. Year-to-date 2010 average mutual fund assets were $243.6 billion, an increase of 35.0% from the average for the comparable 2009 period.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inflows into the mutual funds during the first nine months of 2010 were $10.4 billion, including $4.8 billion originating in our target-date retirement funds.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bond funds had net inflows of $6.3 billion, including $1.4 billion into the New Income Fund, $1.3 billion into the Short-Term Bond Fund, $.6 billion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Tax-Free Income Fund and $.5 billion into each of the Emerging Market Bond and International Bond Funds. Our stock and blended asset funds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 billion of net inflows. The Value Fund had net inflows of $1.2 billion, while the Mid-Cap Value, Growth Stock, and Equity Index 500 Funds each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least $600 million for a combined total of $2.1 billion in net inflows. The money market funds had net outflows of $500 million. Higher market valuations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income increased fund assets by $15.6 billion.</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 advisory revenues earned on the other investment portfolios that we manage increased $119.4 million, or 35.7%, to $453.9 million. Average assets in these portfolios were $165.3 billion during the first nine months of 2010, an increase of 35.4% from the 2009 period. Net inflows from institutional investors in and outside the U.S. and third party financial intermediaries were $13.0 billion and market appreciation and income added $9.4 billion.</w:t>
      </w:r>
    </w:p>
    <w:p>
      <w:pPr>
        <w:spacing w:after="0" w:line="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Administrative fees increased $12.5 million to $251.2 million during the first nine months of 2010. The change in these revenues includes a $9.2 million increase of 12b-1 distribution and service fees recognized on higher assets under management in the Advisor and R classes of our sponsored mutual funds. Increases in our defined contribution plan and mutual fund servicing revenue of $4.9 million were offset by a $2.5 million decrease in brokerage fees due to a reduction in per-trade commissions charged beginning July 1, 2010 to customers with substantial assets.</w:t>
      </w:r>
    </w:p>
    <w:p>
      <w:pPr>
        <w:spacing w:after="0" w:line="6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Compensation and related costs, increased $65.6 million, or 11.5%, compared to the first nine months of 2009. The largest part of the increase is attributable to a $59.6 million increase in our interim accrual for our annual variable compensation programs. Higher temporary employment expenses, other employee benefits and employee related costs for the first nine months of 2010 were offset by lower salaries resulting from the impact of the nonrecurring severance costs recognized in the 2009 period and our year-to-date 2010 average head count decreasing 4.0% from the first nine months of 2009.</w:t>
      </w:r>
    </w:p>
    <w:p>
      <w:pPr>
        <w:spacing w:after="0" w:line="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Advertising and promotion expenditures were up $12.8 million, or 25.9%, compared to year-to-date 2009 in response to improved market conditions and investor sentiment over the last twelve months.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Other operating expenses increased $33.5 million, or 31.4%, from the first nine months of 2009, including an increase of $9.2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discussed above. The remaining increase is a result of other operating costs, including consulting fees, travel costs and other professional services, incurred to meet increasing business demands.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non-operating investment income activity resulted in a net gain of $18.1 million for the first nine months of 2010 compared to a net loss of $22.9 million in the 2009 period. This change of $41.0 million includes $36.1 million in other than temporary impairments recognized on our investments in sponsored mutual funds in the first nine months of 2009. The change also includes $2.2 million in gains recognized in the 2010 period for the settlement and valuation of a series of non-deliverable forward contracts used to economically hedge the foreign currency exposure associated with the UTI acquisition price and $2.8 million in equity earnings from our investment in UTI.</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activities during the first nine months of 2010 provided cash flows of $711.5 million, up $244.9 million from 2009, including a $199.5 million increase in net income and an $86.1 million increase in timing differences in the cash settlement of our assets and liabilities. These increases are offset by the impact of $36.1 million in other than temporary impairments of our investments in sponsored mutual funds that were experienced in the first nine months of 2009 and did not reoccur in 2010. Our interim operating cash outflows do not include bonus compensation that is accrued throughout the year before being substantially paid out in December.</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investing activities totaled $265.1 million, up $123.0 million from the 2009 period, primarily from the purchase of a 26% equity interest in UTI for $142.4 million plus related transaction costs incurred in the 2010 period of $1.2 million. We made $8.9 million less net investments into our sponsored mutual funds in 2010 compared to the 2009 period. The change also includes $10.4 million in fewer investments made in debt securities held by our savings bank.</w:t>
      </w:r>
    </w:p>
    <w:p>
      <w:pPr>
        <w:spacing w:after="0" w:line="7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Net cash used in financing activities was $379.3 million in the first nine months of 2010, up $175.0 million from the 2009 period. We increased our stock repurchases by expending $181.1 million more than in the first nine months of 2009. Dividends paid during the first nine months of 2010 increased $16.6 million from the 2009 period due primarily to a $.02 increase in our quarterly per-share dividend. Cash proceeds from option exercises were up $21.7 million in 2010 compared to 2009 as the higher market valuations of our common stock experienced in the early part of 2010 led employees to exercise.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cash and mutual fund investments at September 30, 2010 were $1.5 billion, and we have no debt. Given the availability of these financial resources, we do not maintain an available external source of liquidity. We anticipate property and equipment expenditures for the full year 2010 to be about $130 million and expect to fund them from our cash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2010. Based on that evaluation, our principal executive and principal financial officers have concluded that our disclosure controls and procedures as of September 30, 2010,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2010, and has concluded that there was no change during the third quarter of 2010 that has materially affected, or is reasonably likely to materially affect, our internal control over financial reporting.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2010 conducted pursuant to the Board of Directors’ June 5, 2008, authorization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Total Number of</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Maximum Number</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Total Number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Average</w:t>
            </w:r>
          </w:p>
        </w:tc>
        <w:tc>
          <w:tcPr>
            <w:tcW w:w="22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6"/>
              </w:rPr>
              <w:t>Shares Purchased as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0"/>
              </w:rPr>
              <w:t>Price Paid</w:t>
            </w:r>
          </w:p>
        </w:tc>
        <w:tc>
          <w:tcPr>
            <w:tcW w:w="22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6"/>
              </w:rPr>
              <w:t>Part of Publicly</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20" w:type="dxa"/>
            <w:vAlign w:val="bottom"/>
          </w:tcPr>
          <w:p>
            <w:pPr>
              <w:spacing w:after="0"/>
              <w:rPr>
                <w:sz w:val="14"/>
                <w:szCs w:val="14"/>
                <w:color w:val="auto"/>
              </w:rPr>
            </w:pPr>
          </w:p>
        </w:tc>
        <w:tc>
          <w:tcPr>
            <w:tcW w:w="290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Month</w:t>
            </w:r>
          </w:p>
        </w:tc>
        <w:tc>
          <w:tcPr>
            <w:tcW w:w="5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87"/>
              </w:rPr>
              <w:t>per Share</w:t>
            </w:r>
          </w:p>
        </w:tc>
        <w:tc>
          <w:tcPr>
            <w:tcW w:w="70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Announced Program</w:t>
            </w:r>
          </w:p>
        </w:tc>
        <w:tc>
          <w:tcPr>
            <w:tcW w:w="6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Under the Program</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850,512</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45.16</w:t>
            </w: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850,512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7,994,265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August</w:t>
            </w:r>
          </w:p>
        </w:tc>
        <w:tc>
          <w:tcPr>
            <w:tcW w:w="2440" w:type="dxa"/>
            <w:vAlign w:val="bottom"/>
            <w:gridSpan w:val="3"/>
          </w:tcPr>
          <w:p>
            <w:pPr>
              <w:jc w:val="right"/>
              <w:ind w:right="340"/>
              <w:spacing w:after="0"/>
              <w:rPr>
                <w:sz w:val="20"/>
                <w:szCs w:val="20"/>
                <w:color w:val="auto"/>
              </w:rPr>
            </w:pPr>
            <w:r>
              <w:rPr>
                <w:rFonts w:ascii="Arial" w:cs="Arial" w:eastAsia="Arial" w:hAnsi="Arial"/>
                <w:sz w:val="18"/>
                <w:szCs w:val="18"/>
                <w:color w:val="auto"/>
              </w:rPr>
              <w:t>583,355</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45.43</w:t>
            </w: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583,355</w:t>
            </w:r>
          </w:p>
        </w:tc>
        <w:tc>
          <w:tcPr>
            <w:tcW w:w="1540" w:type="dxa"/>
            <w:vAlign w:val="bottom"/>
          </w:tcPr>
          <w:p>
            <w:pPr>
              <w:jc w:val="right"/>
              <w:spacing w:after="0"/>
              <w:rPr>
                <w:sz w:val="20"/>
                <w:szCs w:val="20"/>
                <w:color w:val="auto"/>
              </w:rPr>
            </w:pPr>
            <w:r>
              <w:rPr>
                <w:rFonts w:ascii="Arial" w:cs="Arial" w:eastAsia="Arial" w:hAnsi="Arial"/>
                <w:sz w:val="18"/>
                <w:szCs w:val="18"/>
                <w:color w:val="auto"/>
              </w:rPr>
              <w:t>7,410,910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5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22,410,910</w:t>
            </w:r>
          </w:p>
        </w:tc>
      </w:tr>
      <w:tr>
        <w:trPr>
          <w:trHeight w:val="223"/>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4"/>
              </w:rPr>
              <w:t>45.27</w:t>
            </w:r>
          </w:p>
        </w:tc>
        <w:tc>
          <w:tcPr>
            <w:tcW w:w="7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1,433,867</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On September 8, 2010, our Board of Directors approved a 15 million share increase in the company’s authorization to repurchase its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22, 2010, we issued a press release reporting our results of operations for the third quarter of 2010.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p>
      <w:pPr>
        <w:ind w:left="580" w:right="340" w:hanging="580"/>
        <w:spacing w:after="0" w:line="277" w:lineRule="auto"/>
        <w:tabs>
          <w:tab w:leader="none" w:pos="560" w:val="left"/>
        </w:tabs>
        <w:rPr>
          <w:sz w:val="20"/>
          <w:szCs w:val="20"/>
          <w:color w:val="auto"/>
        </w:rPr>
      </w:pPr>
      <w:r>
        <w:rPr>
          <w:rFonts w:ascii="Arial" w:cs="Arial" w:eastAsia="Arial" w:hAnsi="Arial"/>
          <w:sz w:val="18"/>
          <w:szCs w:val="18"/>
          <w:color w:val="auto"/>
        </w:rPr>
        <w:t>3(i).1</w:t>
        <w:tab/>
        <w:t>Charter of T. Rowe Price Group, Inc., as Amended by Articles of Amendment dated April 10, 2008. (Incorporated by reference from Form 10-Q Report for the quarterly period ended March 31, 2008; Accession No. 0000950133-08-001597).</w:t>
      </w:r>
    </w:p>
    <w:p>
      <w:pPr>
        <w:spacing w:after="0" w:line="170" w:lineRule="exact"/>
        <w:rPr>
          <w:sz w:val="20"/>
          <w:szCs w:val="20"/>
          <w:color w:val="auto"/>
        </w:rPr>
      </w:pPr>
    </w:p>
    <w:p>
      <w:pPr>
        <w:ind w:left="580" w:hanging="579"/>
        <w:spacing w:after="0" w:line="277" w:lineRule="auto"/>
        <w:tabs>
          <w:tab w:leader="none" w:pos="560" w:val="left"/>
        </w:tabs>
        <w:rPr>
          <w:sz w:val="20"/>
          <w:szCs w:val="20"/>
          <w:color w:val="auto"/>
        </w:rPr>
      </w:pPr>
      <w:r>
        <w:rPr>
          <w:rFonts w:ascii="Arial" w:cs="Arial" w:eastAsia="Arial" w:hAnsi="Arial"/>
          <w:sz w:val="18"/>
          <w:szCs w:val="18"/>
          <w:color w:val="auto"/>
        </w:rPr>
        <w:t>3(ii)</w:t>
        <w:tab/>
        <w:t>Amended and Restated By-Laws of T. Rowe Price Group, Inc. as of February 12, 2009. (Incorporated by reference from Form 8-K Current Report as of February 17, 2009; Accession No. 0000950133-09-000369).</w:t>
      </w:r>
    </w:p>
    <w:p>
      <w:pPr>
        <w:spacing w:after="0" w:line="170" w:lineRule="exact"/>
        <w:rPr>
          <w:sz w:val="20"/>
          <w:szCs w:val="20"/>
          <w:color w:val="auto"/>
        </w:rPr>
      </w:pPr>
    </w:p>
    <w:p>
      <w:pPr>
        <w:ind w:left="580" w:right="40" w:hanging="580"/>
        <w:spacing w:after="0" w:line="277" w:lineRule="auto"/>
        <w:tabs>
          <w:tab w:leader="none" w:pos="560" w:val="left"/>
        </w:tabs>
        <w:rPr>
          <w:sz w:val="20"/>
          <w:szCs w:val="20"/>
          <w:color w:val="auto"/>
        </w:rPr>
      </w:pPr>
      <w:r>
        <w:rPr>
          <w:rFonts w:ascii="Arial" w:cs="Arial" w:eastAsia="Arial" w:hAnsi="Arial"/>
          <w:sz w:val="18"/>
          <w:szCs w:val="18"/>
          <w:color w:val="auto"/>
        </w:rPr>
        <w:t>10.03</w:t>
        <w:tab/>
        <w:t>Transfer Agency and Service Agreement as of January 1, 2010, between T. Rowe Price Services, Inc. and the T. Rowe Price Funds. (Incorporated by reference from Form 485BPOS; Accession No. 0000902259-10-000015).</w:t>
      </w:r>
    </w:p>
    <w:p>
      <w:pPr>
        <w:spacing w:after="0" w:line="170" w:lineRule="exact"/>
        <w:rPr>
          <w:sz w:val="20"/>
          <w:szCs w:val="20"/>
          <w:color w:val="auto"/>
        </w:rPr>
      </w:pPr>
    </w:p>
    <w:p>
      <w:pPr>
        <w:ind w:left="580" w:right="240" w:hanging="580"/>
        <w:spacing w:after="0" w:line="277" w:lineRule="auto"/>
        <w:tabs>
          <w:tab w:leader="none" w:pos="560" w:val="left"/>
        </w:tabs>
        <w:rPr>
          <w:sz w:val="20"/>
          <w:szCs w:val="20"/>
          <w:color w:val="auto"/>
        </w:rPr>
      </w:pPr>
      <w:r>
        <w:rPr>
          <w:rFonts w:ascii="Arial" w:cs="Arial" w:eastAsia="Arial" w:hAnsi="Arial"/>
          <w:sz w:val="18"/>
          <w:szCs w:val="18"/>
          <w:color w:val="auto"/>
        </w:rPr>
        <w:t>10.04</w:t>
        <w:tab/>
        <w:t>Agreement as of January 1, 2010, between T. Rowe Price Retirement Plan Services, Inc. and certain of the T. Rowe Price Funds. (Incorporated by reference from Form 485BPOS; Accession No. 0000902259-10-000015).</w:t>
      </w:r>
    </w:p>
    <w:p>
      <w:pPr>
        <w:spacing w:after="0" w:line="170" w:lineRule="exact"/>
        <w:rPr>
          <w:sz w:val="20"/>
          <w:szCs w:val="20"/>
          <w:color w:val="auto"/>
        </w:rPr>
      </w:pPr>
    </w:p>
    <w:p>
      <w:pPr>
        <w:ind w:right="2440" w:firstLine="8"/>
        <w:spacing w:after="0" w:line="501" w:lineRule="auto"/>
        <w:tabs>
          <w:tab w:leader="none" w:pos="581"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 release issued October 22, 2010, reporting our results of operations for the third quarter of 2010.</w:t>
      </w:r>
    </w:p>
    <w:p>
      <w:pPr>
        <w:spacing w:after="0" w:line="225" w:lineRule="exact"/>
        <w:rPr>
          <w:sz w:val="20"/>
          <w:szCs w:val="20"/>
          <w:color w:val="auto"/>
        </w:rPr>
      </w:pPr>
    </w:p>
    <w:p>
      <w:pPr>
        <w:ind w:left="580" w:right="14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81"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 (File name: trow-20100930.xml).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101.SCH XBRL Taxonomy Extension Schema Document (File name: trow-20100930.xsd).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101.CAL XBRL Taxonomy Calculation Linkbase Document (File name: trow-20100930_cal.xml).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101.LAB XBRL Taxonomy Label Linkbase Document (File name: trow-20100930_lab.xml).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101.PRE  XBRL Taxonomy Presentation Linkbase Document (File name: trow-20100930_pre.xml).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101.DEF XBRL Taxonomy Definition Linkbase Document (File name: trow-20100930_def.xml).</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7" w:name="page18"/>
    <w:bookmarkEnd w:id="1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20"/>
          </w:cols>
          <w:pgMar w:left="240" w:top="959"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15</w:t>
      </w:r>
    </w:p>
    <w:p>
      <w:pPr>
        <w:spacing w:after="0" w:line="117" w:lineRule="exact"/>
        <w:rPr>
          <w:sz w:val="20"/>
          <w:szCs w:val="20"/>
          <w:color w:val="auto"/>
        </w:rPr>
      </w:pPr>
    </w:p>
    <w:p>
      <w:pPr>
        <w:ind w:left="900" w:right="5420" w:hanging="899"/>
        <w:spacing w:after="0" w:line="277" w:lineRule="auto"/>
        <w:rPr>
          <w:sz w:val="20"/>
          <w:szCs w:val="20"/>
          <w:color w:val="auto"/>
        </w:rPr>
      </w:pPr>
      <w:r>
        <w:rPr>
          <w:rFonts w:ascii="Arial" w:cs="Arial" w:eastAsia="Arial" w:hAnsi="Arial"/>
          <w:sz w:val="18"/>
          <w:szCs w:val="18"/>
          <w:color w:val="auto"/>
        </w:rPr>
        <w:t xml:space="preserve">Exhibit 15 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22, 2010 related to our review of interim financial information.</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2010,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2010,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Section 1350 Certifications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2010,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0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22" w:name="page23"/>
    <w:bookmarkEnd w:id="2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629285</wp:posOffset>
            </wp:positionH>
            <wp:positionV relativeFrom="page">
              <wp:posOffset>88900</wp:posOffset>
            </wp:positionV>
            <wp:extent cx="6303010" cy="788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303010" cy="788670"/>
                    </a:xfrm>
                    <a:prstGeom prst="rect">
                      <a:avLst/>
                    </a:prstGeom>
                    <a:noFill/>
                  </pic:spPr>
                </pic:pic>
              </a:graphicData>
            </a:graphic>
          </wp:anchor>
        </w:drawing>
      </w:r>
    </w:p>
    <w:p>
      <w:pPr>
        <w:ind w:right="5620"/>
        <w:spacing w:after="0" w:line="400" w:lineRule="auto"/>
        <w:rPr>
          <w:sz w:val="20"/>
          <w:szCs w:val="20"/>
          <w:color w:val="auto"/>
        </w:rPr>
      </w:pPr>
      <w:r>
        <w:rPr>
          <w:rFonts w:ascii="Arial" w:cs="Arial" w:eastAsia="Arial" w:hAnsi="Arial"/>
          <w:sz w:val="17"/>
          <w:szCs w:val="17"/>
          <w:b w:val="1"/>
          <w:bCs w:val="1"/>
          <w:color w:val="auto"/>
        </w:rPr>
        <w:t xml:space="preserve">T. ROWE PRICE GROUP REPORTS THIRD QUARTER 2010 RESULTS </w:t>
      </w:r>
      <w:r>
        <w:rPr>
          <w:rFonts w:ascii="Arial" w:cs="Arial" w:eastAsia="Arial" w:hAnsi="Arial"/>
          <w:sz w:val="17"/>
          <w:szCs w:val="17"/>
          <w:b w:val="1"/>
          <w:bCs w:val="1"/>
          <w:i w:val="1"/>
          <w:iCs w:val="1"/>
          <w:color w:val="auto"/>
        </w:rPr>
        <w:t>Assets Under Management at September 30 Reach $439.7 Billion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BALTIMORE (October 22, 2010) — T. Rowe Price Group, Inc. (NASDAQ-GS: TROW) today reported its third quarter 2010 results, including net revenues of $586.1 million, net income of $169.1 million, and diluted earnings per common share of $.64, an increase of 28% from the $.50 per share in the comparable 2009 quarter. Net revenues were $498.1 million in the third quarter of 2009, and net income was $132.9 million.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increased 20%, or $85.2 million from the comparable 2009 quarter. Assets under management increased $48.6 billion from</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$391.1 billion at June 30, 2010, to $439.7 billion at September 30, including $258.7 billion in the T. Rowe Price mutual funds distributed in the United States and $181.0 billion in other managed investment portfolios. Net cash inflows from investors totaled $8.0 billion and market appreciation and income added $40.6 billion to assets under management during the quarter.</w:t>
      </w:r>
    </w:p>
    <w:p>
      <w:pPr>
        <w:spacing w:after="0" w:line="8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Results for the first nine months of 2010 include net revenues of $1.7 billion, net income of $480.6 million, and diluted earnings per common share of $1.81, up 69% from the $1.07 per share in the comparable 2009 period. Assets under management increased $48.4 billion, or 12% from the end of 2009. Year-to-date, net cash inflows from investors totaled $23.4 billion and market appreciation and income added $25.0 billion to assets under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Relative to the 2009 quarter, investment advisory revenues earned from the T. Rowe Price mutual funds distributed in the U.S. increased 19%, or</w:t>
      </w:r>
    </w:p>
    <w:p>
      <w:pPr>
        <w:spacing w:after="0" w:line="35"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$54.8 million, to $344.2 million in the third quarter of 2010. Average mutual fund assets under management were $245.9 billion in the 2010 quarter, an increase of 20% from the average for the comparable 2009 quarter. Mutual fund assets at September 30, 2010 were $258.7 billion, an increase of $25.2 billion, or 11% from the end of June 2010.</w:t>
      </w:r>
    </w:p>
    <w:p>
      <w:pPr>
        <w:spacing w:after="0" w:line="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Net inflows to the sponsored mutual funds were $1.1 billion during the third quarter of 2010. Fund net inflows are presented net of $1.0 billion of assets transferred to the target-date retirement trusts from the target-date retirement funds during the quarter. Net inflows of $1.8 billion added to the bond funds were offset by net outflows of $.6 billion from the stock and blended asset funds and $.1 billion from the money market funds. Market appreciation and income increased mutual fund assets under management by $24.1 billion during the third quarter of 2010.</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the firm manages increased $30.4 million, or 24%, from the third quarter of 2009, to $158.3 million. Average assets in these portfolios were $170.2 billion during the third quarter of 2010, an increase of $33.3 billion, or 24%, from the 2009 quarter. Ending assets at September 30, 2010 were $181.0 billion, up $23.4 billion from the end of June 2010. Net inflows of $6.9 billion, in the 2010 quarter, were sourced primarily from institutional investors in and outside the U.S. and third party financial intermediaries. These inflows included $1.0 billion of assets transferred from the target-date retirement funds into target-date retirement trusts. Market appreciation and income increased assets under management in these portfolios by $16.5 billion. Investors domiciled outside the United States account for more than 12% of the firm’s assets under management at September 30, 2010.</w:t>
      </w:r>
    </w:p>
    <w:p>
      <w:pPr>
        <w:spacing w:after="0" w:line="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target-date retirement investment portfolios continue to be a good source of assets under management. During the third quarter of 2010, net inflows of $2.3 billion originated in these portfolios. Assets in the target-date retirement portfolios were $53.5 billion at September 30, 2010, accounting for 12% of the firm’s assets under management and 19% of its mutual fund assets.</w:t>
      </w:r>
    </w:p>
    <w:p>
      <w:pPr>
        <w:spacing w:after="0" w:line="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Operating expenses were $324.2 million in the third quarter of 2010, up $33.4 million from the 2009 quarter. Compensation and related costs increased $17.9 million, or 9%, from the comparable 2009 quarter, due primarily to a higher accrual for the annual variable compensation program, an increase in temporary employment costs and salaries. Salaries have risen due to an increase in average staff size of nearly 2.5% from the 2009 quarter, and a modest increase in associates’ base salaries at the beginning of the year. At September 30, 2010, we employed 4,975 associates, up 3.6% from the 4,802 associates employed at the end of 2009.</w:t>
      </w:r>
    </w:p>
    <w:p>
      <w:pPr>
        <w:spacing w:after="0" w:line="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Advertising and promotion expenditures were up $5.6 million, or 43%, compared to the third quarter of 2009 in response to investor interest in recovering markets. The firm currently expects that its advertising and promotion expenditures for the fourth quarter of 2010 will be up about $5.0 million from the comparable 2009 quarter. The firm varies its level of spending based on market conditions and investor demand as well as its efforts to expand its investor base in the United States and abroad.</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Other operating expenses increased $8.1 million, or 21%, from the third quarter of 2009, including an increase of $2.0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Consulting fees, travel costs, other professional fees and other operating costs have all risen from the third quarter of 2009 to meet increasing business demands.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third quarter 2010 provision for income taxes as a percentage of pretax income is 37.6%, down from our estimate for the full year 2010 of 38.0% due to certain discrete period adjustments made to prior years’ tax accruals.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302" w:lineRule="auto"/>
        <w:rPr>
          <w:sz w:val="20"/>
          <w:szCs w:val="20"/>
          <w:color w:val="auto"/>
        </w:rPr>
      </w:pPr>
      <w:r>
        <w:rPr>
          <w:rFonts w:ascii="Arial" w:cs="Arial" w:eastAsia="Arial" w:hAnsi="Arial"/>
          <w:sz w:val="16"/>
          <w:szCs w:val="16"/>
          <w:color w:val="auto"/>
        </w:rPr>
        <w:t>The Company decided in the fourth quarter 2010 that it will make a capital contribution to certain of its sponsored money market mutual funds. The Company is making this contribution to offset the cumulative net losses realized by those funds in recent years in order to allay any fund shareholder concerns that might arise as a result of new SEC disclosure rules. This fourth quarter contribution to the funds will result in a one-time pre-tax charge of approximately $17 million. The Company’s sponsored money market mutual funds have net assets totaling approximately $28 billion at September 30,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89% of the T. Rowe Price funds across their share classes outperforming their comparable Lipper averages on a total return basis for the 5-year period ended September 30, 2010, 86% outperforming for the three-year period, 78% outperforming for the 10-year period, and 71% outperforming for the one-year period. In addition, T. Rowe Price stock, bond and blended asset funds that ended the quarter with an overall rating of four or five stars from Morningstar account for nearly 76% of our rated funds’ assets under management.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third quarter financial performance was achieved during a volatile period in which markets moved higher in July, fell back in August, and then rebounded in September. Assets under management at the firm hit a record level at the end of the quarter, as did the quarter’s average assets under management. With the tailwind of market gains and net new client inflows, our net revenues, net income, and earnings have largely recovered from the crisis, although they still remain slightly below their peak in the fourth quarter of 2007.</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strong capital position enables us to weather volatile markets while continuing to take advantage of opportunities that will better position us and our clients for the future. We remain debt-free with substantial liquidity, including cash and mutual fund investment holdings of $1.5 billion. Through September 30, we have expended $240 million to repurchase 5.0 million shares of our common stock. Based on current strategic projects and plans, the company’s capital expenditures for all of 2010 are estimated to be about $130 million, including $101 million invested in facilities and technology equipment in the first three quarters of the year. These cash expenditures are funded from our available liquid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“Despite the ebbs and flows of the market and the uneven pace of recovery, market fundamentals are generally positive and slowly improving. Equity valuations are reasonable, corporate balance sheets are healthy, and corporate earnings growth should continue to improve. Although many investors remain cautious, taking the long-term view we are reasonably optimistic that the next decade will be a more rewarding period for investors than the decade past.”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closing, Mr. Kennedy said, “While markets are a key driver of our short-term financial results, the key to the long-term success for the company is our level of performance and service for our growing number of clients around the world. We remain encouraged by the confidence they continue to place in us, as evidenced by investor demand across distribution channels that resulted in record cash flows for a third quarter. With the depth and breadth of our talent pool and their enduring focus on our clients, the long-term outlook for T. Rowe Price remains strong.”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2010 with the U.S. Securities and Exchange Commission later today. The Form 10-Q will include additional information on the firm’s unaudited financial results at September 30, 2010.</w:t>
      </w:r>
    </w:p>
    <w:p>
      <w:pPr>
        <w:spacing w:after="0" w:line="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and expense savings, estimated tax rates, and expectations regarding financial results, future transactions, investments, capital expenditures, and other market conditions. For a discussion concerning risks and other factors that could affect future results, see the firm’s 2009 Form 10-K report.</w:t>
      </w:r>
    </w:p>
    <w:p>
      <w:pPr>
        <w:spacing w:after="0" w:line="4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u w:val="single" w:color="auto"/>
          <w:color w:val="auto"/>
        </w:rPr>
        <w:t>www.troweprice.com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1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417.3</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502.5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1,084.4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1,328.3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1,719.7</w:t>
            </w:r>
          </w:p>
        </w:tc>
        <w:tc>
          <w:tcPr>
            <w:tcW w:w="0" w:type="dxa"/>
            <w:vAlign w:val="bottom"/>
          </w:tcPr>
          <w:p>
            <w:pPr>
              <w:spacing w:after="0"/>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324.2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Non-operating investment income (loss)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132.9</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132.9</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169.1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281.1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Net income allocated to outstanding restricted stock and stock unit holders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income allocated to common stockholders</w:t>
            </w:r>
          </w:p>
        </w:tc>
        <w:tc>
          <w:tcPr>
            <w:tcW w:w="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168.4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255.5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255.5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assuming dilution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11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vMerge w:val="restart"/>
          </w:tcPr>
          <w:p>
            <w:pPr>
              <w:jc w:val="right"/>
              <w:ind w:right="630"/>
              <w:spacing w:after="0"/>
              <w:rPr>
                <w:sz w:val="20"/>
                <w:szCs w:val="20"/>
                <w:color w:val="auto"/>
              </w:rPr>
            </w:pPr>
            <w:r>
              <w:rPr>
                <w:rFonts w:ascii="Arial" w:cs="Arial" w:eastAsia="Arial" w:hAnsi="Arial"/>
                <w:sz w:val="18"/>
                <w:szCs w:val="18"/>
                <w:color w:val="auto"/>
                <w:w w:val="90"/>
              </w:rPr>
              <w:t>-3-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9/30/2009</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9"/>
              </w:rPr>
              <w:t>9/30/2010</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9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230.6</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271.3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344.2</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417.3</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502.5</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$ 1,084.4</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$ 1,466.3</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9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150.8</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178.5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245.9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170.2</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416.1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Stock and blended asset portfolios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w w:val="91"/>
              </w:rPr>
              <w:t>Cash provided by operating activities, including $66.3 of stock-based compensation in 2010</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466.6</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Cash used in investing activities, including ($101.4) for additions to property and equipment and ($143.6) for</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UTI Asset Management Company Limited in 2010</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6"/>
              </w:rPr>
              <w:t>Cash used in financing activities, including common stock repurchases of ($240.0) and dividends paid of ($208.9)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(204.3)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investments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jc w:val="right"/>
              <w:ind w:right="350"/>
              <w:spacing w:after="0"/>
              <w:rPr>
                <w:sz w:val="20"/>
                <w:szCs w:val="20"/>
                <w:color w:val="auto"/>
              </w:rPr>
            </w:pPr>
            <w:r>
              <w:rPr>
                <w:rFonts w:ascii="Arial" w:cs="Arial" w:eastAsia="Arial" w:hAnsi="Arial"/>
                <w:sz w:val="18"/>
                <w:szCs w:val="18"/>
                <w:color w:val="auto"/>
                <w:w w:val="91"/>
              </w:rPr>
              <w:t>Stockholders’ equity, 256.4 common shares outstanding in 2010, including net unrealized holding gains of $117.9 in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jc w:val="right"/>
              <w:ind w:right="8170"/>
              <w:spacing w:after="0"/>
              <w:rPr>
                <w:sz w:val="20"/>
                <w:szCs w:val="20"/>
                <w:color w:val="auto"/>
              </w:rPr>
            </w:pPr>
            <w:r>
              <w:rPr>
                <w:rFonts w:ascii="Arial" w:cs="Arial" w:eastAsia="Arial" w:hAnsi="Arial"/>
                <w:sz w:val="18"/>
                <w:szCs w:val="18"/>
                <w:color w:val="auto"/>
              </w:rPr>
              <w:t>2010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$ 2,882.2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$ 3,064.4</w:t>
            </w:r>
          </w:p>
        </w:tc>
        <w:tc>
          <w:tcPr>
            <w:tcW w:w="0" w:type="dxa"/>
            <w:vAlign w:val="bottom"/>
          </w:tcPr>
          <w:p>
            <w:pPr>
              <w:spacing w:after="0"/>
              <w:rPr>
                <w:sz w:val="1"/>
                <w:szCs w:val="1"/>
                <w:color w:val="auto"/>
              </w:rPr>
            </w:pPr>
          </w:p>
        </w:tc>
      </w:tr>
      <w:tr>
        <w:trPr>
          <w:trHeight w:val="20"/>
        </w:trPr>
        <w:tc>
          <w:tcPr>
            <w:tcW w:w="8840" w:type="dxa"/>
            <w:vAlign w:val="bottom"/>
            <w:vMerge w:val="restart"/>
          </w:tcPr>
          <w:p>
            <w:pPr>
              <w:jc w:val="right"/>
              <w:ind w:right="29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5"/>
    </w:lvl>
  </w:abstractNum>
  <w:abstractNum w:abstractNumId="1">
    <w:nsid w:val="238E1F29"/>
    <w:multiLevelType w:val="hybridMultilevel"/>
    <w:lvl w:ilvl="0">
      <w:lvlJc w:val="left"/>
      <w:lvlText w:val="%1"/>
      <w:numFmt w:val="decimal"/>
      <w:start w:val="32"/>
    </w:lvl>
  </w:abstractNum>
  <w:abstractNum w:abstractNumId="2">
    <w:nsid w:val="46E87CCD"/>
    <w:multiLevelType w:val="hybridMultilevel"/>
    <w:lvl w:ilvl="0">
      <w:lvlJc w:val="left"/>
      <w:lvlText w:val="%1"/>
      <w:numFmt w:val="decimal"/>
      <w:start w:val="99"/>
    </w:lvl>
  </w:abstractNum>
  <w:abstractNum w:abstractNumId="3">
    <w:nsid w:val="3D1B58BA"/>
    <w:multiLevelType w:val="hybridMultilevel"/>
    <w:lvl w:ilvl="0">
      <w:lvlJc w:val="left"/>
      <w:lvlText w:val="%1"/>
      <w:numFmt w:val="decimal"/>
      <w:start w:val="10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2019-12-10T19:32:14Z</dcterms:created>
  <dcterms:modified xsi:type="dcterms:W3CDTF">2019-12-10T19:32:14Z</dcterms:modified>
</cp:coreProperties>
</file>