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w:t>
      </w:r>
      <w:r>
        <w:rPr>
          <w:rFonts w:ascii="Arial" w:cs="Arial" w:eastAsia="Arial" w:hAnsi="Arial"/>
          <w:sz w:val="18"/>
          <w:szCs w:val="18"/>
          <w:b w:val="1"/>
          <w:bCs w:val="1"/>
          <w:u w:val="single" w:color="auto"/>
          <w:color w:val="auto"/>
        </w:rPr>
        <w:t>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2880" w:right="220" w:hanging="4840"/>
        <w:spacing w:after="0" w:line="223" w:lineRule="exact"/>
        <w:tabs>
          <w:tab w:leader="none" w:pos="286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number of shares outstanding of the issuer’s common stock ($.20 par value), as of the latest practicable date, April 22, 2008, is </w:t>
      </w:r>
      <w:r>
        <w:rPr>
          <w:rFonts w:ascii="Arial" w:cs="Arial" w:eastAsia="Arial" w:hAnsi="Arial"/>
          <w:sz w:val="17"/>
          <w:szCs w:val="17"/>
          <w:b w:val="1"/>
          <w:bCs w:val="1"/>
          <w:u w:val="single" w:color="auto"/>
          <w:color w:val="auto"/>
        </w:rPr>
        <w:t>259,699,654</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12/31/2007</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785.1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Other investments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668.8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3,177.3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Liabilities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$.20 par value — authorized 500,000,000 shares (increased to 750,000,000 shares on April 10,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2008); issued 264,605,000 shares in 2007 and 259,575,000 shares in 2008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2,333.4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2,777.1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3,177.3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2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425.0</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559.1</w:t>
            </w:r>
          </w:p>
        </w:tc>
        <w:tc>
          <w:tcPr>
            <w:tcW w:w="0" w:type="dxa"/>
            <w:vAlign w:val="bottom"/>
          </w:tcPr>
          <w:p>
            <w:pPr>
              <w:spacing w:after="0"/>
              <w:rPr>
                <w:sz w:val="1"/>
                <w:szCs w:val="1"/>
                <w:color w:val="auto"/>
              </w:rPr>
            </w:pPr>
          </w:p>
        </w:tc>
      </w:tr>
      <w:tr>
        <w:trPr>
          <w:trHeight w:val="439"/>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230.1</w:t>
            </w: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rPr>
              <w:t>Non-operating investment income</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87.8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151.5</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3/31/2007</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142.9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period</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773.0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911.1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4"/>
                <w:szCs w:val="14"/>
                <w:color w:val="auto"/>
              </w:rPr>
              <w:t>Additional</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center"/>
              <w:ind w:right="660"/>
              <w:spacing w:after="0"/>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Common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capital in</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364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5"/>
              </w:rPr>
              <w:t>shares</w:t>
            </w:r>
          </w:p>
        </w:tc>
        <w:tc>
          <w:tcPr>
            <w:tcW w:w="134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Common</w:t>
            </w:r>
          </w:p>
        </w:tc>
        <w:tc>
          <w:tcPr>
            <w:tcW w:w="104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w w:val="97"/>
              </w:rPr>
              <w:t>excess of</w:t>
            </w:r>
          </w:p>
        </w:tc>
        <w:tc>
          <w:tcPr>
            <w:tcW w:w="3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Retained</w:t>
            </w:r>
          </w:p>
        </w:tc>
        <w:tc>
          <w:tcPr>
            <w:tcW w:w="1820" w:type="dxa"/>
            <w:vAlign w:val="bottom"/>
            <w:gridSpan w:val="4"/>
          </w:tcPr>
          <w:p>
            <w:pPr>
              <w:jc w:val="center"/>
              <w:ind w:right="36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36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outstanding</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stock</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par value</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earnings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2"/>
              </w:rPr>
              <w:t>income</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$ 2,333.4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2,777.1</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Common stock-based compensation plans</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activity</w:t>
            </w: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option exercises</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02"/>
        </w:trPr>
        <w:tc>
          <w:tcPr>
            <w:tcW w:w="3640" w:type="dxa"/>
            <w:vAlign w:val="bottom"/>
          </w:tcPr>
          <w:p>
            <w:pPr>
              <w:ind w:left="220"/>
              <w:spacing w:after="0" w:line="201" w:lineRule="exact"/>
              <w:rPr>
                <w:sz w:val="20"/>
                <w:szCs w:val="20"/>
                <w:color w:val="auto"/>
              </w:rPr>
            </w:pPr>
            <w:r>
              <w:rPr>
                <w:rFonts w:ascii="Arial" w:cs="Arial" w:eastAsia="Arial" w:hAnsi="Arial"/>
                <w:sz w:val="18"/>
                <w:szCs w:val="18"/>
                <w:color w:val="auto"/>
              </w:rPr>
              <w:t>Shares issued upon vesting of restricted</w:t>
            </w: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40" w:type="dxa"/>
            <w:vAlign w:val="bottom"/>
          </w:tcPr>
          <w:p>
            <w:pPr>
              <w:ind w:left="420"/>
              <w:spacing w:after="0"/>
              <w:rPr>
                <w:sz w:val="20"/>
                <w:szCs w:val="20"/>
                <w:color w:val="auto"/>
              </w:rPr>
            </w:pPr>
            <w:r>
              <w:rPr>
                <w:rFonts w:ascii="Arial" w:cs="Arial" w:eastAsia="Arial" w:hAnsi="Arial"/>
                <w:sz w:val="18"/>
                <w:szCs w:val="18"/>
                <w:color w:val="auto"/>
              </w:rPr>
              <w:t>stock units</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shares issued</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Restricted shares forfeited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(5,902)</w:t>
            </w: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(264.8)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(294.1)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151.5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6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Change in unrealized security holding</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 net of taxes</w:t>
            </w: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and related tax</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w:t>
            </w: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Balances at March 31, 2008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259,575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$ 2,157.6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2,578.3</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nearly 10% of our assets under management at March 31, 2008.</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that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2007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$144.6 million at December 31, 2007, and $134.5 million at March 31,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3/31/2007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263.2</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282.4</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333.6</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136.5</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470.1</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12/31/2007</w:t>
            </w:r>
          </w:p>
        </w:tc>
        <w:tc>
          <w:tcPr>
            <w:tcW w:w="3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6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174.6</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200.6</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quarter were $66.0 million in 2007 and $72.0 million in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3 — FAIR VALUE MEASUREMENTS.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disclosures are made in conjunction with the initial application of Statement of Financial Accounting Standards (SFAS) No.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in 2008.</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20"/>
        <w:spacing w:after="0" w:line="293" w:lineRule="auto"/>
        <w:rPr>
          <w:sz w:val="20"/>
          <w:szCs w:val="20"/>
          <w:color w:val="auto"/>
        </w:rPr>
      </w:pPr>
      <w:r>
        <w:rPr>
          <w:rFonts w:ascii="Arial" w:cs="Arial" w:eastAsia="Arial" w:hAnsi="Arial"/>
          <w:sz w:val="16"/>
          <w:szCs w:val="16"/>
          <w:color w:val="auto"/>
        </w:rPr>
        <w:t>Our investments in marketable debt securities, including mortgage- and other asset-backed securities held by our savings bank subsidiary, are reported at fair value. These debt securities are generally traded in the over-the-counter (OTC) market. Securities with original maturities of one year or more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original maturities of less than one year generally use amortized cost to approximate fair value; however, if amortized cost is deemed not to reflect fair value, such securities are valued by us based on prices furnished by dealers who make markets in such securities or by an independent pricing service.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three broad levels of inputs: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800" w:right="120" w:hanging="53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800" w:right="320" w:hanging="53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have any investments valued using Level 3 inputs.</w:t>
      </w:r>
    </w:p>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the investments. The following table summarizes our investments (in millions) at March 31, 2008, that are recognized in our balance sheet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725.1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 investments in marketable equity securities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1,282.2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r>
      <w:tr>
        <w:trPr>
          <w:trHeight w:val="20"/>
        </w:trPr>
        <w:tc>
          <w:tcPr>
            <w:tcW w:w="6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applied the provisions of SFAS No. 157 related to disclosures surrounding nonfinancial assets, such as goodwill, and nonfinancial liabilities. In February 2008, the FASB deferred the required implementation of these disclosures until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At our annual meeting on April 10, 2008, our stockholders approved a charter amendment increasing our authorized common shares ($.20 par value) from 500,000,000 to 750,000,000. Our board of directors had duly approved and advised the amendment at their meeting on February 14,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Unsettled liability for common shares repurchased.</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Accounts payable and accrued expenses includes $8.6 million at December 31, 2007, and $7.8 million at March 31, 2008, representing the unsettled liability for common stock repurchases made on the last three business days before month 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2008</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41,030,175</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$31.16</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New hire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$58.81</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95,612</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$49.24</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(1,127,229)</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$20.03</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(314,200)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$39.30</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Outstanding at March 31, 2008</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39,685,358</w:t>
            </w:r>
          </w:p>
        </w:tc>
        <w:tc>
          <w:tcPr>
            <w:tcW w:w="32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$31.46</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2008</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23,264,518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$24.92</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2008.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Restricted</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88"/>
              </w:rPr>
              <w:t>Restricted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w:t>
            </w:r>
          </w:p>
        </w:tc>
        <w:tc>
          <w:tcPr>
            <w:tcW w:w="50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grant-date</w:t>
            </w:r>
          </w:p>
        </w:tc>
      </w:tr>
      <w:tr>
        <w:trPr>
          <w:trHeight w:val="167"/>
        </w:trPr>
        <w:tc>
          <w:tcPr>
            <w:tcW w:w="6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units</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319,300</w:t>
            </w: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140,250</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$50.23</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Granted to employees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$54.80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equivalents granted to directors</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$50.42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Vested</w:t>
            </w:r>
          </w:p>
        </w:tc>
        <w:tc>
          <w:tcPr>
            <w:tcW w:w="3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720" w:type="dxa"/>
            <w:vAlign w:val="bottom"/>
            <w:gridSpan w:val="4"/>
          </w:tcPr>
          <w:p>
            <w:pPr>
              <w:ind w:left="940"/>
              <w:spacing w:after="0"/>
              <w:rPr>
                <w:sz w:val="20"/>
                <w:szCs w:val="20"/>
                <w:color w:val="auto"/>
              </w:rPr>
            </w:pPr>
            <w:r>
              <w:rPr>
                <w:rFonts w:ascii="Arial" w:cs="Arial" w:eastAsia="Arial" w:hAnsi="Arial"/>
                <w:sz w:val="18"/>
                <w:szCs w:val="18"/>
                <w:color w:val="auto"/>
              </w:rPr>
              <w:t>(3,569)</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$48.30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72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rPr>
              <w:t>(2,500)</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$49.67</w:t>
            </w: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Nonvested at March 31, 2008</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318,800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137,250</w:t>
            </w:r>
          </w:p>
        </w:tc>
        <w:tc>
          <w:tcPr>
            <w:tcW w:w="32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$50.30</w:t>
            </w:r>
          </w:p>
        </w:tc>
      </w:tr>
      <w:tr>
        <w:trPr>
          <w:trHeight w:val="20"/>
        </w:trPr>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separate vesting periods of the 16,420,840 nonvested options and 456,050 restricted shares and restricted stock units outstanding at March 31, 2008.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2008</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Third quarter 2008</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2008</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2009 through 2013</w:t>
            </w:r>
          </w:p>
        </w:tc>
        <w:tc>
          <w:tcPr>
            <w:tcW w:w="4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as of March 31, 2008, the related condensed consolidated statements of income and cash flows for the three-month periods ended March 31, 2007 and 2008, and the related condensed consolidated statement of stockholders’ equity for the three-month period ended March 31, 2008. These condensed consolidated financial statements are the responsibility of the Company’s management.</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2007, and the related consolidated statements of income, cash flows, and stockholders’ equity for the year then ended (not presented herein); and in our report dated February 6, 2008, we expressed an unqualified opinion on those consolidated financial statements. In our opinion, the information set forth in the accompanying condensed consolidated balance sheet as of December 31, 2007,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nearly 10% of our assets under management at March 31, 2008.</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aftermath of the subprime mortgage market implosion in 2007 and the recent credit crisis continued to impact the financial markets into 2008. Equities around the world declined dramatically in the early weeks of January. Weaker-than-expected economic data, particularly on U.S. employment and retail spending, and the restraining effect of bank capital write-downs on credit availability combined to raise the downside risk in the near-term economic outlook. The Federal Reserve acted quickly with a forceful easing of U.S. monetary policy that reduced the federal funds rate by 200 basis points during the quarter to 2.25% at the end of March. Further help in the form of a fiscal stimulus package from the U.S. Congress and President became law on February 13. Market turmoil continued into March when the near collapse of an investment bank and securities trading firm was averted and the Federal Reserve began to make available lending to securities dealers in order to increase liquidity. Despite these aggressive actions, investor sentiment deteriorated as the continuing housing market downturn, rising energy and other commodity prices, weakness in the manufacturing and service sectors, and sluggish job growth raised concerns that the U.S. economy was slipping into a recession.</w:t>
      </w:r>
    </w:p>
    <w:p>
      <w:pPr>
        <w:spacing w:after="0" w:line="7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this troubled environment, major U.S. stock indexes fell sharply in the first quarter of 2008 but closed above their worst levels. The broad S&amp;P 500 Index of large-cap companies in leading industries of the U.S. economy produced a negative 9.45% return in the first quarter while the NASDAQ Composite Index, which is heavily weighted with technology companies, fared even worse, down 14.1% (excluding dividends).</w:t>
      </w:r>
    </w:p>
    <w:p>
      <w:pPr>
        <w:spacing w:after="0" w:line="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Stocks outside the United States also slumped, even though a sharply weaker U.S. dollar reduced the magnitude of losses in dollar terms. Emerging markets performed worst, led by shares in Asia; in particular, the Shanghai Stock Exchange Composite was down 43% at March 31, 2008, from its peak in October 2007. Developed markets also declined, with European markets underperforming Japanese shares. The MSCI EAFE Index, which measures the performance of mostly large-cap stocks in Europe, Australasia, and the Far East, produced a negative 8.8% return.</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yield on 10-year U.S. Treasuries was 3.45% at March 31, 2008, down 59 basis points from the end of 2007. Short-term interest rates fell more than long-term rates during the quarter, resulting in a steeper Treasury yield curve at quarter end. U.S. Treasury bonds produced strong returns, though returns on debt securities overall were mixed as the credit crunch continued with investors favoring securities of the highest credit quality and liquidity. The Lehman Brothers U.S. Aggregate Index for bonds returned 2.17% for the quarter, while the Credit Suisse High Yield index had a negative 2.90% return. High-yield corporate bonds fared worst as investors anticipated that the weakening economy and tighter credit conditions would lead to higher defaults from riskier issuers. Global bonds, as measured by the Lehman Brothers Global Aggregate ex-US Dollar Bond Index, had a positive 9.32% return for the quarter, driven largely by the weaker U.S. dollar.</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unsettled financial environment of early 2008, investors entrusted record quarterly net inflows of $9.7 billion to our management. Total assets under our management ended the quarter at $378.6 billion, down 5.4% from the end of 2007. The change (in billions) during the first quarter of 2008 occurred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December 31, 2007</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Net cash inflows</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Sponsored mutual funds in the U.S.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Other portfolios</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Market valuation decreases, net of income</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Decrease during the first quarter</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439"/>
        </w:trPr>
        <w:tc>
          <w:tcPr>
            <w:tcW w:w="10640" w:type="dxa"/>
            <w:vAlign w:val="bottom"/>
          </w:tcPr>
          <w:p>
            <w:pPr>
              <w:spacing w:after="0"/>
              <w:rPr>
                <w:sz w:val="20"/>
                <w:szCs w:val="20"/>
                <w:color w:val="auto"/>
              </w:rPr>
            </w:pPr>
            <w:r>
              <w:rPr>
                <w:rFonts w:ascii="Arial" w:cs="Arial" w:eastAsia="Arial" w:hAnsi="Arial"/>
                <w:sz w:val="18"/>
                <w:szCs w:val="18"/>
                <w:color w:val="auto"/>
              </w:rPr>
              <w:t>Assets under management at March 31, 2008</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4"/>
                <w:szCs w:val="24"/>
                <w:color w:val="auto"/>
              </w:rPr>
            </w:pPr>
          </w:p>
        </w:tc>
      </w:tr>
      <w:tr>
        <w:trPr>
          <w:trHeight w:val="20"/>
        </w:trPr>
        <w:tc>
          <w:tcPr>
            <w:tcW w:w="10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Assets under management at March 31, 2008, include $297.3 billion in equity and blended asset investment portfolios and $81.3 billion in fixed income investment portfolios. The investment portfolios that we manage consist of $230.5 billion in the T. Rowe Price mutual funds distributed in the United States and $148.1 billion in other investment portfolios, including separately managed accounts, sub-advised funds, and other sponsored investment funds offered to investors outside the U.S. and through variable annuity life insurance plans.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may recognize from increases to our assets under management.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RESULTS OF OPERATIONS — First quarter 2008 versus first quarter 2007.</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Investment advisory revenues were up almost 11%, or $45.1 million, to $470.1 million as average assets under our management increased $35.3 billion to $378.9 billion. The average annualized fee rate earned on our assets under management was 49.9 basis points during the first quarter of 2008, virtually unchanged from the 50.2 basis points earned in 2007.</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revenues increased 10%, or $50.7 million, to $559.1 million. Operating expenses were $329.0 million in the first quarter of 2008, up almost 14% or $39.5 million from the 2007 quarter. Overall, net operating income for the first quarter of 2008 increased $11.2 million, or 5%, to $230.1 million. Higher operating expenses and decreases in market valuations, which reduced our assets under management and advisory revenues, resulted in our operating margin declining to 41.2% in the first quarter of 2008 from 43.1% in the first quarter of 2007. Net income increased $8.6 million, or 6%, to $151.5 million for the first three months of 2008 and diluted earnings per share increased to $.55, up $.04 or nearly 8% as our weighted average shares outstanding have decreased due to our common share repurchases during the last twelve months.</w:t>
      </w:r>
    </w:p>
    <w:p>
      <w:pPr>
        <w:spacing w:after="0" w:line="8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9%, or $27.8 million, to $333.6 million. Average mutual fund assets were $231.2 billion in the first quarter of 2008, an increase of 8% from the average for the comparable 2007 quarter. Mutual fund assets at March 31, 2008 were $230.5 billion, down $15.5 billion or 6% from the end of 2007.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Net inflows to the mutual funds were $3.7 billion during the first quarter of 2008. Our international and global stock funds had net inflows of $1.7 billion,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bond funds added $1.2 billion and the money funds added $.8 billion. While U.S. domestic stock funds were flat overall, the Growth Stock fund attracted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 billion of net inflows during the first quarter of 2008. Lower market valuations, net of the funds’ income, decreased our assets under management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$19.2 billion. During the 2008 quarter, net fund inflows of $2.8 billion originated in our target-date Retirement Funds, which in turn invest in other T. Rowe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Investment advisory revenues earned on the other investment portfolios that we manage increased $17.3 million, or 14.5%, to $136.5 million. Average assets in these portfolios were $147.7 billion during the first quarter of 2008, up $17.7 billion or nearly 14% from the first quarter of 2007. Lower market valuations also negatively impacted these portfolios during the first quarter of 2008, decreasing them by $11.9 billion. Net inflows of $6.0 billion from U.S. and international institutional investors and third-party financial intermediaries only partially offset the market losses.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Administrative fees increased $5.7 million to $88.8 million. The change in these revenues includes $.7 million from 12b-1 distribution fees recognized on greater assets under management in the Advisor and R classes of our sponsored mutual fund shares. The balance of the increase is primarily attributable to our mutual fund servicing activities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Our largest expense, compensation and related costs, increased $23.2 million, or nearly 13% versus the first quarter of 2007. This increase includes</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$10.1 million in salaries resulting from a 9.8% increase in our average staff count and an increase of our associates’ base salaries at the beginning of the year. At March 31, 2008, we employed 5,203 associates, up 2.4% from the end of 2007, primarily to handle increased volume-related activities and other growth. The increased compensation costs also include a $6.7 million increase in our annual bonus accrual, which is based on our operating results and considers our relative and risk-adjusted investment performance, our growth in assets under management and net investor inflows, and the high quality of our investor services. Lastly, the first quarter 2008 costs also include $6.4 million for higher employee benefits and employment expenses, including an increase of $1.6 million in non-cash stock-based compensation.</w:t>
      </w:r>
    </w:p>
    <w:p>
      <w:pPr>
        <w:spacing w:after="0" w:line="86"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Advertising and promotion expenditures increased $4.7 million compared to the first quarter of 2007 and only $.7 million from the fourth quarter of last year. Uncertain market conditions have caused us to decrease our planned spending in this area. We now expect spending on advertising and promotion will be up about 5% in the second quarter from the comparable 2007 quarter and about 7% for the full year versus 2007. We vary our level of spending based on market conditions and investor demand as well as our efforts to expand our investor base in the United States and abroad.</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$5.0 million. We are expanding and renovating our facilities to accommodate additional associates to meet greater business demands.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operating expenses were up $6.6 million, or 17%, including $.7 million of higher distribution expenses recognized on greater assets under management sourced from financial intermediaries that distribute our Advisor and R classes of mutual fund shares. These distribution costs are offset by the equal increase in our administrative revenues recognized from the 12b-1 fees discussed above. Additionally, consulting and professional fees, travel, information services, and other costs have risen to meet increased business demands.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300"/>
        <w:spacing w:after="0" w:line="264"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increased $2.5 million. A $3.6 million decrease in interest income due to smaller cash positions and lower interest rates was more than offset by gains from other investments and foreign currency exchange rate fluctuations.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2008 provision for income taxes as a percentage of pretax income has been recognized at a rate of 38.0%, up from 37.7% for the year 2007.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currently estimate that our effective tax rate will be about 38.2% for the year 2008 reflecting changes in state income tax rates and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activities during the first quarter of 2008 provided cash flows of $258.6 million, up $16.9 million from the 2007 period, including increased net income of $8.6 million and non-cash depreciation, amortization and stock-based compensation expense of $3.0 million. Increased timing differences in the cash settlements of our assets and liabilities added $5.3 million. Our interim operating cash outflows do not include bonus compensation that is accrued throughout the year before being substantially paid out in December of each year.</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cash used in investing activities totaled $34.1 million, down $26.7 million from the 2007 period. In the first quarter of 2007, we invested $27.3 million more in our sponsored mutual funds. Over the course of 2006 and 2007, we increased our fund holdings from our available cash balances by investing more than $457 million into our portfolio of mutual fund investments.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financing activities was $399.4 million in the first quarter of 2008, up $356.6 million from the 2007 period. We increased our expenditures for common stock repurchases by $271.7 million as the repurchase program begun in the first quarter of 2007 has continued into 2008. Our cash outflows for dividends paid increased $81.0 million. During the first quarter of 2008, we changed our policy regarding the timing of dividend payments such that our quarterly dividends are now declared and paid in the same quarter. As such, our first quarter 2008 includes both the payout of the fourth quarter 2007 and first quarter 2008 dividends. Additionally, we increased the quarterly dividend payment from $.17 per share made in each of the four 2007 quarters to $.24 per share beginning with the payment made in January 2008.</w:t>
      </w:r>
    </w:p>
    <w:p>
      <w:pPr>
        <w:spacing w:after="0" w:line="8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cash and cash equivalents, investments in sponsored mutual funds, and other investments in U.S. Treasury notes total $1.4 billion at March 31, 2008. Given the availability of these balances, we have not had any available external source of liquidity since the second quarter of 2006 when we voluntarily terminated our $300 million bank-syndicated credit facility.</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lowered our anticipated property and equipment expenditures for the year 2008, including those for the build-out of an expansion of our operating facilities, to about $180 million. We expect to fund these capital expenditures from our cash balances.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NEWLY ADOPTED ACCOUNTING STANDARD.</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See Note 3 to our unaudited condensed consolidated financial statements in Part I of this Form 10-Q report for disclosures made in conjunction with our adoption of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during the first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2007.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2008. Based on that evaluation, our principal executive and principal financial officers have concluded that our disclosure controls and procedures as of March 31, 2008,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2008, and has concluded that there was no change during the first quarter of 2008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Following years of procedural litigation in State and Federal courts, the case was remanded to the State Court and, in February 2008, resolved and dismissed with prejudice without a material adverse effect on our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Repurchase activity during the first quarter of 2008 conducted pursuant to the Board of Directors’ authorization of February 15, 2007,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700"/>
              <w:spacing w:after="0"/>
              <w:rPr>
                <w:sz w:val="20"/>
                <w:szCs w:val="20"/>
                <w:color w:val="auto"/>
              </w:rPr>
            </w:pPr>
            <w:r>
              <w:rPr>
                <w:rFonts w:ascii="Arial" w:cs="Arial" w:eastAsia="Arial" w:hAnsi="Arial"/>
                <w:sz w:val="14"/>
                <w:szCs w:val="14"/>
                <w:color w:val="auto"/>
                <w:w w:val="91"/>
              </w:rPr>
              <w:t>Average</w:t>
            </w: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Price</w:t>
            </w: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6"/>
              </w:rPr>
              <w:t>Shares Purchased as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Total Number of</w:t>
            </w:r>
          </w:p>
        </w:tc>
        <w:tc>
          <w:tcPr>
            <w:tcW w:w="8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Paid per</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20" w:type="dxa"/>
            <w:vAlign w:val="bottom"/>
          </w:tcPr>
          <w:p>
            <w:pPr>
              <w:spacing w:after="0"/>
              <w:rPr>
                <w:sz w:val="14"/>
                <w:szCs w:val="14"/>
                <w:color w:val="auto"/>
              </w:rPr>
            </w:pPr>
          </w:p>
        </w:tc>
        <w:tc>
          <w:tcPr>
            <w:tcW w:w="5060" w:type="dxa"/>
            <w:vAlign w:val="bottom"/>
          </w:tcPr>
          <w:p>
            <w:pPr>
              <w:ind w:left="2320"/>
              <w:spacing w:after="0"/>
              <w:rPr>
                <w:sz w:val="20"/>
                <w:szCs w:val="20"/>
                <w:color w:val="auto"/>
              </w:rPr>
            </w:pPr>
            <w:r>
              <w:rPr>
                <w:rFonts w:ascii="Arial" w:cs="Arial" w:eastAsia="Arial" w:hAnsi="Arial"/>
                <w:sz w:val="14"/>
                <w:szCs w:val="14"/>
                <w:color w:val="auto"/>
              </w:rPr>
              <w:t>Month</w:t>
            </w:r>
          </w:p>
        </w:tc>
        <w:tc>
          <w:tcPr>
            <w:tcW w:w="2080" w:type="dxa"/>
            <w:vAlign w:val="bottom"/>
            <w:gridSpan w:val="3"/>
          </w:tcPr>
          <w:p>
            <w:pPr>
              <w:jc w:val="center"/>
              <w:ind w:right="120"/>
              <w:spacing w:after="0"/>
              <w:rPr>
                <w:sz w:val="20"/>
                <w:szCs w:val="20"/>
                <w:color w:val="auto"/>
              </w:rPr>
            </w:pPr>
            <w:r>
              <w:rPr>
                <w:rFonts w:ascii="Arial" w:cs="Arial" w:eastAsia="Arial" w:hAnsi="Arial"/>
                <w:sz w:val="14"/>
                <w:szCs w:val="14"/>
                <w:color w:val="auto"/>
                <w:w w:val="86"/>
              </w:rPr>
              <w:t>Shares Purchased</w:t>
            </w:r>
          </w:p>
        </w:tc>
        <w:tc>
          <w:tcPr>
            <w:tcW w:w="80" w:type="dxa"/>
            <w:vAlign w:val="bottom"/>
          </w:tcPr>
          <w:p>
            <w:pPr>
              <w:spacing w:after="0"/>
              <w:rPr>
                <w:sz w:val="14"/>
                <w:szCs w:val="14"/>
                <w:color w:val="auto"/>
              </w:rPr>
            </w:pPr>
          </w:p>
        </w:tc>
        <w:tc>
          <w:tcPr>
            <w:tcW w:w="1180" w:type="dxa"/>
            <w:vAlign w:val="bottom"/>
            <w:gridSpan w:val="2"/>
          </w:tcPr>
          <w:p>
            <w:pPr>
              <w:jc w:val="center"/>
              <w:ind w:right="700"/>
              <w:spacing w:after="0"/>
              <w:rPr>
                <w:sz w:val="20"/>
                <w:szCs w:val="20"/>
                <w:color w:val="auto"/>
              </w:rPr>
            </w:pPr>
            <w:r>
              <w:rPr>
                <w:rFonts w:ascii="Arial" w:cs="Arial" w:eastAsia="Arial" w:hAnsi="Arial"/>
                <w:sz w:val="14"/>
                <w:szCs w:val="14"/>
                <w:color w:val="auto"/>
                <w:w w:val="85"/>
              </w:rPr>
              <w:t>Share</w:t>
            </w:r>
          </w:p>
        </w:tc>
        <w:tc>
          <w:tcPr>
            <w:tcW w:w="1800" w:type="dxa"/>
            <w:vAlign w:val="bottom"/>
            <w:gridSpan w:val="2"/>
          </w:tcPr>
          <w:p>
            <w:pPr>
              <w:jc w:val="right"/>
              <w:ind w:right="600"/>
              <w:spacing w:after="0"/>
              <w:rPr>
                <w:sz w:val="20"/>
                <w:szCs w:val="20"/>
                <w:color w:val="auto"/>
              </w:rPr>
            </w:pPr>
            <w:r>
              <w:rPr>
                <w:rFonts w:ascii="Arial" w:cs="Arial" w:eastAsia="Arial" w:hAnsi="Arial"/>
                <w:sz w:val="14"/>
                <w:szCs w:val="14"/>
                <w:color w:val="auto"/>
                <w:w w:val="91"/>
              </w:rPr>
              <w:t>Announced Program</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Under the Program</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w:t>
            </w:r>
          </w:p>
        </w:tc>
        <w:tc>
          <w:tcPr>
            <w:tcW w:w="4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1,159,400</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6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1,159,400</w:t>
            </w:r>
          </w:p>
        </w:tc>
        <w:tc>
          <w:tcPr>
            <w:tcW w:w="6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11,468,067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February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3,473,334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49.95</w:t>
            </w:r>
          </w:p>
        </w:tc>
        <w:tc>
          <w:tcPr>
            <w:tcW w:w="1200" w:type="dxa"/>
            <w:vAlign w:val="bottom"/>
          </w:tcPr>
          <w:p>
            <w:pPr>
              <w:jc w:val="right"/>
              <w:spacing w:after="0"/>
              <w:rPr>
                <w:sz w:val="20"/>
                <w:szCs w:val="20"/>
                <w:color w:val="auto"/>
              </w:rPr>
            </w:pPr>
            <w:r>
              <w:rPr>
                <w:rFonts w:ascii="Arial" w:cs="Arial" w:eastAsia="Arial" w:hAnsi="Arial"/>
                <w:sz w:val="18"/>
                <w:szCs w:val="18"/>
                <w:color w:val="auto"/>
              </w:rPr>
              <w:t>3,473,334</w:t>
            </w:r>
          </w:p>
        </w:tc>
        <w:tc>
          <w:tcPr>
            <w:tcW w:w="6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7,994,733</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1,269,068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47.58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1,269,068</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6,725,665</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5,901,802</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6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5,901,802</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annual meeting of our stockholders was held on April 10, 2008. The proxy statement and solicitation pertaining to this meeting were previously filed with the Commission. Shares eligible to vote were 262,591,366 at the record date of February 11, 2008. The nine nominees for the Board of Directors were elected to hold office until the next annual meeting of stockholders and until their respective successors are elected and qualify. The tabulation of votes was: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40" w:type="dxa"/>
            <w:vAlign w:val="bottom"/>
            <w:tcBorders>
              <w:bottom w:val="single" w:sz="8" w:color="auto"/>
            </w:tcBorders>
          </w:tcPr>
          <w:p>
            <w:pPr>
              <w:ind w:left="2700"/>
              <w:spacing w:after="0"/>
              <w:rPr>
                <w:sz w:val="20"/>
                <w:szCs w:val="20"/>
                <w:color w:val="auto"/>
              </w:rPr>
            </w:pPr>
            <w:r>
              <w:rPr>
                <w:rFonts w:ascii="Arial" w:cs="Arial" w:eastAsia="Arial" w:hAnsi="Arial"/>
                <w:sz w:val="14"/>
                <w:szCs w:val="14"/>
                <w:color w:val="auto"/>
              </w:rPr>
              <w:t>Nominee</w:t>
            </w:r>
          </w:p>
        </w:tc>
        <w:tc>
          <w:tcPr>
            <w:tcW w:w="4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Against</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Abstain</w:t>
            </w: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230,474,011</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6,537,820</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2,159,365</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James T. Brady</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233,143,311</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3,634,991</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2,392,895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234,784,839</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2,161,263</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2,225,094</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Donald B. Hebb, Jr.</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228,637,049</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8,239,524</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2,294,622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230,949,351</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6,096,217</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2,125,628</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Brian C. Rogers</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230,511,769</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6,500,717</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2,158,710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Dr. Alfred Sommer</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234,711,790</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2,203,057</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2,256,349</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Dwight S. Taylor</w:t>
            </w:r>
          </w:p>
        </w:tc>
        <w:tc>
          <w:tcPr>
            <w:tcW w:w="194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234,813,290</w:t>
            </w:r>
          </w:p>
        </w:tc>
        <w:tc>
          <w:tcPr>
            <w:tcW w:w="176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2,100,445</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2,257,461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Anne Marie Whittemore</w:t>
            </w:r>
          </w:p>
        </w:tc>
        <w:tc>
          <w:tcPr>
            <w:tcW w:w="1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230,994,308</w:t>
            </w:r>
          </w:p>
        </w:tc>
        <w:tc>
          <w:tcPr>
            <w:tcW w:w="17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5,833,095</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2,343,793</w:t>
            </w: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charter amendment increasing the authorized shares of common stock from 500,000,000 to 750,000,000 was approved by a vote of 227,780,786 for; 9,246,432 against; and 2,143,978 abstentions. The appointment of KPMG LLP as the company’s independent registered public accounting firm for 2008 was ratified by a vote of 233,528,748 for; 3,573,150 against; and 2,069,298 abstentions.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24, 2008, we issued a press release reporting our results of operations for the first quarter of 2008. A copy of that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3(i).1</w:t>
            </w:r>
          </w:p>
        </w:tc>
        <w:tc>
          <w:tcPr>
            <w:tcW w:w="10540" w:type="dxa"/>
            <w:vAlign w:val="bottom"/>
          </w:tcPr>
          <w:p>
            <w:pPr>
              <w:ind w:left="260"/>
              <w:spacing w:after="0"/>
              <w:rPr>
                <w:sz w:val="20"/>
                <w:szCs w:val="20"/>
                <w:color w:val="auto"/>
              </w:rPr>
            </w:pPr>
            <w:r>
              <w:rPr>
                <w:rFonts w:ascii="Arial" w:cs="Arial" w:eastAsia="Arial" w:hAnsi="Arial"/>
                <w:sz w:val="18"/>
                <w:szCs w:val="18"/>
                <w:color w:val="auto"/>
              </w:rPr>
              <w:t>Charter of T. Rowe Price Group, Inc., as Amended by Articles of Amendment dated April 10, 2008.</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3(i).2</w:t>
            </w:r>
          </w:p>
        </w:tc>
        <w:tc>
          <w:tcPr>
            <w:tcW w:w="10540" w:type="dxa"/>
            <w:vAlign w:val="bottom"/>
          </w:tcPr>
          <w:p>
            <w:pPr>
              <w:ind w:left="260"/>
              <w:spacing w:after="0"/>
              <w:rPr>
                <w:sz w:val="20"/>
                <w:szCs w:val="20"/>
                <w:color w:val="auto"/>
              </w:rPr>
            </w:pPr>
            <w:r>
              <w:rPr>
                <w:rFonts w:ascii="Arial" w:cs="Arial" w:eastAsia="Arial" w:hAnsi="Arial"/>
                <w:sz w:val="18"/>
                <w:szCs w:val="18"/>
                <w:color w:val="auto"/>
                <w:w w:val="91"/>
              </w:rPr>
              <w:t>Form of Articles of Amendment to Charter of T. Rowe Price Group, Inc. as submitted to stockholders and approved at their annual meeting on</w:t>
            </w:r>
          </w:p>
        </w:tc>
      </w:tr>
      <w:tr>
        <w:trPr>
          <w:trHeight w:val="230"/>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w w:val="99"/>
              </w:rPr>
              <w:t>April 10, 2008. (Incorporated by reference from Form DEF 14A dated February 29, 2008; Accession No. 0000950133-08-000882.)</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3(ii)</w:t>
            </w:r>
          </w:p>
        </w:tc>
        <w:tc>
          <w:tcPr>
            <w:tcW w:w="10540" w:type="dxa"/>
            <w:vAlign w:val="bottom"/>
          </w:tcPr>
          <w:p>
            <w:pPr>
              <w:ind w:left="260"/>
              <w:spacing w:after="0"/>
              <w:rPr>
                <w:sz w:val="20"/>
                <w:szCs w:val="20"/>
                <w:color w:val="auto"/>
              </w:rPr>
            </w:pPr>
            <w:r>
              <w:rPr>
                <w:rFonts w:ascii="Arial" w:cs="Arial" w:eastAsia="Arial" w:hAnsi="Arial"/>
                <w:sz w:val="18"/>
                <w:szCs w:val="18"/>
                <w:color w:val="auto"/>
                <w:w w:val="92"/>
              </w:rPr>
              <w:t>Amended and Restated By-Laws of T. Rowe Price Group, Inc. as of December 13, 2007. (Incorporated by reference from Form 8-K Current</w:t>
            </w:r>
          </w:p>
        </w:tc>
      </w:tr>
      <w:tr>
        <w:trPr>
          <w:trHeight w:val="230"/>
        </w:trPr>
        <w:tc>
          <w:tcPr>
            <w:tcW w:w="660" w:type="dxa"/>
            <w:vAlign w:val="bottom"/>
          </w:tcPr>
          <w:p>
            <w:pPr>
              <w:spacing w:after="0"/>
              <w:rPr>
                <w:sz w:val="20"/>
                <w:szCs w:val="20"/>
                <w:color w:val="auto"/>
              </w:rPr>
            </w:pPr>
          </w:p>
        </w:tc>
        <w:tc>
          <w:tcPr>
            <w:tcW w:w="10540" w:type="dxa"/>
            <w:vAlign w:val="bottom"/>
          </w:tcPr>
          <w:p>
            <w:pPr>
              <w:ind w:left="260"/>
              <w:spacing w:after="0"/>
              <w:rPr>
                <w:sz w:val="20"/>
                <w:szCs w:val="20"/>
                <w:color w:val="auto"/>
              </w:rPr>
            </w:pPr>
            <w:r>
              <w:rPr>
                <w:rFonts w:ascii="Arial" w:cs="Arial" w:eastAsia="Arial" w:hAnsi="Arial"/>
                <w:sz w:val="18"/>
                <w:szCs w:val="18"/>
                <w:color w:val="auto"/>
              </w:rPr>
              <w:t>Report as of December 13, 2007; Accession No. 0000950133-07-005002.)</w:t>
            </w:r>
          </w:p>
        </w:tc>
      </w:tr>
    </w:tbl>
    <w:p>
      <w:pPr>
        <w:spacing w:after="0" w:line="202"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6"/>
          <w:szCs w:val="16"/>
          <w:color w:val="auto"/>
        </w:rPr>
        <w:t>Rule 13a-14(a) Certification of Principal Executive Officer.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6"/>
          <w:szCs w:val="16"/>
          <w:color w:val="auto"/>
        </w:rPr>
        <w:t>Rule 13a-14(a) Certification of Principal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32</w:t>
            </w:r>
          </w:p>
        </w:tc>
        <w:tc>
          <w:tcPr>
            <w:tcW w:w="7480" w:type="dxa"/>
            <w:vAlign w:val="bottom"/>
          </w:tcPr>
          <w:p>
            <w:pPr>
              <w:ind w:left="36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99</w:t>
            </w:r>
          </w:p>
        </w:tc>
        <w:tc>
          <w:tcPr>
            <w:tcW w:w="7480" w:type="dxa"/>
            <w:vAlign w:val="bottom"/>
          </w:tcPr>
          <w:p>
            <w:pPr>
              <w:ind w:left="360"/>
              <w:spacing w:after="0"/>
              <w:rPr>
                <w:sz w:val="20"/>
                <w:szCs w:val="20"/>
                <w:color w:val="auto"/>
              </w:rPr>
            </w:pPr>
            <w:r>
              <w:rPr>
                <w:rFonts w:ascii="Arial" w:cs="Arial" w:eastAsia="Arial" w:hAnsi="Arial"/>
                <w:sz w:val="18"/>
                <w:szCs w:val="18"/>
                <w:color w:val="auto"/>
                <w:w w:val="90"/>
              </w:rPr>
              <w:t>Press release issued April 24, 2008, reporting our results of operations for the first quarter of 2008.</w:t>
            </w:r>
          </w:p>
        </w:tc>
      </w:tr>
    </w:tbl>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24,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931"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Charter of T. Rowe Price Group,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amended by Articles of Amendment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dated April 10, 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Exhibit 3(i).1</w:t>
      </w:r>
    </w:p>
    <w:p>
      <w:pPr>
        <w:spacing w:after="0" w:line="560" w:lineRule="exact"/>
        <w:rPr>
          <w:sz w:val="20"/>
          <w:szCs w:val="20"/>
          <w:color w:val="auto"/>
        </w:rPr>
      </w:pPr>
    </w:p>
    <w:p>
      <w:pPr>
        <w:sectPr>
          <w:pgSz w:w="11900" w:h="16838" w:orient="portrait"/>
          <w:cols w:equalWidth="0" w:num="2">
            <w:col w:w="9740" w:space="720"/>
            <w:col w:w="960"/>
          </w:cols>
          <w:pgMar w:left="240" w:top="1152" w:right="239" w:bottom="1440" w:gutter="0" w:footer="0" w:header="0"/>
        </w:sectPr>
      </w:pPr>
    </w:p>
    <w:p>
      <w:pPr>
        <w:ind w:right="360" w:firstLine="450"/>
        <w:spacing w:after="0" w:line="277" w:lineRule="auto"/>
        <w:rPr>
          <w:sz w:val="20"/>
          <w:szCs w:val="20"/>
          <w:color w:val="auto"/>
        </w:rPr>
      </w:pPr>
      <w:r>
        <w:rPr>
          <w:rFonts w:ascii="Arial" w:cs="Arial" w:eastAsia="Arial" w:hAnsi="Arial"/>
          <w:sz w:val="18"/>
          <w:szCs w:val="18"/>
          <w:color w:val="auto"/>
        </w:rPr>
        <w:t>FIRST: THE UNDERSIGNED, Robye Shaw Margolius, whose address is 6225 Smith Avenue, Baltimore, Maryland 21209, being at least eighteen years of age, acting as incorporator, does hereby form a corporation under the General Laws of the State of Maryland.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SECOND: The name of the corporation (which is hereinafter called the “Corporation”) is: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 Rowe Price Group, Inc.</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THIRD: (a) The purposes for which and any of which the Corporation is formed and the business and objects to be carried on and promoted by it are:</w:t>
      </w:r>
    </w:p>
    <w:p>
      <w:pPr>
        <w:spacing w:after="0" w:line="129" w:lineRule="exact"/>
        <w:rPr>
          <w:sz w:val="20"/>
          <w:szCs w:val="20"/>
          <w:color w:val="auto"/>
        </w:rPr>
      </w:pPr>
    </w:p>
    <w:p>
      <w:pPr>
        <w:ind w:right="360" w:firstLine="458"/>
        <w:spacing w:after="0" w:line="264" w:lineRule="auto"/>
        <w:tabs>
          <w:tab w:leader="none" w:pos="702"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engage in any one or more businesses or transactions, or to acquire all or any portion of any entity engaged in any one or more businesses or transactions which the Board of Directors may from time to time authorize or approve, whether or not related to the business described elsewhere in this Article or to any other business at the time or theretofore engaged in by the Corporation.</w:t>
      </w:r>
    </w:p>
    <w:p>
      <w:pPr>
        <w:spacing w:after="0" w:line="73"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foregoing enumerated purposes and objects shall be in no way limited or restricted by reference to, or inference from, the terms of any other clause of this or any other Article of the charter of the Corporation, and each shall be regarded as independent; and they are intended to be and shall be construed as powers as well as purposes and objects of the Corporation and shall be in addition to and not in limitation of the general powers of corporations under the General Laws of the State of Maryland.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FOURTH: The present address of the principal office of the Corporation is 100 East Pratt Street, Baltimore, Maryland 21202.</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FIFTH: The name and address of the resident agent of the Corporation in this State are Barbara A. Van Horn, 100 East Pratt Street, Baltimore, Maryland 21202. Said resident agent is a citizen of the State of Maryland who resides there.</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SIXTH: (a) The total number of shares of stock of all classes which the Corporation has authority to issue is 770,000,000 shares of capital stock (par value $.20 per share) amounting in aggregate par value to $154,000,000, of which 750,000,000 shares (par value $.20 per share) amounting in aggregate par value to $150,000,000 are classified as “Common Stock” and 20,000,000 shares (par value $.20 per share) amounting in aggregate par value to $4,000,000 are classified as “Preferred Stock.”</w:t>
      </w:r>
    </w:p>
    <w:p>
      <w:pPr>
        <w:spacing w:after="0" w:line="79" w:lineRule="exact"/>
        <w:rPr>
          <w:sz w:val="20"/>
          <w:szCs w:val="20"/>
          <w:color w:val="auto"/>
        </w:rPr>
      </w:pPr>
    </w:p>
    <w:p>
      <w:pPr>
        <w:ind w:right="20" w:firstLine="233"/>
        <w:spacing w:after="0" w:line="277" w:lineRule="auto"/>
        <w:tabs>
          <w:tab w:leader="none" w:pos="4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is a description of the preferences, conversion and other rights, voting powers, restrictions, limitations as to dividends, qualifications and terms and conditions of redemption of the Common Stock and the Preferred Stock of the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Common Stock shall not be subject to classification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type w:val="continuous"/>
        </w:sectPr>
      </w:pPr>
    </w:p>
    <w:bookmarkStart w:id="17" w:name="page18"/>
    <w:bookmarkEnd w:id="17"/>
    <w:p>
      <w:pPr>
        <w:ind w:right="140"/>
        <w:spacing w:after="0" w:line="277" w:lineRule="auto"/>
        <w:rPr>
          <w:sz w:val="20"/>
          <w:szCs w:val="20"/>
          <w:color w:val="auto"/>
        </w:rPr>
      </w:pPr>
      <w:r>
        <w:rPr>
          <w:rFonts w:ascii="Arial" w:cs="Arial" w:eastAsia="Arial" w:hAnsi="Arial"/>
          <w:sz w:val="18"/>
          <w:szCs w:val="18"/>
          <w:color w:val="auto"/>
        </w:rPr>
        <w:t>reclassification by the Board of Directors, and shall have the rights and terms hereinafter specified, subject to the terms of any other stock provided in the charter pursuant to classification or reclassification by the Board of Directors or otherwise in accordance with law.</w:t>
      </w:r>
    </w:p>
    <w:p>
      <w:pPr>
        <w:spacing w:after="0" w:line="62" w:lineRule="exact"/>
        <w:rPr>
          <w:sz w:val="20"/>
          <w:szCs w:val="20"/>
          <w:color w:val="auto"/>
        </w:rPr>
      </w:pPr>
    </w:p>
    <w:p>
      <w:pPr>
        <w:ind w:right="140" w:firstLine="4"/>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provisions of Article EIGHTH, Section (3) of the charter of the Corporation, each share of Common Stock shall have one vote, and, except as otherwise provided in respect of any Preferred Stock, the exclusive voting power for all purposes shall be vested in the holders of the Common Stock.</w:t>
      </w:r>
    </w:p>
    <w:p>
      <w:pPr>
        <w:spacing w:after="0" w:line="73" w:lineRule="exact"/>
        <w:rPr>
          <w:rFonts w:ascii="Arial" w:cs="Arial" w:eastAsia="Arial" w:hAnsi="Arial"/>
          <w:sz w:val="18"/>
          <w:szCs w:val="18"/>
          <w:color w:val="auto"/>
        </w:rPr>
      </w:pPr>
    </w:p>
    <w:p>
      <w:pPr>
        <w:ind w:right="20" w:firstLine="4"/>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provisions of law and any preferences of any Preferred Stock, dividends, including dividends payable in shares of another class of the Corporation’s stock, may be paid on the Common Stock of the Corporation at such time and in such amounts as the Board of Directors may deem advisable.</w:t>
      </w:r>
    </w:p>
    <w:p>
      <w:pPr>
        <w:spacing w:after="0" w:line="73" w:lineRule="exact"/>
        <w:rPr>
          <w:rFonts w:ascii="Arial" w:cs="Arial" w:eastAsia="Arial" w:hAnsi="Arial"/>
          <w:sz w:val="18"/>
          <w:szCs w:val="18"/>
          <w:color w:val="auto"/>
        </w:rPr>
      </w:pPr>
    </w:p>
    <w:p>
      <w:pPr>
        <w:ind w:right="20" w:firstLine="4"/>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of the Corporation, whether voluntary or involuntary, the holders of the Common Stock shall be entitled, after payment or provision for payment of the debts and other liabilities of the Corporation and the amount to which the holders of any Preferred Stock shall be entitled, to share ratably in the remaining net assets of the Corporation.</w:t>
      </w:r>
    </w:p>
    <w:p>
      <w:pPr>
        <w:spacing w:after="0" w:line="28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PREFERRED STOCK</w:t>
      </w:r>
    </w:p>
    <w:p>
      <w:pPr>
        <w:spacing w:after="0" w:line="117" w:lineRule="exact"/>
        <w:rPr>
          <w:sz w:val="20"/>
          <w:szCs w:val="20"/>
          <w:color w:val="auto"/>
        </w:rPr>
      </w:pPr>
    </w:p>
    <w:p>
      <w:pPr>
        <w:ind w:firstLine="4"/>
        <w:spacing w:after="0" w:line="253" w:lineRule="auto"/>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of Directors shall have authority to classify and reclassify any unissued shares of Preferred Stock by fixing or altering in any one or more respects from time to time before issuance the preferences, conversion or other rights, voting powers, restrictions, limitations as to dividends, qualifications or terms or conditions of redemption of such shares of stock; provided, that the Board of Directors shall not classify or reclassify any of such shares into shares of the Common Stock, or into any class or series of stock (i) which is not prior to the Common Stock either as to dividends or upon liquidation and (ii) which is not limited in some respect either as to dividends or upon liquidation. Subject to the foregoing, the power of the Board of Directors to classify and reclassify any of the shares of Preferred Stock shall include, without limitation, subject to the provisions of the charter, authority to classify or reclassify any unissued shares of such stock into a class or classes of preferred stock, preference stock, special stock or other stock, and to divide and classify shares of any class into one or more series of such class, by determining, fixing, or altering one or more of the following:</w:t>
      </w:r>
    </w:p>
    <w:p>
      <w:pPr>
        <w:spacing w:after="0" w:line="89" w:lineRule="exact"/>
        <w:rPr>
          <w:rFonts w:ascii="Arial" w:cs="Arial" w:eastAsia="Arial" w:hAnsi="Arial"/>
          <w:sz w:val="18"/>
          <w:szCs w:val="18"/>
          <w:color w:val="auto"/>
        </w:rPr>
      </w:pPr>
    </w:p>
    <w:p>
      <w:pPr>
        <w:ind w:left="240" w:right="120" w:hanging="7"/>
        <w:spacing w:after="0" w:line="279" w:lineRule="auto"/>
        <w:tabs>
          <w:tab w:leader="none" w:pos="482"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distinctive designation of such class or series and the number of shares to constitute such class or series; provided that, unless otherwise prohibited by the terms of such or any other class or series, the number of shares of any class or series may be decreased by the Board of Directors in connection with any classification or reclassification of unissued shares and the number of shares of such class or series may be increased by the Board of Directors in connection with any such classification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373380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8" w:name="page19"/>
    <w:bookmarkEnd w:id="18"/>
    <w:p>
      <w:pPr>
        <w:ind w:left="7" w:right="80"/>
        <w:spacing w:after="0" w:line="342" w:lineRule="auto"/>
        <w:rPr>
          <w:sz w:val="20"/>
          <w:szCs w:val="20"/>
          <w:color w:val="auto"/>
        </w:rPr>
      </w:pPr>
      <w:r>
        <w:rPr>
          <w:rFonts w:ascii="Arial" w:cs="Arial" w:eastAsia="Arial" w:hAnsi="Arial"/>
          <w:sz w:val="16"/>
          <w:szCs w:val="16"/>
          <w:color w:val="auto"/>
        </w:rPr>
        <w:t>and any shares of any class or series which have been redeemed, purchased, otherwise acquired or converted into shares of Common Stock or any other class or series shall become part of the authorized capital stock and be subject to classification and reclassification as provided in this Section.</w:t>
      </w:r>
    </w:p>
    <w:p>
      <w:pPr>
        <w:spacing w:after="0" w:line="16" w:lineRule="exact"/>
        <w:rPr>
          <w:sz w:val="20"/>
          <w:szCs w:val="20"/>
          <w:color w:val="auto"/>
        </w:rPr>
      </w:pPr>
    </w:p>
    <w:p>
      <w:pPr>
        <w:ind w:left="7" w:right="220" w:hanging="7"/>
        <w:spacing w:after="0" w:line="259"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and, if so, the rates, amounts and times at which, and the conditions under which, dividends shall be payable on shares of such class or series, whether any such dividends shall rank senior or junior to or on a parity with the dividends payable on any other class or series of Preferred Stock, and the status of any such dividends as cumulative, cumulative to a limited extent or non-cumulative and as participating or non-participating.</w:t>
      </w:r>
    </w:p>
    <w:p>
      <w:pPr>
        <w:spacing w:after="0" w:line="78" w:lineRule="exact"/>
        <w:rPr>
          <w:rFonts w:ascii="Arial" w:cs="Arial" w:eastAsia="Arial" w:hAnsi="Arial"/>
          <w:sz w:val="18"/>
          <w:szCs w:val="18"/>
          <w:color w:val="auto"/>
        </w:rPr>
      </w:pPr>
    </w:p>
    <w:p>
      <w:pPr>
        <w:ind w:left="7" w:right="340" w:hanging="7"/>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shares of such class or series shall have voting rights, in addition to any voting rights provided by law and, if so, the terms of such voting rights.</w:t>
      </w:r>
    </w:p>
    <w:p>
      <w:pPr>
        <w:spacing w:after="0" w:line="62" w:lineRule="exact"/>
        <w:rPr>
          <w:rFonts w:ascii="Arial" w:cs="Arial" w:eastAsia="Arial" w:hAnsi="Arial"/>
          <w:sz w:val="18"/>
          <w:szCs w:val="18"/>
          <w:color w:val="auto"/>
        </w:rPr>
      </w:pPr>
    </w:p>
    <w:p>
      <w:pPr>
        <w:ind w:left="7" w:right="80" w:hanging="7"/>
        <w:spacing w:after="0" w:line="342"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Whether or not shares of such class or series shall have conversion or exchange privileges and, if so, the terms and conditions thereof, including provision for adjustment of the conversion or exchange rate in such events or at such times as the Board of Directors shall determine.</w:t>
      </w:r>
    </w:p>
    <w:p>
      <w:pPr>
        <w:spacing w:after="0" w:line="15" w:lineRule="exact"/>
        <w:rPr>
          <w:rFonts w:ascii="Arial" w:cs="Arial" w:eastAsia="Arial" w:hAnsi="Arial"/>
          <w:sz w:val="16"/>
          <w:szCs w:val="16"/>
          <w:color w:val="auto"/>
        </w:rPr>
      </w:pPr>
    </w:p>
    <w:p>
      <w:pPr>
        <w:ind w:left="7" w:right="20" w:hanging="7"/>
        <w:spacing w:after="0" w:line="259"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shares of such class or series shall be subject to redemption and, if so, the terms and conditions of such redemption, including the date or dates upon or after which they shall be redeemable and the amount per share payable in case of redemption, which amount may vary under different conditions and at different redemption dates; and whether or not there shall be any sinking fund or purchase account in respect thereof, and if so, the terms thereof.</w:t>
      </w:r>
    </w:p>
    <w:p>
      <w:pPr>
        <w:spacing w:after="0" w:line="78" w:lineRule="exact"/>
        <w:rPr>
          <w:rFonts w:ascii="Arial" w:cs="Arial" w:eastAsia="Arial" w:hAnsi="Arial"/>
          <w:sz w:val="18"/>
          <w:szCs w:val="18"/>
          <w:color w:val="auto"/>
        </w:rPr>
      </w:pPr>
    </w:p>
    <w:p>
      <w:pPr>
        <w:ind w:left="7" w:hanging="7"/>
        <w:spacing w:after="0" w:line="259" w:lineRule="auto"/>
        <w:tabs>
          <w:tab w:leader="none" w:pos="22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of the holders of shares of such class or series upon the liquidation, dissolution or winding up of the affairs of, or upon any distribution of the assets of, the Corporation, which rights may vary depending upon whether such liquidation, dissolution or winding up is voluntary or involuntary and, if voluntary, may vary at different dates, and whether such rights shall rank senior or junior to or on a parity with such rights of any other class or series of stock.</w:t>
      </w:r>
    </w:p>
    <w:p>
      <w:pPr>
        <w:spacing w:after="0" w:line="78" w:lineRule="exact"/>
        <w:rPr>
          <w:rFonts w:ascii="Arial" w:cs="Arial" w:eastAsia="Arial" w:hAnsi="Arial"/>
          <w:sz w:val="18"/>
          <w:szCs w:val="18"/>
          <w:color w:val="auto"/>
        </w:rPr>
      </w:pPr>
    </w:p>
    <w:p>
      <w:pPr>
        <w:ind w:left="7" w:right="200" w:hanging="7"/>
        <w:spacing w:after="0" w:line="286"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or not there shall be any limitations applicable, while shares of such class or series are outstanding, upon the payment of dividends or making of distributions on, or the acquisition of, or the use of moneys for purchase or redemption of, any stock of the Corporation, or upon any other action of the Corporation, including action under this Section, and, if so, the terms and conditions thereof.</w:t>
      </w:r>
    </w:p>
    <w:p>
      <w:pPr>
        <w:spacing w:after="0" w:line="57" w:lineRule="exact"/>
        <w:rPr>
          <w:rFonts w:ascii="Arial" w:cs="Arial" w:eastAsia="Arial" w:hAnsi="Arial"/>
          <w:sz w:val="17"/>
          <w:szCs w:val="17"/>
          <w:color w:val="auto"/>
        </w:rPr>
      </w:pPr>
    </w:p>
    <w:p>
      <w:pPr>
        <w:ind w:left="7" w:right="600" w:hanging="7"/>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preferences, rights, restrictions, including restrictions on transferability, and qualifications of shares of such class or series, not inconsistent with law and the charter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372745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7"/>
          </w:cols>
          <w:pgMar w:left="933" w:top="935" w:right="259" w:bottom="1440" w:gutter="0" w:footer="0" w:header="0"/>
        </w:sectPr>
      </w:pPr>
    </w:p>
    <w:bookmarkStart w:id="19" w:name="page20"/>
    <w:bookmarkEnd w:id="19"/>
    <w:p>
      <w:pPr>
        <w:ind w:left="460" w:right="20" w:firstLine="4"/>
        <w:spacing w:after="0" w:line="264" w:lineRule="auto"/>
        <w:tabs>
          <w:tab w:leader="none" w:pos="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purposes hereof and of any articles supplementary to the charter providing for the classification or reclassification of any shares of Preferred Stock or of any other charter document of the Corporation (unless otherwise provided in any such articles or document), any class or series of stock of the Corporation shall be deemed to rank:</w:t>
      </w:r>
    </w:p>
    <w:p>
      <w:pPr>
        <w:spacing w:after="0" w:line="73" w:lineRule="exact"/>
        <w:rPr>
          <w:rFonts w:ascii="Arial" w:cs="Arial" w:eastAsia="Arial" w:hAnsi="Arial"/>
          <w:sz w:val="18"/>
          <w:szCs w:val="18"/>
          <w:color w:val="auto"/>
        </w:rPr>
      </w:pPr>
    </w:p>
    <w:p>
      <w:pPr>
        <w:ind w:left="700" w:right="40" w:hanging="7"/>
        <w:spacing w:after="0" w:line="264" w:lineRule="auto"/>
        <w:tabs>
          <w:tab w:leader="none" w:pos="945"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prior to another class or series either as to dividends or upon liquidation, if the holders of such class or series shall be entitled to the receipt of dividends or of amounts distributable on liquidation, dissolution or winding up, as the case may be, in preference or priority to holders of such other class or series;</w:t>
      </w:r>
    </w:p>
    <w:p>
      <w:pPr>
        <w:spacing w:after="0" w:line="73" w:lineRule="exact"/>
        <w:rPr>
          <w:rFonts w:ascii="Arial" w:cs="Arial" w:eastAsia="Arial" w:hAnsi="Arial"/>
          <w:sz w:val="18"/>
          <w:szCs w:val="18"/>
          <w:color w:val="auto"/>
        </w:rPr>
      </w:pPr>
    </w:p>
    <w:p>
      <w:pPr>
        <w:ind w:left="700" w:hanging="7"/>
        <w:spacing w:after="0" w:line="302" w:lineRule="auto"/>
        <w:tabs>
          <w:tab w:leader="none" w:pos="955" w:val="left"/>
        </w:tabs>
        <w:numPr>
          <w:ilvl w:val="1"/>
          <w:numId w:val="8"/>
        </w:numPr>
        <w:rPr>
          <w:rFonts w:ascii="Arial" w:cs="Arial" w:eastAsia="Arial" w:hAnsi="Arial"/>
          <w:sz w:val="16"/>
          <w:szCs w:val="16"/>
          <w:color w:val="auto"/>
        </w:rPr>
      </w:pPr>
      <w:r>
        <w:rPr>
          <w:rFonts w:ascii="Arial" w:cs="Arial" w:eastAsia="Arial" w:hAnsi="Arial"/>
          <w:sz w:val="16"/>
          <w:szCs w:val="16"/>
          <w:color w:val="auto"/>
        </w:rPr>
        <w:t>on a parity with another class or series either as to dividends or upon liquidation, whether or not the dividend rates, dividend payment dates or redemption or liquidation price per share thereof be different from those of such others, if the holders of such class or series of stock shall be entitled to receipt of dividends or amounts distributable upon liquidation, dissolution or winding up, as the case may be, in proportion to their respective dividend rates or redemption or liquidation prices, without preference or priority over the holders of such other class or series; and</w:t>
      </w:r>
    </w:p>
    <w:p>
      <w:pPr>
        <w:spacing w:after="0" w:line="46" w:lineRule="exact"/>
        <w:rPr>
          <w:rFonts w:ascii="Arial" w:cs="Arial" w:eastAsia="Arial" w:hAnsi="Arial"/>
          <w:sz w:val="16"/>
          <w:szCs w:val="16"/>
          <w:color w:val="auto"/>
        </w:rPr>
      </w:pPr>
    </w:p>
    <w:p>
      <w:pPr>
        <w:ind w:left="700" w:right="300" w:hanging="7"/>
        <w:spacing w:after="0" w:line="264" w:lineRule="auto"/>
        <w:tabs>
          <w:tab w:leader="none" w:pos="945" w:val="left"/>
        </w:tabs>
        <w:numPr>
          <w:ilvl w:val="1"/>
          <w:numId w:val="8"/>
        </w:numPr>
        <w:rPr>
          <w:rFonts w:ascii="Arial" w:cs="Arial" w:eastAsia="Arial" w:hAnsi="Arial"/>
          <w:sz w:val="18"/>
          <w:szCs w:val="18"/>
          <w:color w:val="auto"/>
        </w:rPr>
      </w:pPr>
      <w:r>
        <w:rPr>
          <w:rFonts w:ascii="Arial" w:cs="Arial" w:eastAsia="Arial" w:hAnsi="Arial"/>
          <w:sz w:val="18"/>
          <w:szCs w:val="18"/>
          <w:color w:val="auto"/>
        </w:rPr>
        <w:t>junior to another class or series either as to dividends or upon liquidation, if the rights of the holders of such class or series shall be subject or subordinate to the rights of the holders of such other class or series in respect of the receipt of dividends or the amounts distributable upon liquidation, dissolution or winding up, as the case may be.</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SEVENTH: The number of directors of the Corporation shall be 15, which number may be increased or decreased pursuant to the By-Laws of the Corporation, but shall never be less than the minimum number permitted by the General Laws of the State of Maryland now or hereafter in force. The names of the directors who will serve until the first annual meeting of stockholders of the Corporation and until their successors are elected and qualify are as follows:</w:t>
      </w:r>
    </w:p>
    <w:p>
      <w:pPr>
        <w:spacing w:after="0" w:line="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Edward C. Bernard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James E. Halbkat, Jr.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Donald B. Hebb, Jr.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Henry H. Hopkins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James A.C. Kennedy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John H. Laporte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Richard L. Menschel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William T. Reynolds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James S. Riepe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George A. Roche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Brian C. Rogers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Robert L. Strickland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 David Testa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Martin G. Wade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Anne Marie Whittemore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EIGHTH: The following provisions are hereby adopted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defining, limiting, and regulating the powers of the Corporation and of the directors and stockholders:</w:t>
      </w:r>
    </w:p>
    <w:p>
      <w:pPr>
        <w:spacing w:after="0" w:line="117" w:lineRule="exact"/>
        <w:rPr>
          <w:sz w:val="20"/>
          <w:szCs w:val="20"/>
          <w:color w:val="auto"/>
        </w:rPr>
      </w:pPr>
    </w:p>
    <w:p>
      <w:pPr>
        <w:ind w:right="180" w:firstLine="233"/>
        <w:spacing w:after="0" w:line="264"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is hereby empowered to authorize the issuance from time to time of shares of its stock of any class, whether now or hereafter authorized, or securities convertible into shares of its stock of any class or classes, whether now or hereafter authorized, for such consideration as may be deemed advisable by the Board of Directors and without any action by the stockholders.</w:t>
      </w:r>
    </w:p>
    <w:p>
      <w:pPr>
        <w:spacing w:after="0" w:line="73" w:lineRule="exact"/>
        <w:rPr>
          <w:rFonts w:ascii="Arial" w:cs="Arial" w:eastAsia="Arial" w:hAnsi="Arial"/>
          <w:sz w:val="18"/>
          <w:szCs w:val="18"/>
          <w:color w:val="auto"/>
        </w:rPr>
      </w:pPr>
    </w:p>
    <w:p>
      <w:pPr>
        <w:ind w:firstLine="233"/>
        <w:spacing w:after="0" w:line="255"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holder of any stock or any other securities of the Corporation, whether now or hereafter authorized, shall have any preemptive right to subscribe for or purchase any stock or any other securities of the Corporation other than such, if any, as the Board of Directors, in its sole discretion, may determine and at such price or prices and upon such other terms as the Board of Directors, in its sole discretion, may fix; and any stock or other securities which the Board of Directors may determine to offer for subscription may, as the Board of Directors in its sole discretion shall determine, be offered to the holders of any class, series or type of stock or other securities at the time outstanding to the exclusion of the holders of any or all other classes, series, or types of stock or other securities at the time outstanding.</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(3)(a) For purposes of this Paragraph (3), the following words have the meanings indicated:</w:t>
      </w:r>
    </w:p>
    <w:p>
      <w:pPr>
        <w:spacing w:after="0" w:line="117" w:lineRule="exact"/>
        <w:rPr>
          <w:sz w:val="20"/>
          <w:szCs w:val="20"/>
          <w:color w:val="auto"/>
        </w:rPr>
      </w:pPr>
    </w:p>
    <w:p>
      <w:pPr>
        <w:ind w:left="460" w:right="400" w:firstLine="4"/>
        <w:spacing w:after="0" w:line="277" w:lineRule="auto"/>
        <w:tabs>
          <w:tab w:leader="none" w:pos="6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“Affiliate”, including the term “affiliated person”, means a person that directly, or indirectly through one or more intermediaries, controls, or is controlled by, or is under common control with, a specified person.</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“Associate”, when used to indicate a relationship with any person, means:</w:t>
      </w:r>
    </w:p>
    <w:p>
      <w:pPr>
        <w:spacing w:after="0" w:line="117" w:lineRule="exact"/>
        <w:rPr>
          <w:rFonts w:ascii="Arial" w:cs="Arial" w:eastAsia="Arial" w:hAnsi="Arial"/>
          <w:sz w:val="18"/>
          <w:szCs w:val="18"/>
          <w:color w:val="auto"/>
        </w:rPr>
      </w:pPr>
    </w:p>
    <w:p>
      <w:pPr>
        <w:ind w:left="700" w:right="200" w:hanging="7"/>
        <w:spacing w:after="0" w:line="277" w:lineRule="auto"/>
        <w:tabs>
          <w:tab w:leader="none" w:pos="98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corporation or organization, other than the Corporation or a subsidiary of the Corporation, of which such person is an officer, director, or partner or is, directly or indirectly, the beneficial owner of 10% or more of any class of equity securities;</w:t>
      </w:r>
    </w:p>
    <w:p>
      <w:pPr>
        <w:spacing w:after="0" w:line="62" w:lineRule="exact"/>
        <w:rPr>
          <w:rFonts w:ascii="Arial" w:cs="Arial" w:eastAsia="Arial" w:hAnsi="Arial"/>
          <w:sz w:val="18"/>
          <w:szCs w:val="18"/>
          <w:color w:val="auto"/>
        </w:rPr>
      </w:pPr>
    </w:p>
    <w:p>
      <w:pPr>
        <w:ind w:left="700" w:right="320" w:hanging="7"/>
        <w:spacing w:after="0" w:line="277" w:lineRule="auto"/>
        <w:tabs>
          <w:tab w:leader="none" w:pos="9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trust or other estate in which such person has a substantial beneficial interest or as to which such person serves as trustee or in a similar fiduciary capacity;</w:t>
      </w:r>
    </w:p>
    <w:p>
      <w:pPr>
        <w:spacing w:after="0" w:line="62" w:lineRule="exact"/>
        <w:rPr>
          <w:rFonts w:ascii="Arial" w:cs="Arial" w:eastAsia="Arial" w:hAnsi="Arial"/>
          <w:sz w:val="18"/>
          <w:szCs w:val="18"/>
          <w:color w:val="auto"/>
        </w:rPr>
      </w:pPr>
    </w:p>
    <w:p>
      <w:pPr>
        <w:ind w:left="960" w:hanging="267"/>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relative or spouse of such person, or any relative of such spouse, who has the same home as such person; and</w:t>
      </w:r>
    </w:p>
    <w:p>
      <w:pPr>
        <w:spacing w:after="0" w:line="117" w:lineRule="exact"/>
        <w:rPr>
          <w:rFonts w:ascii="Arial" w:cs="Arial" w:eastAsia="Arial" w:hAnsi="Arial"/>
          <w:sz w:val="18"/>
          <w:szCs w:val="18"/>
          <w:color w:val="auto"/>
        </w:rPr>
      </w:pPr>
    </w:p>
    <w:p>
      <w:pPr>
        <w:ind w:left="980" w:hanging="287"/>
        <w:spacing w:after="0"/>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relative or spouse of such person, or any relative of such spouse who is a director or officer of the Corporation or any of its affiliates.</w:t>
      </w:r>
    </w:p>
    <w:p>
      <w:pPr>
        <w:spacing w:after="0" w:line="128" w:lineRule="exact"/>
        <w:rPr>
          <w:rFonts w:ascii="Arial" w:cs="Arial" w:eastAsia="Arial" w:hAnsi="Arial"/>
          <w:sz w:val="17"/>
          <w:szCs w:val="17"/>
          <w:color w:val="auto"/>
        </w:rPr>
      </w:pPr>
    </w:p>
    <w:p>
      <w:pPr>
        <w:ind w:left="780" w:hanging="31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“Beneficial Owner”, when used with respect to any Voting Stock, means a person:</w:t>
      </w:r>
    </w:p>
    <w:p>
      <w:pPr>
        <w:spacing w:after="0" w:line="117" w:lineRule="exact"/>
        <w:rPr>
          <w:rFonts w:ascii="Arial" w:cs="Arial" w:eastAsia="Arial" w:hAnsi="Arial"/>
          <w:sz w:val="18"/>
          <w:szCs w:val="18"/>
          <w:color w:val="auto"/>
        </w:rPr>
      </w:pPr>
    </w:p>
    <w:p>
      <w:pPr>
        <w:ind w:left="980" w:hanging="287"/>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That is the beneficial owner of Voting Stock,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1" w:name="page22"/>
    <w:bookmarkEnd w:id="21"/>
    <w:p>
      <w:pPr>
        <w:ind w:left="516" w:hanging="287"/>
        <w:spacing w:after="0"/>
        <w:tabs>
          <w:tab w:leader="none" w:pos="5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Affiliate or Associate of which is the beneficial owner of Voting Stock, directly or indirectly;</w:t>
      </w:r>
    </w:p>
    <w:p>
      <w:pPr>
        <w:spacing w:after="0" w:line="117" w:lineRule="exact"/>
        <w:rPr>
          <w:rFonts w:ascii="Arial" w:cs="Arial" w:eastAsia="Arial" w:hAnsi="Arial"/>
          <w:sz w:val="18"/>
          <w:szCs w:val="18"/>
          <w:color w:val="auto"/>
        </w:rPr>
      </w:pPr>
    </w:p>
    <w:p>
      <w:pPr>
        <w:ind w:left="516" w:hanging="287"/>
        <w:spacing w:after="0"/>
        <w:tabs>
          <w:tab w:leader="none" w:pos="5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has, or whose Affiliate or Associate has,</w:t>
      </w:r>
    </w:p>
    <w:p>
      <w:pPr>
        <w:spacing w:after="0" w:line="117" w:lineRule="exact"/>
        <w:rPr>
          <w:rFonts w:ascii="Arial" w:cs="Arial" w:eastAsia="Arial" w:hAnsi="Arial"/>
          <w:sz w:val="18"/>
          <w:szCs w:val="18"/>
          <w:color w:val="auto"/>
        </w:rPr>
      </w:pPr>
    </w:p>
    <w:p>
      <w:pPr>
        <w:ind w:left="456" w:right="20" w:firstLine="1"/>
        <w:spacing w:after="0" w:line="308" w:lineRule="auto"/>
        <w:tabs>
          <w:tab w:leader="none" w:pos="677"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right to acquire Voting Stock (whether such right is exercisable immediately or only after the passage of time) pursuant to any agreement, arrangement, or understanding or upon the exercise of conversion rights, exchange rights, warrants or options, or otherwise; or</w:t>
      </w:r>
    </w:p>
    <w:p>
      <w:pPr>
        <w:spacing w:after="0" w:line="38" w:lineRule="exact"/>
        <w:rPr>
          <w:sz w:val="20"/>
          <w:szCs w:val="20"/>
          <w:color w:val="auto"/>
        </w:rPr>
      </w:pPr>
    </w:p>
    <w:p>
      <w:pPr>
        <w:ind w:left="456"/>
        <w:spacing w:after="0"/>
        <w:rPr>
          <w:sz w:val="20"/>
          <w:szCs w:val="20"/>
          <w:color w:val="auto"/>
        </w:rPr>
      </w:pPr>
      <w:r>
        <w:rPr>
          <w:rFonts w:ascii="Arial" w:cs="Arial" w:eastAsia="Arial" w:hAnsi="Arial"/>
          <w:sz w:val="18"/>
          <w:szCs w:val="18"/>
          <w:color w:val="auto"/>
        </w:rPr>
        <w:t>(II) The right to vote Voting Stock pursuant to any agreement, arrangement, or understanding; or</w:t>
      </w:r>
    </w:p>
    <w:p>
      <w:pPr>
        <w:spacing w:after="0" w:line="117" w:lineRule="exact"/>
        <w:rPr>
          <w:sz w:val="20"/>
          <w:szCs w:val="20"/>
          <w:color w:val="auto"/>
        </w:rPr>
      </w:pPr>
    </w:p>
    <w:p>
      <w:pPr>
        <w:ind w:left="456" w:right="60" w:firstLine="1"/>
        <w:spacing w:after="0" w:line="255" w:lineRule="auto"/>
        <w:tabs>
          <w:tab w:leader="none" w:pos="79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agreement, arrangement, or understanding for the purpose of acquiring, holding, voting, or disposing of Voting Stock with any other person that beneficially owns, or whose Affiliates or Associates beneficially own, directly or indirectly, such shares of Voting Stock; provided, that directors, officers, and employees of the Corporation shall not be deemed to have any such agreement, arrangement, or understanding on the basis of their status, or actions taken in their capacities, as directors, officers, or employees of the Corporation or any subsidiaries of the Corporation or as general or limited partners of partnerships formed to make investments or on the basis of their Voting Stock with respect to management proposals.</w:t>
      </w:r>
    </w:p>
    <w:p>
      <w:pPr>
        <w:spacing w:after="0" w:line="85" w:lineRule="exact"/>
        <w:rPr>
          <w:rFonts w:ascii="Arial" w:cs="Arial" w:eastAsia="Arial" w:hAnsi="Arial"/>
          <w:sz w:val="18"/>
          <w:szCs w:val="18"/>
          <w:color w:val="auto"/>
        </w:rPr>
      </w:pPr>
    </w:p>
    <w:p>
      <w:pPr>
        <w:ind w:left="236" w:right="40" w:hanging="7"/>
        <w:spacing w:after="0" w:line="273" w:lineRule="auto"/>
        <w:tabs>
          <w:tab w:leader="none" w:pos="530" w:val="left"/>
        </w:tabs>
        <w:numPr>
          <w:ilvl w:val="1"/>
          <w:numId w:val="13"/>
        </w:numPr>
        <w:rPr>
          <w:rFonts w:ascii="Arial" w:cs="Arial" w:eastAsia="Arial" w:hAnsi="Arial"/>
          <w:sz w:val="17"/>
          <w:szCs w:val="17"/>
          <w:color w:val="auto"/>
        </w:rPr>
      </w:pPr>
      <w:r>
        <w:rPr>
          <w:rFonts w:ascii="Arial" w:cs="Arial" w:eastAsia="Arial" w:hAnsi="Arial"/>
          <w:sz w:val="17"/>
          <w:szCs w:val="17"/>
          <w:color w:val="auto"/>
        </w:rPr>
        <w:t>For purposes of subparagraph (a) (iii) of this Paragraph (3), (I) the solicitation of revocable proxies and the voting thereof by proxy holders in connection with annual or special meetings of stockholders prior to the time the Corporation is subject to the proxy rules under the Securities Exchange Act of 1934 or thereafter in accordance with such proxy rules, and (II) statements of recommendations on matters to be submitted for stockholder approval or intentions to vote Voting Stock of which such persons are the Beneficial Owners prior to the time the Corporation is subject to the proxy rules under the Securities Exchange Act of 1934 or thereafter in accordance with such proxy rules shall not constitute agreements, arrangements, or understandings for the purpose of acquiring, holding, voting, or disposing of Voting Stock.</w:t>
      </w:r>
    </w:p>
    <w:p>
      <w:pPr>
        <w:spacing w:after="0" w:line="70" w:lineRule="exact"/>
        <w:rPr>
          <w:rFonts w:ascii="Arial" w:cs="Arial" w:eastAsia="Arial" w:hAnsi="Arial"/>
          <w:sz w:val="17"/>
          <w:szCs w:val="17"/>
          <w:color w:val="auto"/>
        </w:rPr>
      </w:pPr>
    </w:p>
    <w:p>
      <w:pPr>
        <w:ind w:left="-4" w:firstLine="4"/>
        <w:spacing w:after="0" w:line="312" w:lineRule="auto"/>
        <w:tabs>
          <w:tab w:leader="none" w:pos="3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“Control”, including the terms “controlling”, “controlled by”, and “under common control with”, means the possession, directly or indirectly, of the power to vote or cause the direction of the management and policies of a person, whether through the ownership of voting securities, by contract, or otherwise, and the beneficial ownership of 10% or more of the votes entitled to be cast by a corporation’s voting stock creates a presumption of control.</w:t>
      </w:r>
    </w:p>
    <w:p>
      <w:pPr>
        <w:spacing w:after="0" w:line="38" w:lineRule="exact"/>
        <w:rPr>
          <w:rFonts w:ascii="Arial" w:cs="Arial" w:eastAsia="Arial" w:hAnsi="Arial"/>
          <w:sz w:val="16"/>
          <w:szCs w:val="16"/>
          <w:color w:val="auto"/>
        </w:rPr>
      </w:pPr>
    </w:p>
    <w:p>
      <w:pPr>
        <w:ind w:left="256" w:hanging="256"/>
        <w:spacing w:after="0"/>
        <w:tabs>
          <w:tab w:leader="none" w:pos="2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“Group”, when used to indicate those additional persons whose Voting Stock is Beneficially Owned by a person, shall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407035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36"/>
          </w:cols>
          <w:pgMar w:left="704" w:top="935" w:right="259" w:bottom="1440" w:gutter="0" w:footer="0" w:header="0"/>
        </w:sectPr>
      </w:pPr>
    </w:p>
    <w:bookmarkStart w:id="22" w:name="page23"/>
    <w:bookmarkEnd w:id="22"/>
    <w:p>
      <w:pPr>
        <w:ind w:left="747" w:hanging="287"/>
        <w:spacing w:after="0"/>
        <w:tabs>
          <w:tab w:leader="none" w:pos="7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person,</w:t>
      </w:r>
    </w:p>
    <w:p>
      <w:pPr>
        <w:spacing w:after="0" w:line="117" w:lineRule="exact"/>
        <w:rPr>
          <w:rFonts w:ascii="Arial" w:cs="Arial" w:eastAsia="Arial" w:hAnsi="Arial"/>
          <w:sz w:val="18"/>
          <w:szCs w:val="18"/>
          <w:color w:val="auto"/>
        </w:rPr>
      </w:pPr>
    </w:p>
    <w:p>
      <w:pPr>
        <w:ind w:left="747" w:hanging="287"/>
        <w:spacing w:after="0"/>
        <w:tabs>
          <w:tab w:leader="none" w:pos="7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Affiliates and Associates of the person; and</w:t>
      </w:r>
    </w:p>
    <w:p>
      <w:pPr>
        <w:spacing w:after="0" w:line="117" w:lineRule="exact"/>
        <w:rPr>
          <w:rFonts w:ascii="Arial" w:cs="Arial" w:eastAsia="Arial" w:hAnsi="Arial"/>
          <w:sz w:val="18"/>
          <w:szCs w:val="18"/>
          <w:color w:val="auto"/>
        </w:rPr>
      </w:pPr>
    </w:p>
    <w:p>
      <w:pPr>
        <w:ind w:left="747" w:hanging="287"/>
        <w:spacing w:after="0"/>
        <w:tabs>
          <w:tab w:leader="none" w:pos="7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person whose stock is Beneficially Owned by the person or an Affiliate or Associate of the person;</w:t>
      </w:r>
    </w:p>
    <w:p>
      <w:pPr>
        <w:spacing w:after="0" w:line="117" w:lineRule="exact"/>
        <w:rPr>
          <w:sz w:val="20"/>
          <w:szCs w:val="20"/>
          <w:color w:val="auto"/>
        </w:rPr>
      </w:pPr>
    </w:p>
    <w:p>
      <w:pPr>
        <w:ind w:left="227" w:right="400"/>
        <w:spacing w:after="0" w:line="277" w:lineRule="auto"/>
        <w:rPr>
          <w:sz w:val="20"/>
          <w:szCs w:val="20"/>
          <w:color w:val="auto"/>
        </w:rPr>
      </w:pPr>
      <w:r>
        <w:rPr>
          <w:rFonts w:ascii="Arial" w:cs="Arial" w:eastAsia="Arial" w:hAnsi="Arial"/>
          <w:sz w:val="18"/>
          <w:szCs w:val="18"/>
          <w:color w:val="auto"/>
        </w:rPr>
        <w:t>and shall include all persons that jointly file a statement of beneficial ownership pursuant to Section 13(d) of the Securities Exchange Act of 1934, irrespective of any disclaimers of beneficial ownership.</w:t>
      </w:r>
    </w:p>
    <w:p>
      <w:pPr>
        <w:spacing w:after="0" w:line="62" w:lineRule="exact"/>
        <w:rPr>
          <w:sz w:val="20"/>
          <w:szCs w:val="20"/>
          <w:color w:val="auto"/>
        </w:rPr>
      </w:pPr>
    </w:p>
    <w:p>
      <w:pPr>
        <w:ind w:left="527" w:hanging="296"/>
        <w:spacing w:after="0"/>
        <w:tabs>
          <w:tab w:leader="none" w:pos="5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“Voting Stock” means shares of capital stock of the Corporation entitled to vote generally in the election of directors.</w:t>
      </w:r>
    </w:p>
    <w:p>
      <w:pPr>
        <w:spacing w:after="0" w:line="117" w:lineRule="exact"/>
        <w:rPr>
          <w:rFonts w:ascii="Arial" w:cs="Arial" w:eastAsia="Arial" w:hAnsi="Arial"/>
          <w:sz w:val="18"/>
          <w:szCs w:val="18"/>
          <w:color w:val="auto"/>
        </w:rPr>
      </w:pPr>
    </w:p>
    <w:p>
      <w:pPr>
        <w:ind w:left="-233" w:right="20" w:firstLine="233"/>
        <w:spacing w:after="0" w:line="293" w:lineRule="auto"/>
        <w:tabs>
          <w:tab w:leader="none" w:pos="2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person or Group that is the Beneficial Owner of more than 15% of any class of Voting Stock shall have the right to vote not more than 15% of the shares of such class, and the remaining shares Beneficially Owned by such person or Group shall be deducted from the total number of shares of Voting Stock of such class for purposes of determining the proportion of Voting Stock required to approve a matter submitted for stockholder approval. In the case of a Group, the votes of individual members of a Group shall be reduced on a pro rata basis for purposes of determining which shares of such class of Voting Stock shall be voted so that the Group shall have in the aggregate the right to vote not more than 15% of the shares of such class of Voting Stock. A person that is a member of more than one Group shall vote the least number of shares of a class of voting stock that he may vote as a member of any such Group.</w:t>
      </w:r>
    </w:p>
    <w:p>
      <w:pPr>
        <w:spacing w:after="0" w:line="56" w:lineRule="exact"/>
        <w:rPr>
          <w:rFonts w:ascii="Arial" w:cs="Arial" w:eastAsia="Arial" w:hAnsi="Arial"/>
          <w:sz w:val="16"/>
          <w:szCs w:val="16"/>
          <w:color w:val="auto"/>
        </w:rPr>
      </w:pPr>
    </w:p>
    <w:p>
      <w:pPr>
        <w:ind w:left="247" w:hanging="247"/>
        <w:spacing w:after="0"/>
        <w:tabs>
          <w:tab w:leader="none" w:pos="2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operation of this Paragraph (3) shall not create any presumptions of control for purposes of the Investment Company Act of 1940.</w:t>
      </w:r>
    </w:p>
    <w:p>
      <w:pPr>
        <w:spacing w:after="0" w:line="117" w:lineRule="exact"/>
        <w:rPr>
          <w:sz w:val="20"/>
          <w:szCs w:val="20"/>
          <w:color w:val="auto"/>
        </w:rPr>
      </w:pPr>
    </w:p>
    <w:p>
      <w:pPr>
        <w:ind w:left="-233" w:firstLine="233"/>
        <w:spacing w:after="0" w:line="289" w:lineRule="auto"/>
        <w:tabs>
          <w:tab w:leader="none" w:pos="2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Board of Directors shall have power from time to time and in its sole discretion to determine in accordance with sound accounting practice, what constitutes annual or other net profits, earnings, surplus, or net assets in excess of capital; to fix and vary from time to time the amount to be reserved as working capital, or determine that retained earnings or surplus shall remain in the hands of the Corporation; to set apart out of any funds of the Corporation such reserve or reserves in such amount or amounts and for such proper purpose or purposes as it shall determine and to abolish any such reserve or any part thereof; to distribute and pay distributions or dividends in stock, cash or other securities or property, out of surplus or any other funds or amounts legally available therefor, at such times and to the stockholders of record on such dates as it may, from time to time, determine; and to determine whether and to what extent and at what times and places and under what conditions and regulations the books, accounts and documents of the Corporation, or any of them, shall be open to the inspection of stockholders, except as otherwise provided by statute or by the By-Laws, and, except as so provided, no stockholder shall have any right to inspect any book, account, or document of the Corporation unless authorized so to do by resolution of the Board of Directors.</w:t>
      </w:r>
    </w:p>
    <w:p>
      <w:pPr>
        <w:spacing w:after="0" w:line="58" w:lineRule="exact"/>
        <w:rPr>
          <w:rFonts w:ascii="Arial" w:cs="Arial" w:eastAsia="Arial" w:hAnsi="Arial"/>
          <w:sz w:val="16"/>
          <w:szCs w:val="16"/>
          <w:color w:val="auto"/>
        </w:rPr>
      </w:pPr>
    </w:p>
    <w:p>
      <w:pPr>
        <w:ind w:left="-233" w:right="120" w:firstLine="233"/>
        <w:spacing w:after="0" w:line="277" w:lineRule="auto"/>
        <w:tabs>
          <w:tab w:leader="none" w:pos="2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any provision of law requiring the authorization of any action by a greater proportion than a majority of the total number of shares of all classes of capital stock, such action shall be valid and effective if authorized by the affirmative vote of the holders of a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372745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23" w:name="page24"/>
    <w:bookmarkEnd w:id="23"/>
    <w:p>
      <w:pPr>
        <w:ind w:right="260"/>
        <w:spacing w:after="0" w:line="264" w:lineRule="auto"/>
        <w:rPr>
          <w:sz w:val="20"/>
          <w:szCs w:val="20"/>
          <w:color w:val="auto"/>
        </w:rPr>
      </w:pPr>
      <w:r>
        <w:rPr>
          <w:rFonts w:ascii="Arial" w:cs="Arial" w:eastAsia="Arial" w:hAnsi="Arial"/>
          <w:sz w:val="18"/>
          <w:szCs w:val="18"/>
          <w:color w:val="auto"/>
        </w:rPr>
        <w:t>of the total number of shares of all classes outstanding and entitled to vote thereon, except that the affirmative vote of the holders of two-thirds of the total number of shares of all classes outstanding and entitled to vote thereon shall be required to amend, repeal, or adopt any provision inconsistent with Article EIGHTH, Section (3).</w:t>
      </w:r>
    </w:p>
    <w:p>
      <w:pPr>
        <w:spacing w:after="0" w:line="73" w:lineRule="exact"/>
        <w:rPr>
          <w:sz w:val="20"/>
          <w:szCs w:val="20"/>
          <w:color w:val="auto"/>
        </w:rPr>
      </w:pPr>
    </w:p>
    <w:p>
      <w:pPr>
        <w:ind w:right="100" w:firstLine="233"/>
        <w:spacing w:after="0" w:line="259" w:lineRule="auto"/>
        <w:tabs>
          <w:tab w:leader="none" w:pos="4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shall indemnify (a) its directors to the full extent provided by the general laws of the State of Maryland now or hereafter in force, including the advance of expenses under the procedures provided by such laws; (b) its officers to the same extent it shall indemnify its directors; and (c) its officers who are not directors to such further extent as shall be authorized by the Board of Directors and be consistent with law. The foregoing shall not limit the authority of the Corporation to indemnify other employees and agents consistent with law.</w:t>
      </w:r>
    </w:p>
    <w:p>
      <w:pPr>
        <w:spacing w:after="0" w:line="78" w:lineRule="exact"/>
        <w:rPr>
          <w:rFonts w:ascii="Arial" w:cs="Arial" w:eastAsia="Arial" w:hAnsi="Arial"/>
          <w:sz w:val="18"/>
          <w:szCs w:val="18"/>
          <w:color w:val="auto"/>
        </w:rPr>
      </w:pPr>
    </w:p>
    <w:p>
      <w:pPr>
        <w:ind w:right="20" w:firstLine="233"/>
        <w:spacing w:after="0" w:line="259" w:lineRule="auto"/>
        <w:tabs>
          <w:tab w:leader="none" w:pos="4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fullest extent permitted by Maryland statutory or decisional law, as amended or interpreted, no director or officer of this Corporation shall be personally liable to the Corporation or its stockholders for money damages. No amendment of the charter of the Corporation or repeal of any of its provisions shall limit or eliminate the benefits provided to directors and officers under this provision with respect to any act or omission which occurred prior to such amendment or repeal.</w:t>
      </w:r>
    </w:p>
    <w:p>
      <w:pPr>
        <w:spacing w:after="0" w:line="78" w:lineRule="exact"/>
        <w:rPr>
          <w:rFonts w:ascii="Arial" w:cs="Arial" w:eastAsia="Arial" w:hAnsi="Arial"/>
          <w:sz w:val="18"/>
          <w:szCs w:val="18"/>
          <w:color w:val="auto"/>
        </w:rPr>
      </w:pPr>
    </w:p>
    <w:p>
      <w:pPr>
        <w:ind w:firstLine="233"/>
        <w:spacing w:after="0" w:line="257" w:lineRule="auto"/>
        <w:tabs>
          <w:tab w:leader="none" w:pos="4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Corporation reserves the right from time to time to make any amendments of its charter which may now or hereafter be authorized by law, including any amendments changing the terms or contract rights, as expressly set forth in its charter, of any of its outstanding stock by classification, reclassification, or otherwise, but no such amendment which changes such terms or contract rights of any of its outstanding stock shall be valid unless such amendment shall have been authorized by not less than a majority of the aggregate number of the votes entitled to be cast thereon. by a vote at a meeting or in writing with or without a meeting.</w:t>
      </w:r>
    </w:p>
    <w:p>
      <w:pPr>
        <w:spacing w:after="0" w:line="8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enumeration and definition of particular powers of the Board of Directors included in the foregoing shall in no way be limited or restricted by reference to or inference from the terms of any other clause of this or any other Article of the charter of the Corporation, or construed as or deemed by inference or otherwise in any manner to exclude or limit any powers conferred upon the Board of Directors under the General Laws of the State of Maryland now or hereafter in force.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NINTH: The duration of the Corporation shall be perpetual.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signed these Articles of Incorporation, acknowledging the same to be my act, on February 4,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Robye Shaw Margolius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38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t>Exhibit 15</w:t>
      </w:r>
      <w:r>
        <w:rPr>
          <w:sz w:val="20"/>
          <w:szCs w:val="20"/>
          <w:color w:val="auto"/>
        </w:rPr>
        <w:tab/>
      </w:r>
      <w:r>
        <w:rPr>
          <w:rFonts w:ascii="Arial" w:cs="Arial" w:eastAsia="Arial" w:hAnsi="Arial"/>
          <w:sz w:val="16"/>
          <w:szCs w:val="16"/>
          <w:b w:val="1"/>
          <w:bCs w:val="1"/>
          <w:color w:val="auto"/>
        </w:rPr>
        <w:t>Letter from KPMG LLP, independent registered public accounting firm, 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23, 2008 related to our review of interim financial information.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2008</w:t>
      </w:r>
    </w:p>
    <w:p>
      <w:pPr>
        <w:sectPr>
          <w:pgSz w:w="11900" w:h="16838" w:orient="portrait"/>
          <w:cols w:equalWidth="0" w:num="1">
            <w:col w:w="11280"/>
          </w:cols>
          <w:pgMar w:left="240" w:top="931" w:right="379" w:bottom="1440" w:gutter="0" w:footer="0" w:header="0"/>
        </w:sectPr>
      </w:pPr>
    </w:p>
    <w:bookmarkStart w:id="25" w:name="page26"/>
    <w:bookmarkEnd w:id="25"/>
    <w:p>
      <w:pPr>
        <w:spacing w:after="0"/>
        <w:tabs>
          <w:tab w:leader="none" w:pos="1340" w:val="left"/>
        </w:tabs>
        <w:rPr>
          <w:sz w:val="20"/>
          <w:szCs w:val="20"/>
          <w:color w:val="auto"/>
        </w:rPr>
      </w:pPr>
      <w:r>
        <w:rPr>
          <w:rFonts w:ascii="Arial" w:cs="Arial" w:eastAsia="Arial" w:hAnsi="Arial"/>
          <w:sz w:val="18"/>
          <w:szCs w:val="18"/>
          <w:b w:val="1"/>
          <w:bCs w:val="1"/>
          <w:color w:val="auto"/>
        </w:rPr>
        <w:t>Exhibit 31(i).1</w:t>
      </w:r>
      <w:r>
        <w:rPr>
          <w:sz w:val="20"/>
          <w:szCs w:val="20"/>
          <w:color w:val="auto"/>
        </w:rPr>
        <w:tab/>
      </w:r>
      <w:r>
        <w:rPr>
          <w:rFonts w:ascii="Arial" w:cs="Arial" w:eastAsia="Arial" w:hAnsi="Arial"/>
          <w:sz w:val="16"/>
          <w:szCs w:val="16"/>
          <w:b w:val="1"/>
          <w:bCs w:val="1"/>
          <w:color w:val="auto"/>
        </w:rPr>
        <w:t>Rule 13a-14(a) 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2008,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6" w:name="page27"/>
    <w:bookmarkEnd w:id="26"/>
    <w:p>
      <w:pPr>
        <w:spacing w:after="0"/>
        <w:tabs>
          <w:tab w:leader="none" w:pos="1340" w:val="left"/>
        </w:tabs>
        <w:rPr>
          <w:sz w:val="20"/>
          <w:szCs w:val="20"/>
          <w:color w:val="auto"/>
        </w:rPr>
      </w:pPr>
      <w:r>
        <w:rPr>
          <w:rFonts w:ascii="Arial" w:cs="Arial" w:eastAsia="Arial" w:hAnsi="Arial"/>
          <w:sz w:val="18"/>
          <w:szCs w:val="18"/>
          <w:b w:val="1"/>
          <w:bCs w:val="1"/>
          <w:color w:val="auto"/>
        </w:rPr>
        <w:t>Exhibit 31(i).2</w:t>
      </w:r>
      <w:r>
        <w:rPr>
          <w:sz w:val="20"/>
          <w:szCs w:val="20"/>
          <w:color w:val="auto"/>
        </w:rPr>
        <w:tab/>
      </w:r>
      <w:r>
        <w:rPr>
          <w:rFonts w:ascii="Arial" w:cs="Arial" w:eastAsia="Arial" w:hAnsi="Arial"/>
          <w:sz w:val="16"/>
          <w:szCs w:val="16"/>
          <w:b w:val="1"/>
          <w:bCs w:val="1"/>
          <w:color w:val="auto"/>
        </w:rPr>
        <w:t>Rule 13a-14(a) 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2008,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7" w:name="page28"/>
    <w:bookmarkEnd w:id="27"/>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2008, of T. Rowe Price Group, Inc., that:</w:t>
      </w:r>
    </w:p>
    <w:p>
      <w:pPr>
        <w:spacing w:after="0" w:line="6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23,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931" w:right="239" w:bottom="1440" w:gutter="0" w:footer="0" w:header="0"/>
        </w:sectPr>
      </w:pPr>
    </w:p>
    <w:bookmarkStart w:id="28" w:name="page29"/>
    <w:bookmarkEnd w:id="28"/>
    <w:p>
      <w:pPr>
        <w:ind w:left="10620"/>
        <w:spacing w:after="0"/>
        <w:rPr>
          <w:sz w:val="20"/>
          <w:szCs w:val="20"/>
          <w:color w:val="auto"/>
        </w:rPr>
      </w:pPr>
      <w:r>
        <w:rPr>
          <w:rFonts w:ascii="Arial" w:cs="Arial" w:eastAsia="Arial" w:hAnsi="Arial"/>
          <w:sz w:val="16"/>
          <w:szCs w:val="16"/>
          <w:b w:val="1"/>
          <w:bCs w:val="1"/>
          <w:color w:val="auto"/>
        </w:rPr>
        <w:t>Exhibit 99</w:t>
      </w:r>
    </w:p>
    <w:p>
      <w:pPr>
        <w:sectPr>
          <w:pgSz w:w="11900" w:h="16838" w:orient="portrait"/>
          <w:cols w:equalWidth="0" w:num="1">
            <w:col w:w="11420"/>
          </w:cols>
          <w:pgMar w:left="240" w:top="931" w:right="239" w:bottom="1440" w:gutter="0" w:footer="0" w:header="0"/>
        </w:sectPr>
      </w:pPr>
    </w:p>
    <w:p>
      <w:pPr>
        <w:spacing w:after="0" w:line="248" w:lineRule="exact"/>
        <w:rPr>
          <w:sz w:val="20"/>
          <w:szCs w:val="20"/>
          <w:color w:val="auto"/>
        </w:rPr>
      </w:pPr>
    </w:p>
    <w:p>
      <w:pPr>
        <w:ind w:left="2740"/>
        <w:spacing w:after="0"/>
        <w:rPr>
          <w:sz w:val="20"/>
          <w:szCs w:val="20"/>
          <w:color w:val="auto"/>
        </w:rPr>
      </w:pPr>
      <w:r>
        <w:rPr>
          <w:rFonts w:ascii="Arial" w:cs="Arial" w:eastAsia="Arial" w:hAnsi="Arial"/>
          <w:sz w:val="15"/>
          <w:szCs w:val="15"/>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620520" cy="883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0520" cy="883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100 East Pratt Street, Baltimore, Maryland 21202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FAX: 410.345.4661</w:t>
      </w:r>
    </w:p>
    <w:p>
      <w:pPr>
        <w:spacing w:after="0" w:line="200" w:lineRule="exact"/>
        <w:rPr>
          <w:sz w:val="20"/>
          <w:szCs w:val="20"/>
          <w:color w:val="auto"/>
        </w:rPr>
      </w:pPr>
    </w:p>
    <w:p>
      <w:pPr>
        <w:sectPr>
          <w:pgSz w:w="11900" w:h="16838" w:orient="portrait"/>
          <w:cols w:equalWidth="0" w:num="3">
            <w:col w:w="3780" w:space="320"/>
            <w:col w:w="3820" w:space="180"/>
            <w:col w:w="3320"/>
          </w:cols>
          <w:pgMar w:left="240" w:top="931" w:right="239" w:bottom="1440" w:gutter="0" w:footer="0" w:header="0"/>
          <w:type w:val="continuous"/>
        </w:sectPr>
      </w:pP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 xml:space="preserve">Contacts: </w:t>
      </w:r>
      <w:r>
        <w:rPr>
          <w:rFonts w:ascii="Arial" w:cs="Arial" w:eastAsia="Arial" w:hAnsi="Arial"/>
          <w:sz w:val="16"/>
          <w:szCs w:val="16"/>
          <w:b w:val="1"/>
          <w:bCs w:val="1"/>
          <w:color w:val="auto"/>
        </w:rPr>
        <w:t>Steven Norwitz</w:t>
      </w:r>
      <w:r>
        <w:rPr>
          <w:rFonts w:ascii="Arial" w:cs="Arial" w:eastAsia="Arial" w:hAnsi="Arial"/>
          <w:sz w:val="16"/>
          <w:szCs w:val="16"/>
          <w:color w:val="auto"/>
        </w:rPr>
        <w:t xml:space="preserve"> 410.345.2124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Brian Lewbart </w:t>
      </w:r>
      <w:r>
        <w:rPr>
          <w:rFonts w:ascii="Arial" w:cs="Arial" w:eastAsia="Arial" w:hAnsi="Arial"/>
          <w:sz w:val="16"/>
          <w:szCs w:val="16"/>
          <w:color w:val="auto"/>
        </w:rPr>
        <w:t>410.345.2242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Robert Benjamin </w:t>
      </w:r>
      <w:r>
        <w:rPr>
          <w:rFonts w:ascii="Arial" w:cs="Arial" w:eastAsia="Arial" w:hAnsi="Arial"/>
          <w:sz w:val="16"/>
          <w:szCs w:val="16"/>
          <w:color w:val="auto"/>
        </w:rPr>
        <w:t>410.345.2205</w:t>
      </w:r>
    </w:p>
    <w:p>
      <w:pPr>
        <w:spacing w:after="0" w:line="200" w:lineRule="exact"/>
        <w:rPr>
          <w:sz w:val="20"/>
          <w:szCs w:val="20"/>
          <w:color w:val="auto"/>
        </w:rPr>
      </w:pPr>
    </w:p>
    <w:p>
      <w:pPr>
        <w:sectPr>
          <w:pgSz w:w="11900" w:h="16838" w:orient="portrait"/>
          <w:cols w:equalWidth="0" w:num="3">
            <w:col w:w="5680" w:space="320"/>
            <w:col w:w="2180" w:space="320"/>
            <w:col w:w="2920"/>
          </w:cols>
          <w:pgMar w:left="240" w:top="9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FIRST QUARTER 2008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BALTIMORE (April 24, 2008) – T. Rowe Price Group, Inc. (NASDAQ-GS: TROW) today reported its first quarter 2008 results, including net revenues of</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$559 million, net income of $151.5 million, and diluted earnings per share of $.55, an increase of 8% from $.51 per share in the comparable 2007 quarter. Net revenues in the first quarter of 2007 were $508 million, and net income was $143 million.</w:t>
      </w:r>
    </w:p>
    <w:p>
      <w:pPr>
        <w:spacing w:after="0" w:line="76"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Investment advisory revenues were up almost 11%, or $45 million, from the comparable 2007 quarter. Assets under management declined 5.4% from $400 billion at December 31, 2007, to $378.6 billion at March 31, 2008. Record quarterly net cash inflows from investors totaled</w:t>
      </w:r>
    </w:p>
    <w:p>
      <w:pPr>
        <w:spacing w:after="0"/>
        <w:rPr>
          <w:sz w:val="20"/>
          <w:szCs w:val="20"/>
          <w:color w:val="auto"/>
        </w:rPr>
      </w:pPr>
      <w:r>
        <w:rPr>
          <w:rFonts w:ascii="Arial" w:cs="Arial" w:eastAsia="Arial" w:hAnsi="Arial"/>
          <w:sz w:val="18"/>
          <w:szCs w:val="18"/>
          <w:color w:val="auto"/>
        </w:rPr>
        <w:t>$9.7 billion during the first quarter of 2008. Lower market valuations, net of income, reduced assets under management by $31.1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9%, or $27.8 million, to $333.6 million in the first quarter of 2008. Average mutual fund assets were $231.2 billion in the 2008 quarter, an increase of 8% from the average for the 2007 first quarter. Mutual fund assets at March 31, 2008 were $230.5 billion, down $15.5 billion or 6% from the end of 2007.</w:t>
      </w:r>
    </w:p>
    <w:p>
      <w:pPr>
        <w:spacing w:after="0" w:line="7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Net inflows to the mutual funds were $3.7 billion during the first quarter of 2008. International and global stock funds had net inflows of $1.7 billion, bond funds added $1.2 billion, and the money funds added $.8 billion. While U.S. domestic stock funds were flat overall, the Growth Stock fund attracted</w:t>
      </w:r>
    </w:p>
    <w:p>
      <w:pPr>
        <w:ind w:right="20"/>
        <w:spacing w:after="0" w:line="261" w:lineRule="auto"/>
        <w:rPr>
          <w:sz w:val="20"/>
          <w:szCs w:val="20"/>
          <w:color w:val="auto"/>
        </w:rPr>
      </w:pPr>
      <w:r>
        <w:rPr>
          <w:rFonts w:ascii="Arial" w:cs="Arial" w:eastAsia="Arial" w:hAnsi="Arial"/>
          <w:sz w:val="18"/>
          <w:szCs w:val="18"/>
          <w:color w:val="auto"/>
        </w:rPr>
        <w:t>$.8 billion of net inflows during the first quarter of 2008. Lower market valuations, net of the funds’ income, decreased mutual fund assets under management by $19.2 billion during the first quarter of 2008.</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29" w:name="page30"/>
    <w:bookmarkEnd w:id="29"/>
    <w:p>
      <w:pPr>
        <w:ind w:right="100"/>
        <w:spacing w:after="0" w:line="259" w:lineRule="auto"/>
        <w:rPr>
          <w:sz w:val="20"/>
          <w:szCs w:val="20"/>
          <w:color w:val="auto"/>
        </w:rPr>
      </w:pPr>
      <w:r>
        <w:rPr>
          <w:rFonts w:ascii="Arial" w:cs="Arial" w:eastAsia="Arial" w:hAnsi="Arial"/>
          <w:sz w:val="18"/>
          <w:szCs w:val="18"/>
          <w:color w:val="auto"/>
        </w:rPr>
        <w:t>The series of target-date Retirement Funds, which provide fund shareholders with single, diversified portfolios that invest in underlying T. Rowe Price funds and automatically adjust fund asset allocations as investors age, continues to be a significant source of mutual fund assets and, at March 31, 2008, total $30.7 billion or 13% of mutual fund assets under management. During the 2008 quarter, net fund inflows of $2.8 billion originated in the target-date Retirement Funds.</w:t>
      </w:r>
    </w:p>
    <w:p>
      <w:pPr>
        <w:spacing w:after="0" w:line="79" w:lineRule="exact"/>
        <w:rPr>
          <w:sz w:val="20"/>
          <w:szCs w:val="20"/>
          <w:color w:val="auto"/>
        </w:rPr>
      </w:pPr>
    </w:p>
    <w:p>
      <w:pPr>
        <w:jc w:val="both"/>
        <w:ind w:right="160"/>
        <w:spacing w:after="0" w:line="276" w:lineRule="auto"/>
        <w:rPr>
          <w:sz w:val="20"/>
          <w:szCs w:val="20"/>
          <w:color w:val="auto"/>
        </w:rPr>
      </w:pPr>
      <w:r>
        <w:rPr>
          <w:rFonts w:ascii="Arial" w:cs="Arial" w:eastAsia="Arial" w:hAnsi="Arial"/>
          <w:sz w:val="17"/>
          <w:szCs w:val="17"/>
          <w:color w:val="auto"/>
        </w:rPr>
        <w:t>Investment advisory revenues earned from other managed investment portfolios, consisting of institutional separate accounts, sub-advised funds, sponsored investment funds which are offered to investors outside the U.S., and variable insurance portfolios, were $136.5 million in the 2008 quarter, an increase of $17.3 million from the comparable period last year. Ending assets in these portfolios were $148.1 billion, down $5.9 billion since the beginning of the year. Strong net cash inflows during the first quarter of $6.0 billion were more than offset by lower market valuations that reduced assets $11.9 billion during the quarter. Investors outside the United States now account for nearly 10% of assets under management.</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expenses were $329 million in the first quarter of 2008, up $39.5 million from the 2007 first quarter, but down $6.2 million from last year’s fourth quarter. The largest expense, compensation and related costs, increased $23.2 million, or 13%, over the comparable 2007 quarter, primarily due to increased staff size, higher salaries, and the accrual for annual bonus expense. The firm has increased its staff to handle increased volume-related activities and other business opportunities, and at March 31, 2008, employed 5,203 associates.</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Advertising and promotion expenditures vary period-to-period in response to investor interest and in the first quarter were up $4.7 million from the 2007 quarter. Market conditions have caused the firm to reduce its planned spending on advertising and promotion over the balance of 2008 such that spending is now expected to be up about 5% in the second quarter from the comparable 2007 quarter, and about 7% for the full year versus 2007. The firm varies its level of spending based on market conditions and investor demand as well as its efforts to expand the investor base in the United States and abroad.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0" w:name="page31"/>
    <w:bookmarkEnd w:id="30"/>
    <w:p>
      <w:pPr>
        <w:ind w:right="240"/>
        <w:spacing w:after="0" w:line="277" w:lineRule="auto"/>
        <w:rPr>
          <w:sz w:val="20"/>
          <w:szCs w:val="20"/>
          <w:color w:val="auto"/>
        </w:rPr>
      </w:pPr>
      <w:r>
        <w:rPr>
          <w:rFonts w:ascii="Arial" w:cs="Arial" w:eastAsia="Arial" w:hAnsi="Arial"/>
          <w:sz w:val="18"/>
          <w:szCs w:val="18"/>
          <w:color w:val="auto"/>
        </w:rPr>
        <w:t>Other operating expenses in the first quarter were up $6.6 million over the 2007 quarter. Consulting and professional fees, travel, information services, and other costs have risen this year to meet increased business demands.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2008 provision for income taxes as a percentage of pretax income has been recognized at a rate of 38.0%, up from 37.7% for the year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effective tax rate will be about 38.2% for the year 2008 reflecting changes in state income tax rates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James A.C. Kennedy, the company’s Chief Executive Officer and President, commented: “The firm’s investment advisory results relative to our peers remain strong, with 80% of the T. Rowe Price funds across their share classes surpassing their comparable Lipper averages on a total return basis for the three- and five-year periods ended March 31, 2008, 76% surpassing their comparable Lipper averages for the 10-year period, and 68% outperforming the average for the one-year period. In addition, 80 of the T. Rowe Price stock and bond funds across their share classes, which account for 72% of stock and bond fund assets under management, ended the first quarter with an overall rating of four or five stars from Morningstar. These four- and five-star rated investments represent 57.6% of our rated funds and share classes, compared with 32.5% for the overall industry.</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spite of a very difficult market environment so far this year, we continue to be encouraged by our solid investment management results and the strong pace of net cash inflows across our multiple distribution channels. While we have been tapping on the brakes of expenses, our strong capital position enables us to continue to invest in our business for the future and gives us substantial financial flexibility to weather the inevitable ups and downs in the market and to fund appropriate business opportunities.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expect to fund about $180 million of capital expenditures this year and have already expended $294 million in 2008 to repurchase 5.9 million of our common shares. These outlays, together with last year’s capital expenditures of $146 million and share repurchases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380"/>
        <w:spacing w:after="0" w:line="277" w:lineRule="auto"/>
        <w:rPr>
          <w:sz w:val="20"/>
          <w:szCs w:val="20"/>
          <w:color w:val="auto"/>
        </w:rPr>
      </w:pPr>
      <w:r>
        <w:rPr>
          <w:rFonts w:ascii="Arial" w:cs="Arial" w:eastAsia="Arial" w:hAnsi="Arial"/>
          <w:sz w:val="18"/>
          <w:szCs w:val="18"/>
          <w:color w:val="auto"/>
        </w:rPr>
        <w:t>$320 million, were all made from our available cash positions. We remain debt-free with substantial liquidity, including cash and investment holdings of $1.4 billion.</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start to 2008 in the financial markets has been anything but upbeat,” Mr. Kennedy said. “Global GDP has slowed, liquidity is scarce as the financial system deleverages, most market participants throughout the world are risk averse, and weak economic data suggest that the U.S. will be hard-pressed to avoid a recession. Even with significant monetary and fiscal stimulus in the U.S., domestic economic growth will likely remain weak for some time as problems in the financial system are resolved and consumer confidence is restored.</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“Nevertheless, while the duration and magnitude of the global economic slowdown is difficult to predict, and there are likely bumps left in the road ahead, valuations among many high-quality companies have become more attractive. Our portfolio managers and analysts are finding buying opportunities for our clients’ investment portfolios. By the end of the year, many of the investment issues we worry about now on a daily basis are likely to recede and investor sentiment should improve.”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closing, Mr. Kennedy said: “Despite the short-term market uncertainties, the road ahead for T. Rowe Price continues to be promising. We have outstanding associates who are focused on our clients, a very healthy balance sheet, and globally diversified investment and distribution expertise. We remain committed to investing in our business in both the U.S. and overseas – to service and expand our diverse base of customers and investment offerings – and are optimistic that these efforts and an eventual market turnaround will positively affect our future revenues and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financial results presented in this release are unaudited. The company expects that it will file its Form 10-Q Quarterly Report for the first quarter of 2008 with the U.S. Securities and Exchange Commission later today. The Form 10-Q will include more information on the company’s unaudited financial results.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2" w:name="page33"/>
    <w:bookmarkEnd w:id="32"/>
    <w:p>
      <w:pPr>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estimated tax rates, and expectations regarding financial and other market conditions. For a discussion concerning risks and other factors that could affect future results, see the company’s Form 10-K and Form 10-Q reports.</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Non-operating investment income</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vMerge w:val="restart"/>
          </w:tcPr>
          <w:p>
            <w:pPr>
              <w:jc w:val="right"/>
              <w:ind w:right="3330"/>
              <w:spacing w:after="0"/>
              <w:rPr>
                <w:sz w:val="20"/>
                <w:szCs w:val="20"/>
                <w:color w:val="auto"/>
              </w:rPr>
            </w:pPr>
            <w:r>
              <w:rPr>
                <w:rFonts w:ascii="Arial" w:cs="Arial" w:eastAsia="Arial" w:hAnsi="Arial"/>
                <w:sz w:val="18"/>
                <w:szCs w:val="18"/>
                <w:color w:val="auto"/>
              </w:rPr>
              <w:t>- 6 -</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Investment Advisory Revenues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3/31/2007</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263.2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 investment advisory fees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12/31/2007</w:t>
            </w:r>
          </w:p>
        </w:tc>
        <w:tc>
          <w:tcPr>
            <w:tcW w:w="36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2008</w:t>
            </w:r>
          </w:p>
        </w:tc>
        <w:tc>
          <w:tcPr>
            <w:tcW w:w="3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174.6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184.7</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200.6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147.7</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Debt securities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3/31/2007</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5"/>
          </w:tcPr>
          <w:p>
            <w:pPr>
              <w:spacing w:after="0"/>
              <w:rPr>
                <w:sz w:val="20"/>
                <w:szCs w:val="20"/>
                <w:color w:val="auto"/>
              </w:rPr>
            </w:pPr>
            <w:r>
              <w:rPr>
                <w:rFonts w:ascii="Arial" w:cs="Arial" w:eastAsia="Arial" w:hAnsi="Arial"/>
                <w:sz w:val="18"/>
                <w:szCs w:val="18"/>
                <w:color w:val="auto"/>
                <w:w w:val="96"/>
              </w:rPr>
              <w:t>Cash used in investing activities, including ($29.9) for additions to property and equipment in 2008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6"/>
              </w:rPr>
              <w:t>Cash used in financing activities, including common stock repurchases of ($294.9) and dividends paid of ($126.1) in</w:t>
            </w: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Net change in cash during the period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12/31/2007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3/31/2008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773.0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other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3,177.3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0" w:type="dxa"/>
            <w:vAlign w:val="bottom"/>
          </w:tcPr>
          <w:p>
            <w:pPr>
              <w:jc w:val="right"/>
              <w:ind w:right="390"/>
              <w:spacing w:after="0"/>
              <w:rPr>
                <w:sz w:val="20"/>
                <w:szCs w:val="20"/>
                <w:color w:val="auto"/>
              </w:rPr>
            </w:pPr>
            <w:r>
              <w:rPr>
                <w:rFonts w:ascii="Arial" w:cs="Arial" w:eastAsia="Arial" w:hAnsi="Arial"/>
                <w:sz w:val="18"/>
                <w:szCs w:val="18"/>
                <w:color w:val="auto"/>
                <w:w w:val="91"/>
              </w:rPr>
              <w:t>Stockholders’ equity, 259.6 common shares outstanding in 2008, including net unrealized holding gains of $64.0 in</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tcPr>
          <w:p>
            <w:pPr>
              <w:jc w:val="right"/>
              <w:ind w:right="8130"/>
              <w:spacing w:after="0"/>
              <w:rPr>
                <w:sz w:val="20"/>
                <w:szCs w:val="20"/>
                <w:color w:val="auto"/>
              </w:rPr>
            </w:pPr>
            <w:r>
              <w:rPr>
                <w:rFonts w:ascii="Arial" w:cs="Arial" w:eastAsia="Arial" w:hAnsi="Arial"/>
                <w:sz w:val="18"/>
                <w:szCs w:val="18"/>
                <w:color w:val="auto"/>
              </w:rPr>
              <w:t>2008</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$ 2,777.1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$ 2,578.3</w:t>
            </w:r>
          </w:p>
        </w:tc>
        <w:tc>
          <w:tcPr>
            <w:tcW w:w="0" w:type="dxa"/>
            <w:vAlign w:val="bottom"/>
          </w:tcPr>
          <w:p>
            <w:pPr>
              <w:spacing w:after="0"/>
              <w:rPr>
                <w:sz w:val="1"/>
                <w:szCs w:val="1"/>
                <w:color w:val="auto"/>
              </w:rPr>
            </w:pPr>
          </w:p>
        </w:tc>
      </w:tr>
      <w:tr>
        <w:trPr>
          <w:trHeight w:val="20"/>
        </w:trPr>
        <w:tc>
          <w:tcPr>
            <w:tcW w:w="8800" w:type="dxa"/>
            <w:vAlign w:val="bottom"/>
            <w:vMerge w:val="restart"/>
          </w:tcPr>
          <w:p>
            <w:pPr>
              <w:jc w:val="right"/>
              <w:ind w:right="2850"/>
              <w:spacing w:after="0"/>
              <w:rPr>
                <w:sz w:val="20"/>
                <w:szCs w:val="20"/>
                <w:color w:val="auto"/>
              </w:rPr>
            </w:pPr>
            <w:r>
              <w:rPr>
                <w:rFonts w:ascii="Arial" w:cs="Arial" w:eastAsia="Arial" w:hAnsi="Arial"/>
                <w:sz w:val="18"/>
                <w:szCs w:val="18"/>
                <w:color w:val="auto"/>
              </w:rPr>
              <w:t>- 7 -</w:t>
            </w: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3"/>
    </w:lvl>
  </w:abstractNum>
  <w:abstractNum w:abstractNumId="1">
    <w:nsid w:val="66EF438D"/>
    <w:multiLevelType w:val="hybridMultilevel"/>
    <w:lvl w:ilvl="0">
      <w:lvlJc w:val="left"/>
      <w:lvlText w:val="%1"/>
      <w:numFmt w:val="decimal"/>
      <w:start w:val="15"/>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2"/>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5"/>
    </w:lvl>
    <w:lvl w:ilvl="1">
      <w:lvlJc w:val="left"/>
      <w:lvlText w:val="(%2)"/>
      <w:numFmt w:val="lowerLetter"/>
      <w:start w:val="1"/>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1)"/>
      <w:numFmt w:val="decimal"/>
      <w:start w:val="6"/>
    </w:lvl>
    <w:lvl w:ilvl="1">
      <w:lvlJc w:val="left"/>
      <w:lvlText w:val="(%2)"/>
      <w:numFmt w:val="lowerLetter"/>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lowerRoman"/>
      <w:start w:val="1"/>
    </w:lvl>
    <w:lvl w:ilvl="1">
      <w:lvlJc w:val="left"/>
      <w:lvlText w:val="(%2)"/>
      <w:numFmt w:val="upperLetter"/>
      <w:start w:val="1"/>
    </w:lvl>
  </w:abstractNum>
  <w:abstractNum w:abstractNumId="10">
    <w:nsid w:val="4E6AFB66"/>
    <w:multiLevelType w:val="hybridMultilevel"/>
    <w:lvl w:ilvl="0">
      <w:lvlJc w:val="left"/>
      <w:lvlText w:val="(%1)"/>
      <w:numFmt w:val="upperLetter"/>
      <w:start w:val="2"/>
    </w:lvl>
    <w:lvl w:ilvl="1">
      <w:lvlJc w:val="left"/>
      <w:lvlText w:val="(%2)"/>
      <w:numFmt w:val="upperLetter"/>
      <w:start w:val="9"/>
    </w:lvl>
  </w:abstractNum>
  <w:abstractNum w:abstractNumId="11">
    <w:nsid w:val="25E45D3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61"/>
    </w:lvl>
  </w:abstractNum>
  <w:abstractNum w:abstractNumId="12">
    <w:nsid w:val="519B500D"/>
    <w:multiLevelType w:val="hybridMultilevel"/>
    <w:lvl w:ilvl="0">
      <w:lvlJc w:val="left"/>
      <w:lvlText w:val="%1"/>
      <w:numFmt w:val="lowerRoman"/>
      <w:start w:val="1"/>
    </w:lvl>
    <w:lvl w:ilvl="1">
      <w:lvlJc w:val="left"/>
      <w:lvlText w:val="(%2)"/>
      <w:numFmt w:val="upperLetter"/>
      <w:start w:val="4"/>
    </w:lvl>
    <w:lvl w:ilvl="2">
      <w:lvlJc w:val="left"/>
      <w:lvlText w:val="%3"/>
      <w:numFmt w:val="upperLetter"/>
      <w:start w:val="1"/>
    </w:lvl>
  </w:abstractNum>
  <w:abstractNum w:abstractNumId="13">
    <w:nsid w:val="431BD7B7"/>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14">
    <w:nsid w:val="3F2DBA31"/>
    <w:multiLevelType w:val="hybridMultilevel"/>
    <w:lvl w:ilvl="0">
      <w:lvlJc w:val="left"/>
      <w:lvlText w:val="(%1)"/>
      <w:numFmt w:val="upperLetter"/>
      <w:start w:val="1"/>
    </w:lvl>
  </w:abstractNum>
  <w:abstractNum w:abstractNumId="15">
    <w:nsid w:val="7C83E458"/>
    <w:multiLevelType w:val="hybridMultilevel"/>
    <w:lvl w:ilvl="0">
      <w:lvlJc w:val="left"/>
      <w:lvlText w:val="%1"/>
      <w:numFmt w:val="lowerLetter"/>
      <w:start w:val="1"/>
    </w:lvl>
    <w:lvl w:ilvl="1">
      <w:lvlJc w:val="left"/>
      <w:lvlText w:val="(%2)"/>
      <w:numFmt w:val="lowerRoman"/>
      <w:start w:val="6"/>
    </w:lvl>
  </w:abstractNum>
  <w:abstractNum w:abstractNumId="16">
    <w:nsid w:val="257130A3"/>
    <w:multiLevelType w:val="hybridMultilevel"/>
    <w:lvl w:ilvl="0">
      <w:lvlJc w:val="left"/>
      <w:lvlText w:val="(%1)"/>
      <w:numFmt w:val="lowerLetter"/>
      <w:start w:val="2"/>
    </w:lvl>
    <w:lvl w:ilvl="1">
      <w:lvlJc w:val="left"/>
      <w:lvlText w:val="%2"/>
      <w:numFmt w:val="lowerRoman"/>
      <w:start w:val="1"/>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6"/>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2019-12-15T01:15:18Z</dcterms:created>
  <dcterms:modified xsi:type="dcterms:W3CDTF">2019-12-15T01:15:18Z</dcterms:modified>
</cp:coreProperties>
</file>