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31"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1"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 ROWE PRICE GROUP,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60"/>
          </w:cols>
          <w:pgMar w:left="320" w:top="1236" w:right="319" w:bottom="1440" w:gutter="0" w:footer="0" w:header="0"/>
        </w:sectPr>
      </w:pPr>
    </w:p>
    <w:p>
      <w:pPr>
        <w:spacing w:after="0" w:line="126"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51" w:lineRule="exact"/>
        <w:rPr>
          <w:sz w:val="24"/>
          <w:szCs w:val="24"/>
          <w:color w:val="auto"/>
        </w:rPr>
      </w:pPr>
    </w:p>
    <w:p>
      <w:pPr>
        <w:sectPr>
          <w:pgSz w:w="11900" w:h="16838" w:orient="portrait"/>
          <w:cols w:equalWidth="0" w:num="2">
            <w:col w:w="7300" w:space="720"/>
            <w:col w:w="3240"/>
          </w:cols>
          <w:pgMar w:left="320" w:top="1236" w:right="319" w:bottom="1440" w:gutter="0" w:footer="0" w:header="0"/>
          <w:type w:val="continuous"/>
        </w:sectPr>
      </w:pPr>
    </w:p>
    <w:p>
      <w:pPr>
        <w:ind w:left="19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73" w:lineRule="exact"/>
        <w:rPr>
          <w:sz w:val="24"/>
          <w:szCs w:val="24"/>
          <w:color w:val="auto"/>
        </w:rPr>
      </w:pPr>
    </w:p>
    <w:p>
      <w:pPr>
        <w:sectPr>
          <w:pgSz w:w="11900" w:h="16838" w:orient="portrait"/>
          <w:cols w:equalWidth="0" w:num="2">
            <w:col w:w="6600" w:space="720"/>
            <w:col w:w="3940"/>
          </w:cols>
          <w:pgMar w:left="320" w:top="1236" w:right="3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1307 Point Street, Baltimore, Maryland 21231</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(410) 345-2000</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8"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93"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$0.20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TROW</w:t>
            </w:r>
          </w:p>
        </w:tc>
        <w:tc>
          <w:tcPr>
            <w:tcW w:w="4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72" w:lineRule="exact"/>
        <w:rPr>
          <w:sz w:val="24"/>
          <w:szCs w:val="24"/>
          <w:color w:val="auto"/>
        </w:rPr>
      </w:pPr>
    </w:p>
    <w:p>
      <w:pPr>
        <w:ind w:left="4740"/>
        <w:spacing w:after="0"/>
        <w:rPr>
          <w:sz w:val="20"/>
          <w:szCs w:val="20"/>
          <w:color w:val="auto"/>
        </w:rPr>
      </w:pPr>
      <w:r>
        <w:rPr>
          <w:rFonts w:ascii="Arial" w:cs="Arial" w:eastAsia="Arial" w:hAnsi="Arial"/>
          <w:sz w:val="14"/>
          <w:szCs w:val="14"/>
          <w:color w:val="auto"/>
        </w:rPr>
        <w:t>______________________</w:t>
      </w:r>
    </w:p>
    <w:p>
      <w:pPr>
        <w:spacing w:after="0" w:line="77" w:lineRule="exact"/>
        <w:rPr>
          <w:sz w:val="24"/>
          <w:szCs w:val="24"/>
          <w:color w:val="auto"/>
        </w:rPr>
      </w:pPr>
    </w:p>
    <w:p>
      <w:pPr>
        <w:jc w:val="both"/>
        <w:ind w:right="4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6" w:lineRule="exact"/>
        <w:rPr>
          <w:sz w:val="24"/>
          <w:szCs w:val="24"/>
          <w:color w:val="auto"/>
        </w:rPr>
      </w:pPr>
    </w:p>
    <w:p>
      <w:pPr>
        <w:ind w:right="50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15" w:lineRule="exact"/>
        <w:rPr>
          <w:sz w:val="24"/>
          <w:szCs w:val="24"/>
          <w:color w:val="auto"/>
        </w:rPr>
      </w:pPr>
    </w:p>
    <w:p>
      <w:pPr>
        <w:ind w:right="1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9"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3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vMerge w:val="restart"/>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vMerge w:val="restart"/>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vMerge w:val="restart"/>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68"/>
        </w:trPr>
        <w:tc>
          <w:tcPr>
            <w:tcW w:w="34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34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jc w:val="both"/>
        <w:ind w:right="160"/>
        <w:spacing w:after="0" w:line="213"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($0.20 par value), as of the latest practicable date, October 27, 2026, is 213,325,929.</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236" w:right="31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9/30/2026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12/31/2025</w:t>
            </w:r>
          </w:p>
        </w:tc>
        <w:tc>
          <w:tcPr>
            <w:tcW w:w="0" w:type="dxa"/>
            <w:vAlign w:val="bottom"/>
          </w:tcPr>
          <w:p>
            <w:pPr>
              <w:spacing w:after="0"/>
              <w:rPr>
                <w:sz w:val="1"/>
                <w:szCs w:val="1"/>
                <w:color w:val="auto"/>
              </w:rPr>
            </w:pPr>
          </w:p>
        </w:tc>
      </w:tr>
      <w:tr>
        <w:trPr>
          <w:trHeight w:val="210"/>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3,378.2</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Accounts receivable and accrued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931.2</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3,325.2</w:t>
            </w:r>
          </w:p>
        </w:tc>
        <w:tc>
          <w:tcPr>
            <w:tcW w:w="0" w:type="dxa"/>
            <w:vAlign w:val="bottom"/>
          </w:tcPr>
          <w:p>
            <w:pPr>
              <w:spacing w:after="0"/>
              <w:rPr>
                <w:sz w:val="1"/>
                <w:szCs w:val="1"/>
                <w:color w:val="auto"/>
              </w:rPr>
            </w:pPr>
          </w:p>
        </w:tc>
      </w:tr>
      <w:tr>
        <w:trPr>
          <w:trHeight w:val="175"/>
        </w:trPr>
        <w:tc>
          <w:tcPr>
            <w:tcW w:w="8200" w:type="dxa"/>
            <w:vAlign w:val="bottom"/>
          </w:tcPr>
          <w:p>
            <w:pPr>
              <w:ind w:left="140"/>
              <w:spacing w:after="0" w:line="176" w:lineRule="exact"/>
              <w:rPr>
                <w:sz w:val="20"/>
                <w:szCs w:val="20"/>
                <w:color w:val="auto"/>
              </w:rPr>
            </w:pPr>
            <w:r>
              <w:rPr>
                <w:rFonts w:ascii="Arial" w:cs="Arial" w:eastAsia="Arial" w:hAnsi="Arial"/>
                <w:sz w:val="18"/>
                <w:szCs w:val="18"/>
                <w:color w:val="auto"/>
              </w:rPr>
              <w:t>Assets of consolidated investment products ($2,063.0 million at September 30, 2026 and $1,596.1</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2,624.0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1,951.0</w:t>
            </w:r>
          </w:p>
        </w:tc>
        <w:tc>
          <w:tcPr>
            <w:tcW w:w="0" w:type="dxa"/>
            <w:vAlign w:val="bottom"/>
          </w:tcPr>
          <w:p>
            <w:pPr>
              <w:spacing w:after="0"/>
              <w:rPr>
                <w:sz w:val="1"/>
                <w:szCs w:val="1"/>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million at December 31, 2025,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14,341.8</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176"/>
        </w:trPr>
        <w:tc>
          <w:tcPr>
            <w:tcW w:w="8200" w:type="dxa"/>
            <w:vAlign w:val="bottom"/>
          </w:tcPr>
          <w:p>
            <w:pPr>
              <w:ind w:left="140"/>
              <w:spacing w:after="0" w:line="176" w:lineRule="exact"/>
              <w:rPr>
                <w:sz w:val="20"/>
                <w:szCs w:val="20"/>
                <w:color w:val="auto"/>
              </w:rPr>
            </w:pPr>
            <w:r>
              <w:rPr>
                <w:rFonts w:ascii="Arial" w:cs="Arial" w:eastAsia="Arial" w:hAnsi="Arial"/>
                <w:sz w:val="18"/>
                <w:szCs w:val="18"/>
                <w:color w:val="auto"/>
              </w:rPr>
              <w:t>Debt and liabilities of consolidated investment products ($484.5 million at September 30, 2026 and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$14.2 million at December 31, 2025,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1,176.8</w:t>
            </w:r>
          </w:p>
        </w:tc>
        <w:tc>
          <w:tcPr>
            <w:tcW w:w="0" w:type="dxa"/>
            <w:vAlign w:val="bottom"/>
          </w:tcPr>
          <w:p>
            <w:pPr>
              <w:spacing w:after="0"/>
              <w:rPr>
                <w:sz w:val="1"/>
                <w:szCs w:val="1"/>
                <w:color w:val="auto"/>
              </w:rPr>
            </w:pPr>
          </w:p>
        </w:tc>
      </w:tr>
      <w:tr>
        <w:trPr>
          <w:trHeight w:val="229"/>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2,288.6</w:t>
            </w:r>
          </w:p>
        </w:tc>
        <w:tc>
          <w:tcPr>
            <w:tcW w:w="0" w:type="dxa"/>
            <w:vAlign w:val="bottom"/>
          </w:tcPr>
          <w:p>
            <w:pPr>
              <w:spacing w:after="0"/>
              <w:rPr>
                <w:sz w:val="1"/>
                <w:szCs w:val="1"/>
                <w:color w:val="auto"/>
              </w:rPr>
            </w:pPr>
          </w:p>
        </w:tc>
      </w:tr>
      <w:tr>
        <w:trPr>
          <w:trHeight w:val="250"/>
        </w:trPr>
        <w:tc>
          <w:tcPr>
            <w:tcW w:w="8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Preferred stock, undesignated, $0.20 par value — authorized and unissued 20,000,000 shares</w:t>
            </w: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$0.20 par value — authorized 750,000,000; issued 213,320,000 shares at</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September 30, 2026 and 218,565,000 at December 31, 2025</w:t>
            </w: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10,866.8</w:t>
            </w: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attributable to T. Rowe Price Group</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10,860.1</w:t>
            </w: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permanent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11,017.2</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14,341.8</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17"/>
                <w:szCs w:val="17"/>
                <w:color w:val="auto"/>
              </w:rPr>
            </w:pPr>
          </w:p>
        </w:tc>
        <w:tc>
          <w:tcPr>
            <w:tcW w:w="2700" w:type="dxa"/>
            <w:vAlign w:val="bottom"/>
            <w:gridSpan w:val="4"/>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9/30/2026</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9/30/2026</w:t>
            </w:r>
          </w:p>
        </w:tc>
        <w:tc>
          <w:tcPr>
            <w:tcW w:w="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9/30/2025</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1,796.4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1,698.7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5,224.2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4,864.7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advisory fees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Capital allocation-based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distribution, servicing, and other fees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5,769.3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5,380.7</w:t>
            </w:r>
          </w:p>
        </w:tc>
        <w:tc>
          <w:tcPr>
            <w:tcW w:w="0" w:type="dxa"/>
            <w:vAlign w:val="bottom"/>
          </w:tcPr>
          <w:p>
            <w:pPr>
              <w:spacing w:after="0"/>
              <w:rPr>
                <w:sz w:val="1"/>
                <w:szCs w:val="1"/>
                <w:color w:val="auto"/>
              </w:rPr>
            </w:pPr>
          </w:p>
        </w:tc>
      </w:tr>
      <w:tr>
        <w:trPr>
          <w:trHeight w:val="142"/>
        </w:trPr>
        <w:tc>
          <w:tcPr>
            <w:tcW w:w="5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2,106.5</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Distribution and servicing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 and promotion costs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General, administrative, and other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amortization, impairments, and other costs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3,662.9</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1,717.8</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Net gains on investments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gains, including foreign currency gains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non-operating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2,262.4</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1,747.7</w:t>
            </w: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Less: net income (loss) attributable to redeemable non-</w:t>
            </w:r>
          </w:p>
        </w:tc>
        <w:tc>
          <w:tcPr>
            <w:tcW w:w="2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controlling interests</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 Group,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Earnings per share on common stock of 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Inc.</w:t>
      </w:r>
    </w:p>
    <w:p>
      <w:pPr>
        <w:sectPr>
          <w:pgSz w:w="11900" w:h="16838" w:orient="portrait"/>
          <w:cols w:equalWidth="0" w:num="1">
            <w:col w:w="11240"/>
          </w:cols>
          <w:pgMar w:left="320" w:top="931" w:right="339" w:bottom="1440" w:gutter="0" w:footer="0" w:header="0"/>
        </w:sectPr>
      </w:pPr>
    </w:p>
    <w:p>
      <w:pPr>
        <w:spacing w:after="0" w:line="4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Basic</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240" w:type="dxa"/>
        <w:tblCellMar>
          <w:top w:w="0" w:type="dxa"/>
          <w:left w:w="0" w:type="dxa"/>
          <w:bottom w:w="0" w:type="dxa"/>
          <w:right w:w="0" w:type="dxa"/>
        </w:tblCellMar>
      </w:tblPr>
      <w:tr>
        <w:trPr>
          <w:trHeight w:val="235"/>
        </w:trPr>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r>
      <w:tr>
        <w:trPr>
          <w:trHeight w:val="21"/>
        </w:trPr>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-196215</wp:posOffset>
            </wp:positionV>
            <wp:extent cx="713232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39" w:lineRule="exact"/>
        <w:rPr>
          <w:sz w:val="20"/>
          <w:szCs w:val="20"/>
          <w:color w:val="auto"/>
        </w:rPr>
      </w:pPr>
    </w:p>
    <w:p>
      <w:pPr>
        <w:jc w:val="center"/>
        <w:ind w:right="3000"/>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39" w:lineRule="exact"/>
        <w:rPr>
          <w:sz w:val="20"/>
          <w:szCs w:val="20"/>
          <w:color w:val="auto"/>
        </w:rPr>
      </w:pPr>
    </w:p>
    <w:p>
      <w:pPr>
        <w:jc w:val="center"/>
        <w:ind w:right="3000"/>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216535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80" w:space="720"/>
            <w:col w:w="8240"/>
          </w:cols>
          <w:pgMar w:left="320" w:top="931" w:right="339" w:bottom="1440" w:gutter="0" w:footer="0" w:header="0"/>
          <w:type w:val="continuous"/>
        </w:sectPr>
      </w:pPr>
    </w:p>
    <w:bookmarkStart w:id="3" w:name="page4"/>
    <w:bookmarkEnd w:id="3"/>
    <w:p>
      <w:pPr>
        <w:ind w:right="4760"/>
        <w:spacing w:after="0" w:line="279" w:lineRule="auto"/>
        <w:rPr>
          <w:sz w:val="20"/>
          <w:szCs w:val="20"/>
          <w:color w:val="auto"/>
        </w:rPr>
      </w:pPr>
      <w:r>
        <w:rPr>
          <w:rFonts w:ascii="Arial" w:cs="Arial" w:eastAsia="Arial" w:hAnsi="Arial"/>
          <w:sz w:val="18"/>
          <w:szCs w:val="18"/>
          <w:b w:val="1"/>
          <w:bCs w:val="1"/>
          <w:color w:val="auto"/>
        </w:rPr>
        <w:t>UNAUDITED CONSOLIDATED STATEMENTS OF COMPREHENSIVE INCOME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780" w:type="dxa"/>
            <w:vAlign w:val="bottom"/>
            <w:gridSpan w:val="5"/>
            <w:shd w:val="clear" w:color="auto" w:fill="CCEEFF"/>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17"/>
                <w:szCs w:val="17"/>
                <w:color w:val="auto"/>
              </w:rPr>
            </w:pPr>
          </w:p>
        </w:tc>
        <w:tc>
          <w:tcPr>
            <w:tcW w:w="2720" w:type="dxa"/>
            <w:vAlign w:val="bottom"/>
            <w:gridSpan w:val="4"/>
            <w:shd w:val="clear" w:color="auto" w:fill="CCEEFF"/>
          </w:tcPr>
          <w:p>
            <w:pPr>
              <w:jc w:val="right"/>
              <w:ind w:right="7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2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9/30/2026</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9/30/2025</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9/30/2026</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9/30/2025</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1,747.7</w:t>
            </w: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Consolidated investment products—variable interest entities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gains recognized in non-operating income</w:t>
            </w: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upon deconsolidation of certain investment products</w:t>
            </w:r>
          </w:p>
        </w:tc>
        <w:tc>
          <w:tcPr>
            <w:tcW w:w="2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220" w:type="dxa"/>
            <w:vAlign w:val="bottom"/>
          </w:tcPr>
          <w:p>
            <w:pPr>
              <w:ind w:left="140"/>
              <w:spacing w:after="0" w:line="156" w:lineRule="exact"/>
              <w:rPr>
                <w:sz w:val="20"/>
                <w:szCs w:val="20"/>
                <w:color w:val="auto"/>
              </w:rPr>
            </w:pPr>
            <w:r>
              <w:rPr>
                <w:rFonts w:ascii="Arial" w:cs="Arial" w:eastAsia="Arial" w:hAnsi="Arial"/>
                <w:sz w:val="18"/>
                <w:szCs w:val="18"/>
                <w:color w:val="auto"/>
              </w:rPr>
              <w:t>Total currency translation adjustments of consolidated</w:t>
            </w: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5220" w:type="dxa"/>
            <w:vAlign w:val="bottom"/>
          </w:tcPr>
          <w:p>
            <w:pPr>
              <w:ind w:left="140"/>
              <w:spacing w:after="0"/>
              <w:rPr>
                <w:sz w:val="20"/>
                <w:szCs w:val="20"/>
                <w:color w:val="auto"/>
              </w:rPr>
            </w:pPr>
            <w:r>
              <w:rPr>
                <w:rFonts w:ascii="Arial" w:cs="Arial" w:eastAsia="Arial" w:hAnsi="Arial"/>
                <w:sz w:val="18"/>
                <w:szCs w:val="18"/>
                <w:color w:val="auto"/>
              </w:rPr>
              <w:t>investment products—variable interest entities</w:t>
            </w:r>
          </w:p>
        </w:tc>
        <w:tc>
          <w:tcPr>
            <w:tcW w:w="2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1,761.1</w:t>
            </w:r>
          </w:p>
        </w:tc>
        <w:tc>
          <w:tcPr>
            <w:tcW w:w="0" w:type="dxa"/>
            <w:vAlign w:val="bottom"/>
          </w:tcPr>
          <w:p>
            <w:pPr>
              <w:spacing w:after="0"/>
              <w:rPr>
                <w:sz w:val="1"/>
                <w:szCs w:val="1"/>
                <w:color w:val="auto"/>
              </w:rPr>
            </w:pPr>
          </w:p>
        </w:tc>
      </w:tr>
      <w:tr>
        <w:trPr>
          <w:trHeight w:val="175"/>
        </w:trPr>
        <w:tc>
          <w:tcPr>
            <w:tcW w:w="5220" w:type="dxa"/>
            <w:vAlign w:val="bottom"/>
          </w:tcPr>
          <w:p>
            <w:pPr>
              <w:ind w:left="140"/>
              <w:spacing w:after="0" w:line="176" w:lineRule="exact"/>
              <w:rPr>
                <w:sz w:val="20"/>
                <w:szCs w:val="20"/>
                <w:color w:val="auto"/>
              </w:rPr>
            </w:pPr>
            <w:r>
              <w:rPr>
                <w:rFonts w:ascii="Arial" w:cs="Arial" w:eastAsia="Arial" w:hAnsi="Arial"/>
                <w:sz w:val="18"/>
                <w:szCs w:val="18"/>
                <w:color w:val="auto"/>
              </w:rPr>
              <w:t>Less: comprehensive income (loss) attributable to redeemable</w:t>
            </w: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T. Rowe Price Group,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Nine months ended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9/30/2026</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9/30/2025</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1,776.6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1,747.7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Depreciation, amortization and impairments of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and impairments of acquisition-related assets and retention arrangements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gains recognized on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176"/>
        </w:trPr>
        <w:tc>
          <w:tcPr>
            <w:tcW w:w="8240" w:type="dxa"/>
            <w:vAlign w:val="bottom"/>
          </w:tcPr>
          <w:p>
            <w:pPr>
              <w:ind w:left="360"/>
              <w:spacing w:after="0" w:line="176" w:lineRule="exact"/>
              <w:rPr>
                <w:sz w:val="20"/>
                <w:szCs w:val="20"/>
                <w:color w:val="auto"/>
              </w:rPr>
            </w:pPr>
            <w:r>
              <w:rPr>
                <w:rFonts w:ascii="Arial" w:cs="Arial" w:eastAsia="Arial" w:hAnsi="Arial"/>
                <w:sz w:val="18"/>
                <w:szCs w:val="18"/>
                <w:color w:val="auto"/>
              </w:rPr>
              <w:t>Net redemptions from investment products used to economically hedge deferred compensation</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securities held by consolidated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1,772.1</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Purchases of sponsored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Dispositions of sponsored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cash of investment products upon deconsolidation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Dividends paid to common stockholders and equity-unit holders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(858.5)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of debt of consolidated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Net distributions to non-controlling interests in consolidated entities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subscriptions from redeemable non-controlling interest holders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(785.6)</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of consolidated investment products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971.0</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and cash equivalents at beginning of period, including $39.1 million at December 31, 2025, and</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3,417.3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2,712.9</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$63.1 million at December 31, 2024, held by consolidated investment products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8240" w:type="dxa"/>
            <w:vAlign w:val="bottom"/>
          </w:tcPr>
          <w:p>
            <w:pPr>
              <w:ind w:left="20"/>
              <w:spacing w:after="0" w:line="156" w:lineRule="exact"/>
              <w:rPr>
                <w:sz w:val="20"/>
                <w:szCs w:val="20"/>
                <w:color w:val="auto"/>
              </w:rPr>
            </w:pPr>
            <w:r>
              <w:rPr>
                <w:rFonts w:ascii="Arial" w:cs="Arial" w:eastAsia="Arial" w:hAnsi="Arial"/>
                <w:sz w:val="18"/>
                <w:szCs w:val="18"/>
                <w:color w:val="auto"/>
              </w:rPr>
              <w:t>Cash and cash equivalents at end of period, including $109.3 million at September 30, 2026, and</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3,883.6</w:t>
            </w:r>
          </w:p>
        </w:tc>
        <w:tc>
          <w:tcPr>
            <w:tcW w:w="12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3,683.9</w:t>
            </w:r>
          </w:p>
        </w:tc>
        <w:tc>
          <w:tcPr>
            <w:tcW w:w="0" w:type="dxa"/>
            <w:vAlign w:val="bottom"/>
          </w:tcPr>
          <w:p>
            <w:pPr>
              <w:spacing w:after="0"/>
              <w:rPr>
                <w:sz w:val="1"/>
                <w:szCs w:val="1"/>
                <w:color w:val="auto"/>
              </w:rPr>
            </w:pPr>
          </w:p>
        </w:tc>
      </w:tr>
      <w:tr>
        <w:trPr>
          <w:trHeight w:val="221"/>
        </w:trPr>
        <w:tc>
          <w:tcPr>
            <w:tcW w:w="8240" w:type="dxa"/>
            <w:vAlign w:val="bottom"/>
          </w:tcPr>
          <w:p>
            <w:pPr>
              <w:ind w:left="20"/>
              <w:spacing w:after="0"/>
              <w:rPr>
                <w:sz w:val="20"/>
                <w:szCs w:val="20"/>
                <w:color w:val="auto"/>
              </w:rPr>
            </w:pPr>
            <w:r>
              <w:rPr>
                <w:rFonts w:ascii="Arial" w:cs="Arial" w:eastAsia="Arial" w:hAnsi="Arial"/>
                <w:sz w:val="18"/>
                <w:szCs w:val="18"/>
                <w:color w:val="auto"/>
              </w:rPr>
              <w:t>$49.1 million at September 30, 2025, held by consolidated investment products</w:t>
            </w: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right="4820"/>
        <w:spacing w:after="0" w:line="296" w:lineRule="auto"/>
        <w:rPr>
          <w:sz w:val="20"/>
          <w:szCs w:val="20"/>
          <w:color w:val="auto"/>
        </w:rPr>
      </w:pPr>
      <w:r>
        <w:rPr>
          <w:rFonts w:ascii="Arial" w:cs="Arial" w:eastAsia="Arial" w:hAnsi="Arial"/>
          <w:sz w:val="18"/>
          <w:szCs w:val="18"/>
          <w:b w:val="1"/>
          <w:bCs w:val="1"/>
          <w:color w:val="auto"/>
        </w:rPr>
        <w:t>UNAUDITED CONSOLIDATED STATEMENTS OF STOCKHOLDERS’ EQUITY (shares in thousands; dollars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0" w:type="dxa"/>
            <w:vAlign w:val="bottom"/>
            <w:tcBorders>
              <w:bottom w:val="single" w:sz="8" w:color="auto"/>
            </w:tcBorders>
            <w:gridSpan w:val="8"/>
            <w:shd w:val="clear" w:color="auto" w:fill="CCEEFF"/>
          </w:tcPr>
          <w:p>
            <w:pPr>
              <w:ind w:left="340"/>
              <w:spacing w:after="0"/>
              <w:rPr>
                <w:sz w:val="20"/>
                <w:szCs w:val="20"/>
                <w:color w:val="auto"/>
              </w:rPr>
            </w:pPr>
            <w:r>
              <w:rPr>
                <w:rFonts w:ascii="Arial" w:cs="Arial" w:eastAsia="Arial" w:hAnsi="Arial"/>
                <w:sz w:val="13"/>
                <w:szCs w:val="13"/>
                <w:b w:val="1"/>
                <w:bCs w:val="1"/>
                <w:color w:val="auto"/>
              </w:rPr>
              <w:t>Three months ended 9/30/2026</w:t>
            </w: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7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equity</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9"/>
              </w:rPr>
              <w:t>permanent</w:t>
            </w:r>
          </w:p>
        </w:tc>
        <w:tc>
          <w:tcPr>
            <w:tcW w:w="100" w:type="dxa"/>
            <w:vAlign w:val="bottom"/>
          </w:tcPr>
          <w:p>
            <w:pPr>
              <w:spacing w:after="0"/>
              <w:rPr>
                <w:sz w:val="10"/>
                <w:szCs w:val="10"/>
                <w:color w:val="auto"/>
              </w:rPr>
            </w:pPr>
          </w:p>
        </w:tc>
        <w:tc>
          <w:tcPr>
            <w:tcW w:w="6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shares</w:t>
            </w:r>
          </w:p>
        </w:tc>
        <w:tc>
          <w:tcPr>
            <w:tcW w:w="720" w:type="dxa"/>
            <w:vAlign w:val="bottom"/>
            <w:gridSpan w:val="3"/>
            <w:vMerge w:val="continue"/>
          </w:tcPr>
          <w:p>
            <w:pPr>
              <w:spacing w:after="0"/>
              <w:rPr>
                <w:sz w:val="11"/>
                <w:szCs w:val="11"/>
                <w:color w:val="auto"/>
              </w:rPr>
            </w:pPr>
          </w:p>
        </w:tc>
        <w:tc>
          <w:tcPr>
            <w:tcW w:w="8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excess of</w:t>
            </w: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T. Rowe Price</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consolidated</w:t>
            </w:r>
          </w:p>
        </w:tc>
        <w:tc>
          <w:tcPr>
            <w:tcW w:w="9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5"/>
                <w:szCs w:val="15"/>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par value</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Group</w:t>
            </w: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entities</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equity</w:t>
            </w:r>
          </w:p>
        </w:tc>
        <w:tc>
          <w:tcPr>
            <w:tcW w:w="100" w:type="dxa"/>
            <w:vAlign w:val="bottom"/>
          </w:tcPr>
          <w:p>
            <w:pPr>
              <w:spacing w:after="0"/>
              <w:rPr>
                <w:sz w:val="15"/>
                <w:szCs w:val="15"/>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99"/>
              </w:rPr>
              <w:t>interests</w:t>
            </w:r>
          </w:p>
        </w:tc>
        <w:tc>
          <w:tcPr>
            <w:tcW w:w="0" w:type="dxa"/>
            <w:vAlign w:val="bottom"/>
          </w:tcPr>
          <w:p>
            <w:pPr>
              <w:spacing w:after="0"/>
              <w:rPr>
                <w:sz w:val="1"/>
                <w:szCs w:val="1"/>
                <w:color w:val="auto"/>
              </w:rPr>
            </w:pPr>
          </w:p>
        </w:tc>
      </w:tr>
      <w:tr>
        <w:trPr>
          <w:trHeight w:val="169"/>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at June 30, 2026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213,312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11,018.0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11,002.5</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11,163.5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1,009.3</w:t>
            </w:r>
          </w:p>
        </w:tc>
        <w:tc>
          <w:tcPr>
            <w:tcW w:w="0" w:type="dxa"/>
            <w:vAlign w:val="bottom"/>
          </w:tcPr>
          <w:p>
            <w:pPr>
              <w:spacing w:after="0"/>
              <w:rPr>
                <w:sz w:val="1"/>
                <w:szCs w:val="1"/>
                <w:color w:val="auto"/>
              </w:rPr>
            </w:pPr>
          </w:p>
        </w:tc>
      </w:tr>
      <w:tr>
        <w:trPr>
          <w:trHeight w:val="171"/>
        </w:trPr>
        <w:tc>
          <w:tcPr>
            <w:tcW w:w="37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612.3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612.3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635.6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1"/>
        </w:trPr>
        <w:tc>
          <w:tcPr>
            <w:tcW w:w="3720" w:type="dxa"/>
            <w:vAlign w:val="bottom"/>
          </w:tcPr>
          <w:p>
            <w:pPr>
              <w:ind w:left="20"/>
              <w:spacing w:after="0"/>
              <w:rPr>
                <w:sz w:val="20"/>
                <w:szCs w:val="20"/>
                <w:color w:val="auto"/>
              </w:rPr>
            </w:pPr>
            <w:r>
              <w:rPr>
                <w:rFonts w:ascii="Arial" w:cs="Arial" w:eastAsia="Arial" w:hAnsi="Arial"/>
                <w:sz w:val="13"/>
                <w:szCs w:val="13"/>
                <w:color w:val="auto"/>
              </w:rPr>
              <w:t>Dividends declared ($1.30 per share)</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(285.3)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stock-based compensation plans activity:</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20" w:type="dxa"/>
            <w:vAlign w:val="bottom"/>
          </w:tcPr>
          <w:p>
            <w:pPr>
              <w:ind w:left="240"/>
              <w:spacing w:after="0"/>
              <w:rPr>
                <w:sz w:val="20"/>
                <w:szCs w:val="20"/>
                <w:color w:val="auto"/>
              </w:rPr>
            </w:pPr>
            <w:r>
              <w:rPr>
                <w:rFonts w:ascii="Arial" w:cs="Arial" w:eastAsia="Arial" w:hAnsi="Arial"/>
                <w:sz w:val="13"/>
                <w:szCs w:val="13"/>
                <w:color w:val="auto"/>
              </w:rPr>
              <w:t>Net shares issued upon vesting of restricted stock units</w:t>
            </w:r>
          </w:p>
        </w:tc>
        <w:tc>
          <w:tcPr>
            <w:tcW w:w="7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Stock-based compensation expense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720" w:type="dxa"/>
            <w:vAlign w:val="bottom"/>
          </w:tcPr>
          <w:p>
            <w:pPr>
              <w:ind w:left="240"/>
              <w:spacing w:after="0"/>
              <w:rPr>
                <w:sz w:val="20"/>
                <w:szCs w:val="20"/>
                <w:color w:val="auto"/>
              </w:rPr>
            </w:pPr>
            <w:r>
              <w:rPr>
                <w:rFonts w:ascii="Arial" w:cs="Arial" w:eastAsia="Arial" w:hAnsi="Arial"/>
                <w:sz w:val="13"/>
                <w:szCs w:val="13"/>
                <w:color w:val="auto"/>
              </w:rPr>
              <w:t>Restricted stock units issued as dividend equivalents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37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Net contributions from non-controlling interests in consolidated</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entities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720" w:type="dxa"/>
            <w:vAlign w:val="bottom"/>
          </w:tcPr>
          <w:p>
            <w:pPr>
              <w:ind w:left="20"/>
              <w:spacing w:after="0"/>
              <w:rPr>
                <w:sz w:val="20"/>
                <w:szCs w:val="20"/>
                <w:color w:val="auto"/>
              </w:rPr>
            </w:pPr>
            <w:r>
              <w:rPr>
                <w:rFonts w:ascii="Arial" w:cs="Arial" w:eastAsia="Arial" w:hAnsi="Arial"/>
                <w:sz w:val="13"/>
                <w:szCs w:val="13"/>
                <w:color w:val="auto"/>
              </w:rPr>
              <w:t>Net subscriptions into consolidated investment products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155.2</w:t>
            </w: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deconsolidations of consolidated investment products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0" w:type="dxa"/>
            <w:vAlign w:val="bottom"/>
          </w:tcPr>
          <w:p>
            <w:pPr>
              <w:spacing w:after="0"/>
              <w:rPr>
                <w:sz w:val="1"/>
                <w:szCs w:val="1"/>
                <w:color w:val="auto"/>
              </w:rPr>
            </w:pPr>
          </w:p>
        </w:tc>
      </w:tr>
      <w:tr>
        <w:trPr>
          <w:trHeight w:val="174"/>
        </w:trPr>
        <w:tc>
          <w:tcPr>
            <w:tcW w:w="3720" w:type="dxa"/>
            <w:vAlign w:val="bottom"/>
          </w:tcPr>
          <w:p>
            <w:pPr>
              <w:ind w:left="20"/>
              <w:spacing w:after="0"/>
              <w:rPr>
                <w:sz w:val="20"/>
                <w:szCs w:val="20"/>
                <w:color w:val="auto"/>
              </w:rPr>
            </w:pPr>
            <w:r>
              <w:rPr>
                <w:rFonts w:ascii="Arial" w:cs="Arial" w:eastAsia="Arial" w:hAnsi="Arial"/>
                <w:sz w:val="13"/>
                <w:szCs w:val="13"/>
                <w:color w:val="auto"/>
              </w:rPr>
              <w:t>Balances at September 30, 2026</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213,320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11,344.8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(62.5)</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11,370.5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184.7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11,555.2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1,057.4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560"/>
        <w:spacing w:after="0"/>
        <w:rPr>
          <w:sz w:val="20"/>
          <w:szCs w:val="20"/>
          <w:color w:val="auto"/>
        </w:rPr>
      </w:pPr>
      <w:r>
        <w:rPr>
          <w:rFonts w:ascii="Arial" w:cs="Arial" w:eastAsia="Arial" w:hAnsi="Arial"/>
          <w:sz w:val="13"/>
          <w:szCs w:val="13"/>
          <w:b w:val="1"/>
          <w:bCs w:val="1"/>
          <w:color w:val="auto"/>
        </w:rPr>
        <w:t>Three months ended 9/30/2025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273" w:lineRule="exact"/>
        <w:rPr>
          <w:sz w:val="20"/>
          <w:szCs w:val="20"/>
          <w:color w:val="auto"/>
        </w:rPr>
      </w:pPr>
    </w:p>
    <w:tbl>
      <w:tblPr>
        <w:tblLayout w:type="fixed"/>
        <w:tblInd w:w="3740" w:type="dxa"/>
        <w:tblCellMar>
          <w:top w:w="0" w:type="dxa"/>
          <w:left w:w="0" w:type="dxa"/>
          <w:bottom w:w="0" w:type="dxa"/>
          <w:right w:w="0" w:type="dxa"/>
        </w:tblCellMar>
      </w:tblPr>
      <w:tr>
        <w:trPr>
          <w:trHeight w:val="149"/>
        </w:trPr>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7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capital in</w:t>
            </w:r>
          </w:p>
        </w:tc>
        <w:tc>
          <w:tcPr>
            <w:tcW w:w="80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Retained</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5"/>
              </w:rPr>
              <w:t>shares</w:t>
            </w:r>
          </w:p>
        </w:tc>
        <w:tc>
          <w:tcPr>
            <w:tcW w:w="720" w:type="dxa"/>
            <w:vAlign w:val="bottom"/>
            <w:vMerge w:val="continue"/>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excess of</w:t>
            </w:r>
          </w:p>
        </w:tc>
        <w:tc>
          <w:tcPr>
            <w:tcW w:w="800" w:type="dxa"/>
            <w:vAlign w:val="bottom"/>
            <w:vMerge w:val="continue"/>
          </w:tcPr>
          <w:p>
            <w:pPr>
              <w:spacing w:after="0"/>
              <w:rPr>
                <w:sz w:val="10"/>
                <w:szCs w:val="10"/>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0" w:type="dxa"/>
            <w:vAlign w:val="bottom"/>
          </w:tcPr>
          <w:p>
            <w:pPr>
              <w:spacing w:after="0"/>
              <w:rPr>
                <w:sz w:val="1"/>
                <w:szCs w:val="1"/>
                <w:color w:val="auto"/>
              </w:rPr>
            </w:pPr>
          </w:p>
        </w:tc>
      </w:tr>
      <w:tr>
        <w:trPr>
          <w:trHeight w:val="189"/>
        </w:trPr>
        <w:tc>
          <w:tcPr>
            <w:tcW w:w="80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outstanding</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stock</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par value</w:t>
            </w:r>
          </w:p>
        </w:tc>
        <w:tc>
          <w:tcPr>
            <w:tcW w:w="800" w:type="dxa"/>
            <w:vAlign w:val="bottom"/>
          </w:tcPr>
          <w:p>
            <w:pPr>
              <w:ind w:left="140"/>
              <w:spacing w:after="0"/>
              <w:rPr>
                <w:sz w:val="20"/>
                <w:szCs w:val="20"/>
                <w:color w:val="auto"/>
              </w:rPr>
            </w:pPr>
            <w:r>
              <w:rPr>
                <w:rFonts w:ascii="Arial" w:cs="Arial" w:eastAsia="Arial" w:hAnsi="Arial"/>
                <w:sz w:val="13"/>
                <w:szCs w:val="13"/>
                <w:b w:val="1"/>
                <w:bCs w:val="1"/>
                <w:color w:val="auto"/>
              </w:rPr>
              <w:t>earnings</w:t>
            </w: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Non-</w:t>
            </w: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900" w:type="dxa"/>
            <w:vAlign w:val="bottom"/>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equity</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controlling</w:t>
            </w:r>
          </w:p>
        </w:tc>
        <w:tc>
          <w:tcPr>
            <w:tcW w:w="9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9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9"/>
              </w:rPr>
              <w:t>permanent</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21"/>
        </w:trPr>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T. Rowe Price</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9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stockholders'</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81"/>
        </w:trPr>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7"/>
              </w:rPr>
              <w:t>Group</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entities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9"/>
              </w:rPr>
              <w:t>equity</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interests</w:t>
            </w: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2">
            <w:col w:w="7480" w:space="200"/>
            <w:col w:w="356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at June 30, 2025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219,902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10,461.3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10,560.5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10,713.8</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1,099.1</w:t>
            </w:r>
          </w:p>
        </w:tc>
      </w:tr>
      <w:tr>
        <w:trPr>
          <w:trHeight w:val="171"/>
        </w:trPr>
        <w:tc>
          <w:tcPr>
            <w:tcW w:w="37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646.1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646.1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662.9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40.4</w:t>
            </w:r>
          </w:p>
        </w:tc>
      </w:tr>
      <w:tr>
        <w:trPr>
          <w:trHeight w:val="180"/>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71"/>
        </w:trPr>
        <w:tc>
          <w:tcPr>
            <w:tcW w:w="3720" w:type="dxa"/>
            <w:vAlign w:val="bottom"/>
          </w:tcPr>
          <w:p>
            <w:pPr>
              <w:ind w:left="20"/>
              <w:spacing w:after="0"/>
              <w:rPr>
                <w:sz w:val="20"/>
                <w:szCs w:val="20"/>
                <w:color w:val="auto"/>
              </w:rPr>
            </w:pPr>
            <w:r>
              <w:rPr>
                <w:rFonts w:ascii="Arial" w:cs="Arial" w:eastAsia="Arial" w:hAnsi="Arial"/>
                <w:sz w:val="13"/>
                <w:szCs w:val="13"/>
                <w:color w:val="auto"/>
              </w:rPr>
              <w:t>Dividends declared ($1.27 per share)</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(283.8)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(283.8)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(283.8)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stock-based compensation plans activity:</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71"/>
        </w:trPr>
        <w:tc>
          <w:tcPr>
            <w:tcW w:w="3720" w:type="dxa"/>
            <w:vAlign w:val="bottom"/>
          </w:tcPr>
          <w:p>
            <w:pPr>
              <w:ind w:left="240"/>
              <w:spacing w:after="0"/>
              <w:rPr>
                <w:sz w:val="20"/>
                <w:szCs w:val="20"/>
                <w:color w:val="auto"/>
              </w:rPr>
            </w:pPr>
            <w:r>
              <w:rPr>
                <w:rFonts w:ascii="Arial" w:cs="Arial" w:eastAsia="Arial" w:hAnsi="Arial"/>
                <w:sz w:val="13"/>
                <w:szCs w:val="13"/>
                <w:color w:val="auto"/>
              </w:rPr>
              <w:t>Shares issued upon option exercises</w:t>
            </w:r>
          </w:p>
        </w:tc>
        <w:tc>
          <w:tcPr>
            <w:tcW w:w="760" w:type="dxa"/>
            <w:vAlign w:val="bottom"/>
          </w:tcPr>
          <w:p>
            <w:pPr>
              <w:jc w:val="right"/>
              <w:spacing w:after="0"/>
              <w:rPr>
                <w:sz w:val="20"/>
                <w:szCs w:val="20"/>
                <w:color w:val="auto"/>
              </w:rPr>
            </w:pPr>
            <w:r>
              <w:rPr>
                <w:rFonts w:ascii="Arial" w:cs="Arial" w:eastAsia="Arial" w:hAnsi="Arial"/>
                <w:sz w:val="13"/>
                <w:szCs w:val="13"/>
                <w:color w:val="auto"/>
              </w:rPr>
              <w:t>232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3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shares issued upon vesting of restricted stock units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720" w:type="dxa"/>
            <w:vAlign w:val="bottom"/>
          </w:tcPr>
          <w:p>
            <w:pPr>
              <w:ind w:left="240"/>
              <w:spacing w:after="0"/>
              <w:rPr>
                <w:sz w:val="20"/>
                <w:szCs w:val="20"/>
                <w:color w:val="auto"/>
              </w:rPr>
            </w:pPr>
            <w:r>
              <w:rPr>
                <w:rFonts w:ascii="Arial" w:cs="Arial" w:eastAsia="Arial" w:hAnsi="Arial"/>
                <w:sz w:val="13"/>
                <w:szCs w:val="13"/>
                <w:color w:val="auto"/>
              </w:rPr>
              <w:t>Stock-based compensation expense</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3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Restricted stock units issued as dividend equivalents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720" w:type="dxa"/>
            <w:vAlign w:val="bottom"/>
          </w:tcPr>
          <w:p>
            <w:pPr>
              <w:ind w:left="20"/>
              <w:spacing w:after="0"/>
              <w:rPr>
                <w:sz w:val="20"/>
                <w:szCs w:val="20"/>
                <w:color w:val="auto"/>
              </w:rPr>
            </w:pPr>
            <w:r>
              <w:rPr>
                <w:rFonts w:ascii="Arial" w:cs="Arial" w:eastAsia="Arial" w:hAnsi="Arial"/>
                <w:sz w:val="13"/>
                <w:szCs w:val="13"/>
                <w:color w:val="auto"/>
              </w:rPr>
              <w:t>Common shares repurchased</w:t>
            </w:r>
          </w:p>
        </w:tc>
        <w:tc>
          <w:tcPr>
            <w:tcW w:w="760" w:type="dxa"/>
            <w:vAlign w:val="bottom"/>
          </w:tcPr>
          <w:p>
            <w:pPr>
              <w:jc w:val="right"/>
              <w:spacing w:after="0"/>
              <w:rPr>
                <w:sz w:val="20"/>
                <w:szCs w:val="20"/>
                <w:color w:val="auto"/>
              </w:rPr>
            </w:pPr>
            <w:r>
              <w:rPr>
                <w:rFonts w:ascii="Arial" w:cs="Arial" w:eastAsia="Arial" w:hAnsi="Arial"/>
                <w:sz w:val="13"/>
                <w:szCs w:val="13"/>
                <w:color w:val="auto"/>
              </w:rPr>
              <w:t>(1,458)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(157.7)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(157.7)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6"/>
        </w:trPr>
        <w:tc>
          <w:tcPr>
            <w:tcW w:w="37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Net distributions to non-controlling interests in consolidated</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89"/>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entities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720" w:type="dxa"/>
            <w:vAlign w:val="bottom"/>
          </w:tcPr>
          <w:p>
            <w:pPr>
              <w:ind w:left="20"/>
              <w:spacing w:after="0"/>
              <w:rPr>
                <w:sz w:val="20"/>
                <w:szCs w:val="20"/>
                <w:color w:val="auto"/>
              </w:rPr>
            </w:pPr>
            <w:r>
              <w:rPr>
                <w:rFonts w:ascii="Arial" w:cs="Arial" w:eastAsia="Arial" w:hAnsi="Arial"/>
                <w:sz w:val="13"/>
                <w:szCs w:val="13"/>
                <w:color w:val="auto"/>
              </w:rPr>
              <w:t>Net subscriptions into consolidated investment products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290.1</w:t>
            </w:r>
          </w:p>
        </w:tc>
      </w:tr>
      <w:tr>
        <w:trPr>
          <w:trHeight w:val="180"/>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deconsolidations of consolidated investment products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(441.9)</w:t>
            </w:r>
          </w:p>
        </w:tc>
      </w:tr>
      <w:tr>
        <w:trPr>
          <w:trHeight w:val="169"/>
        </w:trPr>
        <w:tc>
          <w:tcPr>
            <w:tcW w:w="3720" w:type="dxa"/>
            <w:vAlign w:val="bottom"/>
          </w:tcPr>
          <w:p>
            <w:pPr>
              <w:ind w:left="20"/>
              <w:spacing w:after="0"/>
              <w:rPr>
                <w:sz w:val="20"/>
                <w:szCs w:val="20"/>
                <w:color w:val="auto"/>
              </w:rPr>
            </w:pPr>
            <w:r>
              <w:rPr>
                <w:rFonts w:ascii="Arial" w:cs="Arial" w:eastAsia="Arial" w:hAnsi="Arial"/>
                <w:sz w:val="13"/>
                <w:szCs w:val="13"/>
                <w:color w:val="auto"/>
              </w:rPr>
              <w:t>Balances at September 30, 2025</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218,684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10,817.3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(46.5)</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10,814.5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170.0</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10,984.5</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984.9</w:t>
            </w:r>
          </w:p>
        </w:tc>
      </w:tr>
      <w:tr>
        <w:trPr>
          <w:trHeight w:val="21"/>
        </w:trPr>
        <w:tc>
          <w:tcPr>
            <w:tcW w:w="3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6" w:name="page7"/>
    <w:bookmarkEnd w:id="6"/>
    <w:p>
      <w:pPr>
        <w:ind w:right="4820"/>
        <w:spacing w:after="0" w:line="279" w:lineRule="auto"/>
        <w:rPr>
          <w:sz w:val="20"/>
          <w:szCs w:val="20"/>
          <w:color w:val="auto"/>
        </w:rPr>
      </w:pPr>
      <w:r>
        <w:rPr>
          <w:rFonts w:ascii="Arial" w:cs="Arial" w:eastAsia="Arial" w:hAnsi="Arial"/>
          <w:sz w:val="18"/>
          <w:szCs w:val="18"/>
          <w:b w:val="1"/>
          <w:bCs w:val="1"/>
          <w:color w:val="auto"/>
        </w:rPr>
        <w:t>UNAUDITED CONSOLIDATED STATEMENTS OF STOCKHOLDERS’ EQUITY (shares in thousands; dollars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400" w:type="dxa"/>
            <w:vAlign w:val="bottom"/>
            <w:tcBorders>
              <w:bottom w:val="single" w:sz="8" w:color="auto"/>
            </w:tcBorders>
            <w:gridSpan w:val="8"/>
            <w:shd w:val="clear" w:color="auto" w:fill="CCEEFF"/>
          </w:tcPr>
          <w:p>
            <w:pPr>
              <w:ind w:left="380"/>
              <w:spacing w:after="0"/>
              <w:rPr>
                <w:sz w:val="20"/>
                <w:szCs w:val="20"/>
                <w:color w:val="auto"/>
              </w:rPr>
            </w:pPr>
            <w:r>
              <w:rPr>
                <w:rFonts w:ascii="Arial" w:cs="Arial" w:eastAsia="Arial" w:hAnsi="Arial"/>
                <w:sz w:val="13"/>
                <w:szCs w:val="13"/>
                <w:b w:val="1"/>
                <w:bCs w:val="1"/>
                <w:color w:val="auto"/>
              </w:rPr>
              <w:t>Nine months ended 9/30/2026</w:t>
            </w: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7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equity</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9"/>
              </w:rPr>
              <w:t>permanent</w:t>
            </w:r>
          </w:p>
        </w:tc>
        <w:tc>
          <w:tcPr>
            <w:tcW w:w="100" w:type="dxa"/>
            <w:vAlign w:val="bottom"/>
          </w:tcPr>
          <w:p>
            <w:pPr>
              <w:spacing w:after="0"/>
              <w:rPr>
                <w:sz w:val="10"/>
                <w:szCs w:val="10"/>
                <w:color w:val="auto"/>
              </w:rPr>
            </w:pPr>
          </w:p>
        </w:tc>
        <w:tc>
          <w:tcPr>
            <w:tcW w:w="6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shares</w:t>
            </w:r>
          </w:p>
        </w:tc>
        <w:tc>
          <w:tcPr>
            <w:tcW w:w="720" w:type="dxa"/>
            <w:vAlign w:val="bottom"/>
            <w:gridSpan w:val="3"/>
            <w:vMerge w:val="continue"/>
          </w:tcPr>
          <w:p>
            <w:pPr>
              <w:spacing w:after="0"/>
              <w:rPr>
                <w:sz w:val="11"/>
                <w:szCs w:val="11"/>
                <w:color w:val="auto"/>
              </w:rPr>
            </w:pPr>
          </w:p>
        </w:tc>
        <w:tc>
          <w:tcPr>
            <w:tcW w:w="8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excess of</w:t>
            </w: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T. Rowe Price</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consolidated</w:t>
            </w:r>
          </w:p>
        </w:tc>
        <w:tc>
          <w:tcPr>
            <w:tcW w:w="9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5"/>
                <w:szCs w:val="15"/>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par value</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Group</w:t>
            </w: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entities</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equity</w:t>
            </w:r>
          </w:p>
        </w:tc>
        <w:tc>
          <w:tcPr>
            <w:tcW w:w="100" w:type="dxa"/>
            <w:vAlign w:val="bottom"/>
          </w:tcPr>
          <w:p>
            <w:pPr>
              <w:spacing w:after="0"/>
              <w:rPr>
                <w:sz w:val="15"/>
                <w:szCs w:val="15"/>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99"/>
              </w:rPr>
              <w:t>interests</w:t>
            </w:r>
          </w:p>
        </w:tc>
        <w:tc>
          <w:tcPr>
            <w:tcW w:w="0" w:type="dxa"/>
            <w:vAlign w:val="bottom"/>
          </w:tcPr>
          <w:p>
            <w:pPr>
              <w:spacing w:after="0"/>
              <w:rPr>
                <w:sz w:val="1"/>
                <w:szCs w:val="1"/>
                <w:color w:val="auto"/>
              </w:rPr>
            </w:pPr>
          </w:p>
        </w:tc>
      </w:tr>
      <w:tr>
        <w:trPr>
          <w:trHeight w:val="169"/>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at December 31, 2025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218,565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10,866.8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3"/>
                <w:szCs w:val="13"/>
                <w:color w:val="auto"/>
                <w:w w:val="99"/>
              </w:rPr>
              <w:t>(50.5)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10,860.1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11,017.2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1,036.0</w:t>
            </w:r>
          </w:p>
        </w:tc>
        <w:tc>
          <w:tcPr>
            <w:tcW w:w="0" w:type="dxa"/>
            <w:vAlign w:val="bottom"/>
          </w:tcPr>
          <w:p>
            <w:pPr>
              <w:spacing w:after="0"/>
              <w:rPr>
                <w:sz w:val="1"/>
                <w:szCs w:val="1"/>
                <w:color w:val="auto"/>
              </w:rPr>
            </w:pPr>
          </w:p>
        </w:tc>
      </w:tr>
      <w:tr>
        <w:trPr>
          <w:trHeight w:val="174"/>
        </w:trPr>
        <w:tc>
          <w:tcPr>
            <w:tcW w:w="37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1,742.5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1,742.5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1,784.0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177"/>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(12.0)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1"/>
        </w:trPr>
        <w:tc>
          <w:tcPr>
            <w:tcW w:w="3720" w:type="dxa"/>
            <w:vAlign w:val="bottom"/>
          </w:tcPr>
          <w:p>
            <w:pPr>
              <w:ind w:left="20"/>
              <w:spacing w:after="0"/>
              <w:rPr>
                <w:sz w:val="20"/>
                <w:szCs w:val="20"/>
                <w:color w:val="auto"/>
              </w:rPr>
            </w:pPr>
            <w:r>
              <w:rPr>
                <w:rFonts w:ascii="Arial" w:cs="Arial" w:eastAsia="Arial" w:hAnsi="Arial"/>
                <w:sz w:val="13"/>
                <w:szCs w:val="13"/>
                <w:color w:val="auto"/>
              </w:rPr>
              <w:t>Dividends declared ($3.90 per share)</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(857.6)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(857.6)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stock-based compensation plans activity:</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20" w:type="dxa"/>
            <w:vAlign w:val="bottom"/>
          </w:tcPr>
          <w:p>
            <w:pPr>
              <w:ind w:left="240"/>
              <w:spacing w:after="0"/>
              <w:rPr>
                <w:sz w:val="20"/>
                <w:szCs w:val="20"/>
                <w:color w:val="auto"/>
              </w:rPr>
            </w:pPr>
            <w:r>
              <w:rPr>
                <w:rFonts w:ascii="Arial" w:cs="Arial" w:eastAsia="Arial" w:hAnsi="Arial"/>
                <w:sz w:val="13"/>
                <w:szCs w:val="13"/>
                <w:color w:val="auto"/>
              </w:rPr>
              <w:t>Shares issued upon option exercises</w:t>
            </w:r>
          </w:p>
        </w:tc>
        <w:tc>
          <w:tcPr>
            <w:tcW w:w="76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Restricted shares issued, net of shares withheld for taxes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720" w:type="dxa"/>
            <w:vAlign w:val="bottom"/>
          </w:tcPr>
          <w:p>
            <w:pPr>
              <w:ind w:left="240"/>
              <w:spacing w:after="0"/>
              <w:rPr>
                <w:sz w:val="20"/>
                <w:szCs w:val="20"/>
                <w:color w:val="auto"/>
              </w:rPr>
            </w:pPr>
            <w:r>
              <w:rPr>
                <w:rFonts w:ascii="Arial" w:cs="Arial" w:eastAsia="Arial" w:hAnsi="Arial"/>
                <w:sz w:val="13"/>
                <w:szCs w:val="13"/>
                <w:color w:val="auto"/>
              </w:rPr>
              <w:t>Net shares issued upon vesting of restricted stock units</w:t>
            </w:r>
          </w:p>
        </w:tc>
        <w:tc>
          <w:tcPr>
            <w:tcW w:w="76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Forfeiture of restricted awards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20" w:type="dxa"/>
            <w:vAlign w:val="bottom"/>
          </w:tcPr>
          <w:p>
            <w:pPr>
              <w:ind w:left="240"/>
              <w:spacing w:after="0"/>
              <w:rPr>
                <w:sz w:val="20"/>
                <w:szCs w:val="20"/>
                <w:color w:val="auto"/>
              </w:rPr>
            </w:pPr>
            <w:r>
              <w:rPr>
                <w:rFonts w:ascii="Arial" w:cs="Arial" w:eastAsia="Arial" w:hAnsi="Arial"/>
                <w:sz w:val="13"/>
                <w:szCs w:val="13"/>
                <w:color w:val="auto"/>
              </w:rPr>
              <w:t>Stock-based compensation expense</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Restricted stock units issued as dividend equivalents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720" w:type="dxa"/>
            <w:vAlign w:val="bottom"/>
          </w:tcPr>
          <w:p>
            <w:pPr>
              <w:ind w:left="20"/>
              <w:spacing w:after="0"/>
              <w:rPr>
                <w:sz w:val="20"/>
                <w:szCs w:val="20"/>
                <w:color w:val="auto"/>
              </w:rPr>
            </w:pPr>
            <w:r>
              <w:rPr>
                <w:rFonts w:ascii="Arial" w:cs="Arial" w:eastAsia="Arial" w:hAnsi="Arial"/>
                <w:sz w:val="13"/>
                <w:szCs w:val="13"/>
                <w:color w:val="auto"/>
              </w:rPr>
              <w:t>Common shares repurchased</w:t>
            </w:r>
          </w:p>
        </w:tc>
        <w:tc>
          <w:tcPr>
            <w:tcW w:w="760" w:type="dxa"/>
            <w:vAlign w:val="bottom"/>
          </w:tcPr>
          <w:p>
            <w:pPr>
              <w:jc w:val="right"/>
              <w:spacing w:after="0"/>
              <w:rPr>
                <w:sz w:val="20"/>
                <w:szCs w:val="20"/>
                <w:color w:val="auto"/>
              </w:rPr>
            </w:pPr>
            <w:r>
              <w:rPr>
                <w:rFonts w:ascii="Arial" w:cs="Arial" w:eastAsia="Arial" w:hAnsi="Arial"/>
                <w:sz w:val="13"/>
                <w:szCs w:val="13"/>
                <w:color w:val="auto"/>
              </w:rPr>
              <w:t>(5,267)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(497.5)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372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Net distributions to non-controlling interests in consolidated</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entities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720" w:type="dxa"/>
            <w:vAlign w:val="bottom"/>
          </w:tcPr>
          <w:p>
            <w:pPr>
              <w:ind w:left="20"/>
              <w:spacing w:after="0"/>
              <w:rPr>
                <w:sz w:val="20"/>
                <w:szCs w:val="20"/>
                <w:color w:val="auto"/>
              </w:rPr>
            </w:pPr>
            <w:r>
              <w:rPr>
                <w:rFonts w:ascii="Arial" w:cs="Arial" w:eastAsia="Arial" w:hAnsi="Arial"/>
                <w:sz w:val="13"/>
                <w:szCs w:val="13"/>
                <w:color w:val="auto"/>
              </w:rPr>
              <w:t>Net subscriptions into consolidated investment products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283.7</w:t>
            </w:r>
          </w:p>
        </w:tc>
        <w:tc>
          <w:tcPr>
            <w:tcW w:w="0" w:type="dxa"/>
            <w:vAlign w:val="bottom"/>
          </w:tcPr>
          <w:p>
            <w:pPr>
              <w:spacing w:after="0"/>
              <w:rPr>
                <w:sz w:val="1"/>
                <w:szCs w:val="1"/>
                <w:color w:val="auto"/>
              </w:rPr>
            </w:pPr>
          </w:p>
        </w:tc>
      </w:tr>
      <w:tr>
        <w:trPr>
          <w:trHeight w:val="180"/>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deconsolidations of consolidated investment products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(294.5)</w:t>
            </w:r>
          </w:p>
        </w:tc>
        <w:tc>
          <w:tcPr>
            <w:tcW w:w="0" w:type="dxa"/>
            <w:vAlign w:val="bottom"/>
          </w:tcPr>
          <w:p>
            <w:pPr>
              <w:spacing w:after="0"/>
              <w:rPr>
                <w:sz w:val="1"/>
                <w:szCs w:val="1"/>
                <w:color w:val="auto"/>
              </w:rPr>
            </w:pPr>
          </w:p>
        </w:tc>
      </w:tr>
      <w:tr>
        <w:trPr>
          <w:trHeight w:val="164"/>
        </w:trPr>
        <w:tc>
          <w:tcPr>
            <w:tcW w:w="3720" w:type="dxa"/>
            <w:vAlign w:val="bottom"/>
          </w:tcPr>
          <w:p>
            <w:pPr>
              <w:ind w:left="20"/>
              <w:spacing w:after="0"/>
              <w:rPr>
                <w:sz w:val="20"/>
                <w:szCs w:val="20"/>
                <w:color w:val="auto"/>
              </w:rPr>
            </w:pPr>
            <w:r>
              <w:rPr>
                <w:rFonts w:ascii="Arial" w:cs="Arial" w:eastAsia="Arial" w:hAnsi="Arial"/>
                <w:sz w:val="13"/>
                <w:szCs w:val="13"/>
                <w:color w:val="auto"/>
              </w:rPr>
              <w:t>Balances at September 30, 2026</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213,320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11,344.8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3"/>
                <w:szCs w:val="13"/>
                <w:color w:val="auto"/>
                <w:w w:val="99"/>
              </w:rPr>
              <w:t>(62.5)</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11,370.5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184.7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11,555.2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1,057.4</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0"/>
        <w:spacing w:after="0"/>
        <w:rPr>
          <w:sz w:val="20"/>
          <w:szCs w:val="20"/>
          <w:color w:val="auto"/>
        </w:rPr>
      </w:pPr>
      <w:r>
        <w:rPr>
          <w:rFonts w:ascii="Arial" w:cs="Arial" w:eastAsia="Arial" w:hAnsi="Arial"/>
          <w:sz w:val="13"/>
          <w:szCs w:val="13"/>
          <w:b w:val="1"/>
          <w:bCs w:val="1"/>
          <w:color w:val="auto"/>
        </w:rPr>
        <w:t>Nine months ended 9/30/2025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273" w:lineRule="exact"/>
        <w:rPr>
          <w:sz w:val="20"/>
          <w:szCs w:val="20"/>
          <w:color w:val="auto"/>
        </w:rPr>
      </w:pPr>
    </w:p>
    <w:tbl>
      <w:tblPr>
        <w:tblLayout w:type="fixed"/>
        <w:tblInd w:w="3740" w:type="dxa"/>
        <w:tblCellMar>
          <w:top w:w="0" w:type="dxa"/>
          <w:left w:w="0" w:type="dxa"/>
          <w:bottom w:w="0" w:type="dxa"/>
          <w:right w:w="0" w:type="dxa"/>
        </w:tblCellMar>
      </w:tblPr>
      <w:tr>
        <w:trPr>
          <w:trHeight w:val="149"/>
        </w:trPr>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7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capital in</w:t>
            </w:r>
          </w:p>
        </w:tc>
        <w:tc>
          <w:tcPr>
            <w:tcW w:w="80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Retained</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5"/>
              </w:rPr>
              <w:t>shares</w:t>
            </w:r>
          </w:p>
        </w:tc>
        <w:tc>
          <w:tcPr>
            <w:tcW w:w="720" w:type="dxa"/>
            <w:vAlign w:val="bottom"/>
            <w:vMerge w:val="continue"/>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excess of</w:t>
            </w:r>
          </w:p>
        </w:tc>
        <w:tc>
          <w:tcPr>
            <w:tcW w:w="800" w:type="dxa"/>
            <w:vAlign w:val="bottom"/>
            <w:vMerge w:val="continue"/>
          </w:tcPr>
          <w:p>
            <w:pPr>
              <w:spacing w:after="0"/>
              <w:rPr>
                <w:sz w:val="10"/>
                <w:szCs w:val="10"/>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0" w:type="dxa"/>
            <w:vAlign w:val="bottom"/>
          </w:tcPr>
          <w:p>
            <w:pPr>
              <w:spacing w:after="0"/>
              <w:rPr>
                <w:sz w:val="1"/>
                <w:szCs w:val="1"/>
                <w:color w:val="auto"/>
              </w:rPr>
            </w:pPr>
          </w:p>
        </w:tc>
      </w:tr>
      <w:tr>
        <w:trPr>
          <w:trHeight w:val="189"/>
        </w:trPr>
        <w:tc>
          <w:tcPr>
            <w:tcW w:w="80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outstanding</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stock</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par value</w:t>
            </w:r>
          </w:p>
        </w:tc>
        <w:tc>
          <w:tcPr>
            <w:tcW w:w="800" w:type="dxa"/>
            <w:vAlign w:val="bottom"/>
          </w:tcPr>
          <w:p>
            <w:pPr>
              <w:ind w:left="140"/>
              <w:spacing w:after="0"/>
              <w:rPr>
                <w:sz w:val="20"/>
                <w:szCs w:val="20"/>
                <w:color w:val="auto"/>
              </w:rPr>
            </w:pPr>
            <w:r>
              <w:rPr>
                <w:rFonts w:ascii="Arial" w:cs="Arial" w:eastAsia="Arial" w:hAnsi="Arial"/>
                <w:sz w:val="13"/>
                <w:szCs w:val="13"/>
                <w:b w:val="1"/>
                <w:bCs w:val="1"/>
                <w:color w:val="auto"/>
              </w:rPr>
              <w:t>earnings</w:t>
            </w: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Non-</w:t>
            </w: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900" w:type="dxa"/>
            <w:vAlign w:val="bottom"/>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equity</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controlling</w:t>
            </w:r>
          </w:p>
        </w:tc>
        <w:tc>
          <w:tcPr>
            <w:tcW w:w="9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9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9"/>
              </w:rPr>
              <w:t>permanent</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22"/>
        </w:trPr>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T. Rowe Price</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9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stockholders'</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81"/>
        </w:trPr>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7"/>
              </w:rPr>
              <w:t>Group</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entities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9"/>
              </w:rPr>
              <w:t>equity</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interests</w:t>
            </w: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2">
            <w:col w:w="7480" w:space="200"/>
            <w:col w:w="356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at December 31,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222,966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10,040.6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10,345.4</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10,506.1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944.0</w:t>
            </w:r>
          </w:p>
        </w:tc>
      </w:tr>
      <w:tr>
        <w:trPr>
          <w:trHeight w:val="171"/>
        </w:trPr>
        <w:tc>
          <w:tcPr>
            <w:tcW w:w="37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1,641.8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1,641.8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1,656.7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105.9</w:t>
            </w:r>
          </w:p>
        </w:tc>
      </w:tr>
      <w:tr>
        <w:trPr>
          <w:trHeight w:val="180"/>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r>
      <w:tr>
        <w:trPr>
          <w:trHeight w:val="171"/>
        </w:trPr>
        <w:tc>
          <w:tcPr>
            <w:tcW w:w="3720" w:type="dxa"/>
            <w:vAlign w:val="bottom"/>
          </w:tcPr>
          <w:p>
            <w:pPr>
              <w:ind w:left="20"/>
              <w:spacing w:after="0"/>
              <w:rPr>
                <w:sz w:val="20"/>
                <w:szCs w:val="20"/>
                <w:color w:val="auto"/>
              </w:rPr>
            </w:pPr>
            <w:r>
              <w:rPr>
                <w:rFonts w:ascii="Arial" w:cs="Arial" w:eastAsia="Arial" w:hAnsi="Arial"/>
                <w:sz w:val="13"/>
                <w:szCs w:val="13"/>
                <w:color w:val="auto"/>
              </w:rPr>
              <w:t>Dividends declared ($3.81 per share)</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(858.7)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(858.7)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(858.7)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stock-based compensation plans activity:</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71"/>
        </w:trPr>
        <w:tc>
          <w:tcPr>
            <w:tcW w:w="3720" w:type="dxa"/>
            <w:vAlign w:val="bottom"/>
          </w:tcPr>
          <w:p>
            <w:pPr>
              <w:ind w:left="240"/>
              <w:spacing w:after="0"/>
              <w:rPr>
                <w:sz w:val="20"/>
                <w:szCs w:val="20"/>
                <w:color w:val="auto"/>
              </w:rPr>
            </w:pPr>
            <w:r>
              <w:rPr>
                <w:rFonts w:ascii="Arial" w:cs="Arial" w:eastAsia="Arial" w:hAnsi="Arial"/>
                <w:sz w:val="13"/>
                <w:szCs w:val="13"/>
                <w:color w:val="auto"/>
              </w:rPr>
              <w:t>Shares issued upon option exercises</w:t>
            </w:r>
          </w:p>
        </w:tc>
        <w:tc>
          <w:tcPr>
            <w:tcW w:w="760" w:type="dxa"/>
            <w:vAlign w:val="bottom"/>
          </w:tcPr>
          <w:p>
            <w:pPr>
              <w:jc w:val="right"/>
              <w:spacing w:after="0"/>
              <w:rPr>
                <w:sz w:val="20"/>
                <w:szCs w:val="20"/>
                <w:color w:val="auto"/>
              </w:rPr>
            </w:pPr>
            <w:r>
              <w:rPr>
                <w:rFonts w:ascii="Arial" w:cs="Arial" w:eastAsia="Arial" w:hAnsi="Arial"/>
                <w:sz w:val="13"/>
                <w:szCs w:val="13"/>
                <w:color w:val="auto"/>
              </w:rPr>
              <w:t>496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3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Restricted shares issued, net of shares withheld for taxes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720" w:type="dxa"/>
            <w:vAlign w:val="bottom"/>
          </w:tcPr>
          <w:p>
            <w:pPr>
              <w:ind w:left="240"/>
              <w:spacing w:after="0"/>
              <w:rPr>
                <w:sz w:val="20"/>
                <w:szCs w:val="20"/>
                <w:color w:val="auto"/>
              </w:rPr>
            </w:pPr>
            <w:r>
              <w:rPr>
                <w:rFonts w:ascii="Arial" w:cs="Arial" w:eastAsia="Arial" w:hAnsi="Arial"/>
                <w:sz w:val="13"/>
                <w:szCs w:val="13"/>
                <w:color w:val="auto"/>
              </w:rPr>
              <w:t>Net shares issued upon vesting of restricted stock units</w:t>
            </w:r>
          </w:p>
        </w:tc>
        <w:tc>
          <w:tcPr>
            <w:tcW w:w="76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3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Stock-based compensation expense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720" w:type="dxa"/>
            <w:vAlign w:val="bottom"/>
          </w:tcPr>
          <w:p>
            <w:pPr>
              <w:ind w:left="240"/>
              <w:spacing w:after="0"/>
              <w:rPr>
                <w:sz w:val="20"/>
                <w:szCs w:val="20"/>
                <w:color w:val="auto"/>
              </w:rPr>
            </w:pPr>
            <w:r>
              <w:rPr>
                <w:rFonts w:ascii="Arial" w:cs="Arial" w:eastAsia="Arial" w:hAnsi="Arial"/>
                <w:sz w:val="13"/>
                <w:szCs w:val="13"/>
                <w:color w:val="auto"/>
              </w:rPr>
              <w:t>Restricted stock units issued as dividend equivalents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shares repurchased</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3720" w:type="dxa"/>
            <w:vAlign w:val="bottom"/>
          </w:tcPr>
          <w:p>
            <w:pPr>
              <w:ind w:left="20"/>
              <w:spacing w:after="0" w:line="122" w:lineRule="exact"/>
              <w:rPr>
                <w:sz w:val="20"/>
                <w:szCs w:val="20"/>
                <w:color w:val="auto"/>
              </w:rPr>
            </w:pPr>
            <w:r>
              <w:rPr>
                <w:rFonts w:ascii="Arial" w:cs="Arial" w:eastAsia="Arial" w:hAnsi="Arial"/>
                <w:sz w:val="13"/>
                <w:szCs w:val="13"/>
                <w:color w:val="auto"/>
              </w:rPr>
              <w:t>Net distributions to non-controlling interests in consolidated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2"/>
        </w:trPr>
        <w:tc>
          <w:tcPr>
            <w:tcW w:w="3720" w:type="dxa"/>
            <w:vAlign w:val="bottom"/>
          </w:tcPr>
          <w:p>
            <w:pPr>
              <w:ind w:left="20"/>
              <w:spacing w:after="0"/>
              <w:rPr>
                <w:sz w:val="20"/>
                <w:szCs w:val="20"/>
                <w:color w:val="auto"/>
              </w:rPr>
            </w:pPr>
            <w:r>
              <w:rPr>
                <w:rFonts w:ascii="Arial" w:cs="Arial" w:eastAsia="Arial" w:hAnsi="Arial"/>
                <w:sz w:val="13"/>
                <w:szCs w:val="13"/>
                <w:color w:val="auto"/>
              </w:rPr>
              <w:t>entities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3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subscriptions into consolidated investment products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549.8</w:t>
            </w:r>
          </w:p>
        </w:tc>
      </w:tr>
      <w:tr>
        <w:trPr>
          <w:trHeight w:val="171"/>
        </w:trPr>
        <w:tc>
          <w:tcPr>
            <w:tcW w:w="3720" w:type="dxa"/>
            <w:vAlign w:val="bottom"/>
          </w:tcPr>
          <w:p>
            <w:pPr>
              <w:ind w:left="20"/>
              <w:spacing w:after="0"/>
              <w:rPr>
                <w:sz w:val="20"/>
                <w:szCs w:val="20"/>
                <w:color w:val="auto"/>
              </w:rPr>
            </w:pPr>
            <w:r>
              <w:rPr>
                <w:rFonts w:ascii="Arial" w:cs="Arial" w:eastAsia="Arial" w:hAnsi="Arial"/>
                <w:sz w:val="13"/>
                <w:szCs w:val="13"/>
                <w:color w:val="auto"/>
              </w:rPr>
              <w:t>Net deconsolidations of consolidated investment products</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(623.0)</w:t>
            </w:r>
          </w:p>
        </w:tc>
      </w:tr>
      <w:tr>
        <w:trPr>
          <w:trHeight w:val="169"/>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at September 30, 2025</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218,684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10,817.3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10,814.5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10,984.5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984.9</w:t>
            </w:r>
          </w:p>
        </w:tc>
      </w:tr>
    </w:tbl>
    <w:p>
      <w:pPr>
        <w:spacing w:after="0" w:line="74" w:lineRule="exact"/>
        <w:rPr>
          <w:sz w:val="20"/>
          <w:szCs w:val="20"/>
          <w:color w:val="auto"/>
        </w:rPr>
      </w:pPr>
    </w:p>
    <w:p>
      <w:pPr>
        <w:ind w:left="140" w:hanging="132"/>
        <w:spacing w:after="0"/>
        <w:tabs>
          <w:tab w:leader="none" w:pos="140" w:val="left"/>
        </w:tabs>
        <w:numPr>
          <w:ilvl w:val="0"/>
          <w:numId w:val="3"/>
        </w:numPr>
        <w:rPr>
          <w:rFonts w:ascii="Arial" w:cs="Arial" w:eastAsia="Arial" w:hAnsi="Arial"/>
          <w:sz w:val="9"/>
          <w:szCs w:val="9"/>
          <w:i w:val="1"/>
          <w:iCs w:val="1"/>
          <w:color w:val="auto"/>
        </w:rPr>
      </w:pPr>
      <w:r>
        <w:rPr>
          <w:rFonts w:ascii="Arial" w:cs="Arial" w:eastAsia="Arial" w:hAnsi="Arial"/>
          <w:sz w:val="14"/>
          <w:szCs w:val="14"/>
          <w:i w:val="1"/>
          <w:iCs w:val="1"/>
          <w:color w:val="auto"/>
        </w:rPr>
        <w:t>Accumulated other comprehensive income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PREPARATION AND SUMMARY OF SIGNIFICANT ACCOUNTING POLICIES.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globally to individual and institutional investors that invest in a broad range of investment solutions across equity, fixed income, multi-asset, and alternatives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other advisory services.</w:t>
      </w:r>
    </w:p>
    <w:p>
      <w:pPr>
        <w:spacing w:after="0" w:line="20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investment solutions are provided in a number of vehicles including the T. Rowe Price U.S. mutual funds (U.S. mutual funds), subadvised funds, separately managed accounts, collective investment trusts, exchange-traded funds, and other sponsored products. The other sponsored products include: open-ended investment products offered to investors outside the U.S., products offered through variable annuity life insurance plans in the U.S., affiliated private investment funds, business development companies, interval funds, and collateralized loan obligations.</w:t>
      </w:r>
    </w:p>
    <w:p>
      <w:pPr>
        <w:spacing w:after="0" w:line="20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Investment advisory fees depend largely on the total value and composition of assets under our management. Accordingly, fluctuations in financial markets and in the composition of assets under management impact our revenues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PREPARATION.</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These unaudited consolidated financial statements have been prepared by management in accordance with accounting principles generally accepted in the United States and include the accounts of the firm and its controlled subsidiaries.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w:t>
      </w:r>
    </w:p>
    <w:p>
      <w:pPr>
        <w:spacing w:after="0" w:line="163" w:lineRule="exact"/>
        <w:rPr>
          <w:sz w:val="20"/>
          <w:szCs w:val="20"/>
          <w:color w:val="auto"/>
        </w:rPr>
      </w:pPr>
    </w:p>
    <w:p>
      <w:pPr>
        <w:ind w:right="80"/>
        <w:spacing w:after="0" w:line="220" w:lineRule="exact"/>
        <w:rPr>
          <w:sz w:val="20"/>
          <w:szCs w:val="20"/>
          <w:color w:val="auto"/>
        </w:rPr>
      </w:pPr>
      <w:r>
        <w:rPr>
          <w:rFonts w:ascii="Arial" w:cs="Arial" w:eastAsia="Arial" w:hAnsi="Arial"/>
          <w:sz w:val="18"/>
          <w:szCs w:val="18"/>
          <w:color w:val="auto"/>
        </w:rPr>
        <w:t>Certain prior</w:t>
      </w:r>
      <w:r>
        <w:rPr>
          <w:rFonts w:ascii="MS PGothic" w:cs="MS PGothic" w:eastAsia="MS PGothic" w:hAnsi="MS PGothic"/>
          <w:sz w:val="18"/>
          <w:szCs w:val="18"/>
          <w:color w:val="auto"/>
        </w:rPr>
        <w:t>‑</w:t>
      </w:r>
      <w:r>
        <w:rPr>
          <w:rFonts w:ascii="Arial" w:cs="Arial" w:eastAsia="Arial" w:hAnsi="Arial"/>
          <w:sz w:val="18"/>
          <w:szCs w:val="18"/>
          <w:color w:val="auto"/>
        </w:rPr>
        <w:t>period technology-related professional fees and servicing costs have been reclassified from general, administrative, and other costs to technology, occupancy, and facility costs to conform with current year presentation. The new presentation better aligns the nature of the expenses following our decision to outsource and expand certain technology capabilities through trusted vendor partnerships. The amounts reclassified for the three- and nine-months ended September 30, 2025 were $14.2 million and $43.3 million, respectively. While the presentation of certain expense categories changed, the reclassifications did not impact previously reported total operating expenses, operating income, net income, or cash flows.</w:t>
      </w:r>
    </w:p>
    <w:p>
      <w:pPr>
        <w:spacing w:after="0" w:line="22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unaudited financial information contained in these consolidated financial statements should be read in conjunction with the consolidated financial statements contained in our 2025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23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Our consolidated financial statements include the accounts of all wholly-owned subsidiaries, majority-owned entities that are entitled to a disproportionate allocation of income, or carried interest, and investment products in which we have a controlling interest.</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evaluate our collateralized loan obligations (CLOs) issuer under the consolidation guidance of ASC 810, Consolidation, and have determined that the CLO Issuer are variable interest entities. We consolidate those CLO Issuers for which we are the primary beneficiary and report them with our other consolidated investment products.</w:t>
      </w:r>
    </w:p>
    <w:p>
      <w:pPr>
        <w:spacing w:after="0" w:line="20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have determined that the consolidated CLO Issuer meet the definition of an investment company under ASC 946, Financial Services— Investment Companies. We elected the fair value option under ASC 825, Financial Instruments, for measuring the warehouse facility used by and notes issued by the consolidated CLO Issuers to eliminate accounting inconsistencies that would otherwise result from using different accounting bases. To determine fair value, we elected the collateralized financing entity measurement alternative, under which both the assets and liabilities of the consolidated CLO Issuers would be measured based on the fair value of the CLO’s assets, since they have the more observable fair value. Gains and losses related to changes in the fair value of the assets and liabilities of the consolidated CLO Issuers are recognized in net gains (losses) on consolidated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8" w:name="page9"/>
    <w:bookmarkEnd w:id="8"/>
    <w:p>
      <w:pPr>
        <w:ind w:right="40"/>
        <w:spacing w:after="0" w:line="248" w:lineRule="auto"/>
        <w:rPr>
          <w:sz w:val="20"/>
          <w:szCs w:val="20"/>
          <w:color w:val="auto"/>
        </w:rPr>
      </w:pPr>
      <w:r>
        <w:rPr>
          <w:rFonts w:ascii="Arial" w:cs="Arial" w:eastAsia="Arial" w:hAnsi="Arial"/>
          <w:sz w:val="18"/>
          <w:szCs w:val="18"/>
          <w:color w:val="auto"/>
        </w:rPr>
        <w:t>investment products in the consolidated statements of Income and are largely offset within that line item. Additionally, net income (loss) attributable to T. Rowe Price Group, Inc. reflects only changes in the fair value of its retained economic interests in the consolidated CLO Issuers driven by the elimination of income (loss) attributable to non-controlling interests. We recognize and report the consolidated CLO Issuers's financial information in our consolidated financial statements on a three-month reporting lag as the information is not available in a timely manner. As such, our financial statements and related footnotes at September 30, 2026, reflect the assets, liabilities and related activities of the CLO issuer at June 30, 2026.</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three months ended September 30, 2026, we closed a collateralized loan obligation (CLO) offering. Prior to closing, the CLO issuer acquired debt investments that became collateral for the CLO Notes at closing. These debt investments were financed primarily using a warehouse credit facility and were repaid using proceeds from the CLO Notes to third-party investors at close. We retain a controlling economic interest in the CLO issuer through our ownership of subordinated notes and provide investment management services.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November 2024, the FASB issued Accounting Standards Update No. 2024-03 - </w:t>
      </w:r>
      <w:r>
        <w:rPr>
          <w:rFonts w:ascii="Arial" w:cs="Arial" w:eastAsia="Arial" w:hAnsi="Arial"/>
          <w:sz w:val="17"/>
          <w:szCs w:val="17"/>
          <w:i w:val="1"/>
          <w:iCs w:val="1"/>
          <w:color w:val="auto"/>
        </w:rPr>
        <w:t>Income Statement—Reporting Comprehensive Income—</w:t>
      </w:r>
      <w:r>
        <w:rPr>
          <w:rFonts w:ascii="Arial" w:cs="Arial" w:eastAsia="Arial" w:hAnsi="Arial"/>
          <w:sz w:val="17"/>
          <w:szCs w:val="17"/>
          <w:color w:val="auto"/>
        </w:rPr>
        <w:t xml:space="preserve"> </w:t>
      </w:r>
      <w:r>
        <w:rPr>
          <w:rFonts w:ascii="Arial" w:cs="Arial" w:eastAsia="Arial" w:hAnsi="Arial"/>
          <w:sz w:val="17"/>
          <w:szCs w:val="17"/>
          <w:i w:val="1"/>
          <w:iCs w:val="1"/>
          <w:color w:val="auto"/>
        </w:rPr>
        <w:t>Expense Disaggregation Disclosures (Subtopic 220-40): Disaggregation of Income Statement Expenses</w:t>
      </w:r>
      <w:r>
        <w:rPr>
          <w:rFonts w:ascii="Arial" w:cs="Arial" w:eastAsia="Arial" w:hAnsi="Arial"/>
          <w:sz w:val="17"/>
          <w:szCs w:val="17"/>
          <w:color w:val="auto"/>
        </w:rPr>
        <w:t>, which requires disclosures of</w:t>
      </w:r>
    </w:p>
    <w:p>
      <w:pPr>
        <w:ind w:right="300"/>
        <w:spacing w:after="0" w:line="258" w:lineRule="auto"/>
        <w:rPr>
          <w:sz w:val="20"/>
          <w:szCs w:val="20"/>
          <w:color w:val="auto"/>
        </w:rPr>
      </w:pPr>
      <w:r>
        <w:rPr>
          <w:rFonts w:ascii="Arial" w:cs="Arial" w:eastAsia="Arial" w:hAnsi="Arial"/>
          <w:sz w:val="18"/>
          <w:szCs w:val="18"/>
          <w:color w:val="auto"/>
        </w:rPr>
        <w:t>additional information and disaggregation of certain expenses included in the income statement. The guidance is effective for the firm on January 1, 2027, and allows for either a prospective or retrospective approach on adoption. We are currently evaluating the impact the adoption will have on our financial statements and have not yet determined our transition approach.</w:t>
      </w:r>
    </w:p>
    <w:p>
      <w:pPr>
        <w:spacing w:after="0" w:line="2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September 2025, the FASB issued Accounting Standards Update No. 2025-06 - </w:t>
      </w:r>
      <w:r>
        <w:rPr>
          <w:rFonts w:ascii="Arial" w:cs="Arial" w:eastAsia="Arial" w:hAnsi="Arial"/>
          <w:sz w:val="17"/>
          <w:szCs w:val="17"/>
          <w:i w:val="1"/>
          <w:iCs w:val="1"/>
          <w:color w:val="auto"/>
        </w:rPr>
        <w:t>Intangibles—Goodwill and Other—Internal-Use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350-40): Targeted Improvements to the Accounting for Internal-Use Software</w:t>
      </w:r>
      <w:r>
        <w:rPr>
          <w:rFonts w:ascii="Arial" w:cs="Arial" w:eastAsia="Arial" w:hAnsi="Arial"/>
          <w:sz w:val="17"/>
          <w:szCs w:val="17"/>
          <w:color w:val="auto"/>
        </w:rPr>
        <w:t>, which amends the existing internal-use software</w:t>
      </w:r>
    </w:p>
    <w:p>
      <w:pPr>
        <w:ind w:right="140"/>
        <w:spacing w:after="0" w:line="254" w:lineRule="auto"/>
        <w:rPr>
          <w:sz w:val="20"/>
          <w:szCs w:val="20"/>
          <w:color w:val="auto"/>
        </w:rPr>
      </w:pPr>
      <w:r>
        <w:rPr>
          <w:rFonts w:ascii="Arial" w:cs="Arial" w:eastAsia="Arial" w:hAnsi="Arial"/>
          <w:sz w:val="18"/>
          <w:szCs w:val="18"/>
          <w:color w:val="auto"/>
        </w:rPr>
        <w:t>guidance. The amendment eliminates the project stage model and clarifies that capitalization of internal-use software costs commences when management has authorized and committed funding for the project and it is probable that software will be completed and used for its intended function. The amendment allows for varying transition approaches and is effective for the firm on January 1, 2028, with early adoption permitted. We are currently evaluating the impact the adoption will have on our financial statements and have not yet determined our transition approach.</w:t>
      </w:r>
    </w:p>
    <w:p>
      <w:pPr>
        <w:spacing w:after="0" w:line="210"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unaudited consolidated financial statements, including those we have not yet adopted. We do not believe that any such guidance has or will have a material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31"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5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Net revenues earned in the three- and nine-month periods ended September 30, 2026 and 2025 are included in the table below along with details of investment advisory revenues by underlying asset class. We also included average assets under management by asset class, on which we earn investment advisory fees.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780" w:type="dxa"/>
            <w:vAlign w:val="bottom"/>
            <w:gridSpan w:val="5"/>
            <w:shd w:val="clear" w:color="auto" w:fill="CCEEFF"/>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320" w:type="dxa"/>
            <w:vAlign w:val="bottom"/>
            <w:gridSpan w:val="4"/>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9/30/2026</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9/30/2026</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9/30/2025</w:t>
            </w: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advisory fees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Equity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3,034.0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2,894.6</w:t>
            </w:r>
          </w:p>
        </w:tc>
      </w:tr>
      <w:tr>
        <w:trPr>
          <w:trHeight w:val="229"/>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including money market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r>
      <w:tr>
        <w:trPr>
          <w:trHeight w:val="229"/>
        </w:trPr>
        <w:tc>
          <w:tcPr>
            <w:tcW w:w="5680" w:type="dxa"/>
            <w:vAlign w:val="bottom"/>
          </w:tcPr>
          <w:p>
            <w:pPr>
              <w:ind w:left="140"/>
              <w:spacing w:after="0"/>
              <w:rPr>
                <w:sz w:val="20"/>
                <w:szCs w:val="20"/>
                <w:color w:val="auto"/>
              </w:rPr>
            </w:pPr>
            <w:r>
              <w:rPr>
                <w:rFonts w:ascii="Arial" w:cs="Arial" w:eastAsia="Arial" w:hAnsi="Arial"/>
                <w:sz w:val="18"/>
                <w:szCs w:val="18"/>
                <w:color w:val="auto"/>
              </w:rPr>
              <w:t>Multi-asset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1,402.7</w:t>
            </w:r>
          </w:p>
        </w:tc>
      </w:tr>
      <w:tr>
        <w:trPr>
          <w:trHeight w:val="230"/>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Alternatives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Total investment advisory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1,796.4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1,698.7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5,224.2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4,864.7</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advisory fees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Capital allocation-based income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distribution, servicing, and other fees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452.4</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5,769.3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5,380.7</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 xml:space="preserve">Average AUM </w:t>
            </w:r>
            <w:r>
              <w:rPr>
                <w:rFonts w:ascii="Arial" w:cs="Arial" w:eastAsia="Arial" w:hAnsi="Arial"/>
                <w:sz w:val="14"/>
                <w:szCs w:val="14"/>
                <w:color w:val="auto"/>
              </w:rPr>
              <w:t>(in billions)</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Fixed income, including money market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197.8</w:t>
            </w:r>
          </w:p>
        </w:tc>
      </w:tr>
      <w:tr>
        <w:trPr>
          <w:trHeight w:val="229"/>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Multi-asset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w:t>
            </w:r>
          </w:p>
        </w:tc>
      </w:tr>
      <w:tr>
        <w:trPr>
          <w:trHeight w:val="229"/>
        </w:trPr>
        <w:tc>
          <w:tcPr>
            <w:tcW w:w="5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Alternatives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AUM</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1,644.4</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Total net revenues earned from sponsored investment products totaled $1,708.0 million and $1,594.2 million for the three months ended September 30, 2026 and 2025, respectively. Total net revenues earned during the nine months ended September 30, 2026 and 2025 aggregate to $4,901.1 million and $4,500.7 million, respectively. Accounts receivable from these products aggregate to $708.0 million at September 30, 2026 and $664.2 million at December 31, 2025.</w:t>
      </w:r>
    </w:p>
    <w:p>
      <w:pPr>
        <w:spacing w:after="0" w:line="203" w:lineRule="exact"/>
        <w:rPr>
          <w:sz w:val="20"/>
          <w:szCs w:val="20"/>
          <w:color w:val="auto"/>
        </w:rPr>
      </w:pPr>
    </w:p>
    <w:p>
      <w:pPr>
        <w:ind w:right="1180"/>
        <w:spacing w:after="0" w:line="287" w:lineRule="auto"/>
        <w:rPr>
          <w:sz w:val="20"/>
          <w:szCs w:val="20"/>
          <w:color w:val="auto"/>
        </w:rPr>
      </w:pPr>
      <w:r>
        <w:rPr>
          <w:rFonts w:ascii="Arial" w:cs="Arial" w:eastAsia="Arial" w:hAnsi="Arial"/>
          <w:sz w:val="18"/>
          <w:szCs w:val="18"/>
          <w:color w:val="auto"/>
        </w:rPr>
        <w:t>Investors we serve are primarily domiciled in the United States (U.S.); investors domiciled outside the U.S. account for 9.3% at September 30, 2026, 9.1% at June 30, 2026, and 8.8% at December 31, 2025 of our assets under management.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consolidated investment products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9/30/2026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12/31/2025</w:t>
            </w:r>
          </w:p>
        </w:tc>
      </w:tr>
      <w:tr>
        <w:trPr>
          <w:trHeight w:val="209"/>
        </w:trPr>
        <w:tc>
          <w:tcPr>
            <w:tcW w:w="820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463.7</w:t>
            </w:r>
          </w:p>
        </w:tc>
      </w:tr>
      <w:tr>
        <w:trPr>
          <w:trHeight w:val="229"/>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Redeemable seed capital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r>
      <w:tr>
        <w:trPr>
          <w:trHeight w:val="229"/>
        </w:trPr>
        <w:tc>
          <w:tcPr>
            <w:tcW w:w="8200" w:type="dxa"/>
            <w:vAlign w:val="bottom"/>
          </w:tcPr>
          <w:p>
            <w:pPr>
              <w:ind w:left="260"/>
              <w:spacing w:after="0"/>
              <w:rPr>
                <w:sz w:val="20"/>
                <w:szCs w:val="20"/>
                <w:color w:val="auto"/>
              </w:rPr>
            </w:pPr>
            <w:r>
              <w:rPr>
                <w:rFonts w:ascii="Arial" w:cs="Arial" w:eastAsia="Arial" w:hAnsi="Arial"/>
                <w:sz w:val="18"/>
                <w:szCs w:val="18"/>
                <w:color w:val="auto"/>
              </w:rPr>
              <w:t>Investments used to hedge the deferred compensation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1,243.3</w:t>
            </w: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00" w:type="dxa"/>
            <w:vAlign w:val="bottom"/>
          </w:tcPr>
          <w:p>
            <w:pPr>
              <w:ind w:left="2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Redeemable seed capital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Investments used to hedge the deferred compensation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UTI Asset Management Company Limited (India)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Investments in affiliated private investment funds - carried interest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390.3</w:t>
            </w: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private investment funds - seed/co-investment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204.9</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to maturity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nine months ended September 30, 2026 and 2025, certain T. Rowe Price investment products in which we provided initial seed capital at the time of formation were deconsolidated, as we no longer had a controlling interest. Depending on our ownership interest, we report our residual interests in these T. Rowe Price investment products as either an equity method investment or an investment held at fair value. The net impact on our unaudited consolidated balance sheets and statements of income as of the dates the products were deconsolidated or reconsolidated is detailed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17"/>
                <w:szCs w:val="17"/>
                <w:color w:val="auto"/>
              </w:rPr>
            </w:pPr>
          </w:p>
        </w:tc>
        <w:tc>
          <w:tcPr>
            <w:tcW w:w="2720" w:type="dxa"/>
            <w:vAlign w:val="bottom"/>
            <w:gridSpan w:val="4"/>
            <w:shd w:val="clear" w:color="auto" w:fill="CCEEFF"/>
          </w:tcPr>
          <w:p>
            <w:pPr>
              <w:jc w:val="right"/>
              <w:ind w:right="734"/>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9/30/2026</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9/30/2026</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9/30/2025</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assets of consolidated investment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decrease in liabilities of consolidated investment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redeemable non-controlling interests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r>
      <w:tr>
        <w:trPr>
          <w:trHeight w:val="54"/>
        </w:trPr>
        <w:tc>
          <w:tcPr>
            <w:tcW w:w="5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recognized upon deconsolidation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157"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The net gains recognized upon deconsolidation were the result of reclassifying accumulated currency translation adjustments on certain consolidated investment products with non-USD functional currencies from accumulated other comprehensive income to non-operating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AT FAIR VALUE</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investment partnerships and other investments held at fair value are valued using net asset value (NAV) per share as a practical expedient or using the measurement alternative. Our interests in the investment partnerships are generally not redeemable and are subject to significant transferability restrictions. The underlying investments of these partnerships have contractual terms through 2036, though we may receive distributions of liquidating assets over a longer term. The investment strategies of these partnerships include growth equity, buyout, venture capital, and real estate.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both"/>
        <w:ind w:right="20"/>
        <w:spacing w:after="0" w:line="268" w:lineRule="auto"/>
        <w:rPr>
          <w:sz w:val="20"/>
          <w:szCs w:val="20"/>
          <w:color w:val="auto"/>
        </w:rPr>
      </w:pPr>
      <w:r>
        <w:rPr>
          <w:rFonts w:ascii="Arial" w:cs="Arial" w:eastAsia="Arial" w:hAnsi="Arial"/>
          <w:sz w:val="18"/>
          <w:szCs w:val="18"/>
          <w:color w:val="auto"/>
        </w:rPr>
        <w:t>During the three- and nine-months ended September 30, 2026, we recognized $35.8 million and $79.3 million, respectively, of net unrealized gains on investments held at fair value that were still held at September 30, 2026. For the same periods of 2025, we recognized $80.8 million and $165.9 million, respectively, of net unrealized gains on investments held at fair value that were still held at September 30,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10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fair value and equity method investments at September 30, 2026 and December 31, 2025, include interests in variable interest entities that we do not consolidate as we are not deemed the primary beneficiary. Our maximum risk of loss related to our involvement with these entities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9/30/2026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12/31/2025</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1,178.8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978.7</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risk of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unfunded capital commitments noted in the table above primarily relate to affiliated private investment funds and the investment partnerships in which we have an existing investment. In addition to such amounts, a percentage of prior distributions may be recalled under certain circumstances.</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Investments in affiliated private investment funds - carried interest represent interests in the general partners of affiliated private investment funds that are entitled to a disproportionate allocation of income, also known as carried interest. The entities that hold these interests (carried interest entities) are considered variable interest entities and are consolidated as T. Rowe Price is determined to be the primary beneficiary. The total assets, liabilities and non-controlling interests of these carried interest entities at September 30, 2026 and December 31, 2025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9/30/2026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4"/>
                <w:szCs w:val="14"/>
                <w:b w:val="1"/>
                <w:bCs w:val="1"/>
                <w:color w:val="auto"/>
              </w:rPr>
              <w:t>12/31/2025</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00" w:type="dxa"/>
            <w:vAlign w:val="bottom"/>
          </w:tcPr>
          <w:p>
            <w:pPr>
              <w:ind w:left="20"/>
              <w:spacing w:after="0" w:line="203" w:lineRule="exact"/>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157.1</w:t>
            </w: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COLLATERALIZED LOAN OBLIGATIONS.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is debt associated with our investments in certain affiliated collateralized loan obligations. The debt outstanding is related to repurchase agreements of €17.1 million at September 30, 2026, compared to €18.6 million at December 31, 2025 (equivalent to $19.4 million at September 30, 2026 and $21.8 million at December 31, 2025 at the respective EUR spot rates) that are collateralized by the CLO investments and reported in accounts payable and accrued expenses in our consolidated balance sheet. These repurchase agreements bear interest at rates based on EURIBOR plus the initial margin, which equals all-in rates ranging from 3.5% to 11.4% at September 30, 2026. The debt matures on various dates through 2035 or if the investments are paid back in full or cancelled, whichever is sooner.</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determine the fair value of our cash equivalents and certain investments held at fair value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financial instruments accessible at the reporting date.</w:t>
      </w:r>
    </w:p>
    <w:p>
      <w:pPr>
        <w:spacing w:after="0" w:line="27" w:lineRule="exact"/>
        <w:rPr>
          <w:sz w:val="20"/>
          <w:szCs w:val="20"/>
          <w:color w:val="auto"/>
        </w:rPr>
      </w:pPr>
    </w:p>
    <w:p>
      <w:pPr>
        <w:ind w:left="740" w:right="2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financial instruments in active markets, quoted prices for identical or similar financial instruments in inactive markets, interest rates and yield curves, implied volatilities, and credit spreads. These inputs are based on market data obtained from independent sources.</w:t>
      </w:r>
    </w:p>
    <w:p>
      <w:pPr>
        <w:spacing w:after="0" w:line="1" w:lineRule="exact"/>
        <w:rPr>
          <w:sz w:val="20"/>
          <w:szCs w:val="20"/>
          <w:color w:val="auto"/>
        </w:rPr>
      </w:pPr>
    </w:p>
    <w:p>
      <w:pPr>
        <w:ind w:left="740" w:right="200" w:hanging="728"/>
        <w:spacing w:after="0" w:line="266"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 w:name="page13"/>
    <w:bookmarkEnd w:id="12"/>
    <w:p>
      <w:pPr>
        <w:ind w:left="740" w:right="200"/>
        <w:spacing w:after="0" w:line="287" w:lineRule="auto"/>
        <w:rPr>
          <w:sz w:val="20"/>
          <w:szCs w:val="20"/>
          <w:color w:val="auto"/>
        </w:rPr>
      </w:pPr>
      <w:r>
        <w:rPr>
          <w:rFonts w:ascii="Arial" w:cs="Arial" w:eastAsia="Arial" w:hAnsi="Arial"/>
          <w:sz w:val="18"/>
          <w:szCs w:val="18"/>
          <w:color w:val="auto"/>
        </w:rPr>
        <w:t>this category generally include investments for which there is not an actively-traded market. There were no Level 3 investments at September 30, 2026 and December 31, 2025.</w:t>
      </w:r>
    </w:p>
    <w:p>
      <w:pPr>
        <w:spacing w:after="0" w:line="18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and liabilities that are recognized in our unaudited consolidated balance sheet using fair value measurements determined based on the differing levels of inputs. This table excludes investments held by the consolidated investment products, which are presented separately in our unaudited consolidated balance sheet and are detailed in Note 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9/30/2026</w:t>
            </w: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12/31/2025</w:t>
            </w:r>
          </w:p>
        </w:tc>
        <w:tc>
          <w:tcPr>
            <w:tcW w:w="800" w:type="dxa"/>
            <w:vAlign w:val="bottom"/>
            <w:tcBorders>
              <w:bottom w:val="single" w:sz="8" w:color="auto"/>
            </w:tcBorders>
            <w:shd w:val="clear" w:color="auto" w:fill="CCEEFF"/>
          </w:tcPr>
          <w:p>
            <w:pPr>
              <w:spacing w:after="0"/>
              <w:rPr>
                <w:sz w:val="17"/>
                <w:szCs w:val="17"/>
                <w:color w:val="auto"/>
              </w:rPr>
            </w:pPr>
          </w:p>
        </w:tc>
      </w:tr>
      <w:tr>
        <w:trPr>
          <w:trHeight w:val="195"/>
        </w:trPr>
        <w:tc>
          <w:tcPr>
            <w:tcW w:w="6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Level 2</w:t>
            </w:r>
          </w:p>
        </w:tc>
      </w:tr>
      <w:tr>
        <w:trPr>
          <w:trHeight w:val="211"/>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29"/>
        </w:trPr>
        <w:tc>
          <w:tcPr>
            <w:tcW w:w="6500" w:type="dxa"/>
            <w:vAlign w:val="bottom"/>
          </w:tcPr>
          <w:p>
            <w:pPr>
              <w:ind w:left="100"/>
              <w:spacing w:after="0"/>
              <w:rPr>
                <w:sz w:val="20"/>
                <w:szCs w:val="20"/>
                <w:color w:val="auto"/>
              </w:rPr>
            </w:pPr>
            <w:r>
              <w:rPr>
                <w:rFonts w:ascii="Arial" w:cs="Arial" w:eastAsia="Arial" w:hAnsi="Arial"/>
                <w:sz w:val="18"/>
                <w:szCs w:val="18"/>
                <w:color w:val="auto"/>
              </w:rPr>
              <w:t>Cash equivalents held in 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3,270.3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Discretionary investments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33399"/>
              </w:rPr>
              <w:t>—</w:t>
            </w:r>
          </w:p>
        </w:tc>
      </w:tr>
      <w:tr>
        <w:trPr>
          <w:trHeight w:val="230"/>
        </w:trPr>
        <w:tc>
          <w:tcPr>
            <w:tcW w:w="6500" w:type="dxa"/>
            <w:vAlign w:val="bottom"/>
          </w:tcPr>
          <w:p>
            <w:pPr>
              <w:ind w:left="100"/>
              <w:spacing w:after="0"/>
              <w:rPr>
                <w:sz w:val="20"/>
                <w:szCs w:val="20"/>
                <w:color w:val="auto"/>
              </w:rPr>
            </w:pPr>
            <w:r>
              <w:rPr>
                <w:rFonts w:ascii="Arial" w:cs="Arial" w:eastAsia="Arial" w:hAnsi="Arial"/>
                <w:sz w:val="18"/>
                <w:szCs w:val="18"/>
                <w:color w:val="auto"/>
              </w:rPr>
              <w:t>Redeemable seed capital investments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 used to hedge the deferred compensation liabilities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tcPr>
          <w:p>
            <w:pPr>
              <w:ind w:left="80"/>
              <w:spacing w:after="0"/>
              <w:rPr>
                <w:sz w:val="20"/>
                <w:szCs w:val="20"/>
                <w:color w:val="auto"/>
              </w:rPr>
            </w:pPr>
            <w:r>
              <w:rPr>
                <w:rFonts w:ascii="Arial" w:cs="Arial" w:eastAsia="Arial" w:hAnsi="Arial"/>
                <w:sz w:val="18"/>
                <w:szCs w:val="18"/>
                <w:color w:val="auto"/>
              </w:rPr>
              <w:t>Other investments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5,696.1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5,014.9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r>
      <w:tr>
        <w:trPr>
          <w:trHeight w:val="21"/>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or the measurement alternative. The carrying value of these investments as disclosed in Note 3 was $121.8 million at September 30, 2026 and $154.4 million at December 31,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INVESTMENT PRODUCTS.</w:t>
      </w:r>
    </w:p>
    <w:p>
      <w:pPr>
        <w:spacing w:after="0" w:line="25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investment products that we consolidate in our financial statements are generally those products we provided initial seed capital at the time of their formation and have a controlling interest. Our U.S. mutual funds and certain other products are considered voting interest entities, while those regulated outside the U.S. and CLOs are considered variable interest entities.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investment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55"/>
              <w:spacing w:after="0"/>
              <w:rPr>
                <w:sz w:val="20"/>
                <w:szCs w:val="20"/>
                <w:color w:val="auto"/>
              </w:rPr>
            </w:pPr>
            <w:r>
              <w:rPr>
                <w:rFonts w:ascii="Arial" w:cs="Arial" w:eastAsia="Arial" w:hAnsi="Arial"/>
                <w:sz w:val="14"/>
                <w:szCs w:val="14"/>
                <w:b w:val="1"/>
                <w:bCs w:val="1"/>
                <w:color w:val="auto"/>
              </w:rPr>
              <w:t>9/30/2026</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55"/>
              <w:spacing w:after="0"/>
              <w:rPr>
                <w:sz w:val="20"/>
                <w:szCs w:val="20"/>
                <w:color w:val="auto"/>
              </w:rPr>
            </w:pPr>
            <w:r>
              <w:rPr>
                <w:rFonts w:ascii="Arial" w:cs="Arial" w:eastAsia="Arial" w:hAnsi="Arial"/>
                <w:sz w:val="14"/>
                <w:szCs w:val="14"/>
                <w:b w:val="1"/>
                <w:bCs w:val="1"/>
                <w:color w:val="auto"/>
              </w:rPr>
              <w:t>12/31/2025</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2"/>
                <w:szCs w:val="12"/>
                <w:color w:val="auto"/>
              </w:rPr>
            </w:pPr>
          </w:p>
        </w:tc>
        <w:tc>
          <w:tcPr>
            <w:tcW w:w="7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entities</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1,885.5</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1,951.0</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Debt</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and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1,929.7</w:t>
            </w:r>
          </w:p>
        </w:tc>
        <w:tc>
          <w:tcPr>
            <w:tcW w:w="0" w:type="dxa"/>
            <w:vAlign w:val="bottom"/>
          </w:tcPr>
          <w:p>
            <w:pPr>
              <w:spacing w:after="0"/>
              <w:rPr>
                <w:sz w:val="1"/>
                <w:szCs w:val="1"/>
                <w:color w:val="auto"/>
              </w:rPr>
            </w:pPr>
          </w:p>
        </w:tc>
      </w:tr>
      <w:tr>
        <w:trPr>
          <w:trHeight w:val="46"/>
        </w:trPr>
        <w:tc>
          <w:tcPr>
            <w:tcW w:w="46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6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Attributable to T. Rowe Price Group</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400.6</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611.6</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1,012.2</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623.9</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80" w:right="2820" w:hanging="172"/>
        <w:spacing w:after="0" w:line="236" w:lineRule="auto"/>
        <w:tabs>
          <w:tab w:leader="none" w:pos="158" w:val="left"/>
        </w:tabs>
        <w:numPr>
          <w:ilvl w:val="0"/>
          <w:numId w:val="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Cash and cash equivalents includes $37.5 million at September 30, 2026 and $2.5 million at December 31, 2025 of investments in T. Rowe Price money market mutual funds.</w:t>
      </w:r>
    </w:p>
    <w:p>
      <w:pPr>
        <w:spacing w:after="0" w:line="1" w:lineRule="exact"/>
        <w:rPr>
          <w:rFonts w:ascii="Arial" w:cs="Arial" w:eastAsia="Arial" w:hAnsi="Arial"/>
          <w:sz w:val="18"/>
          <w:szCs w:val="18"/>
          <w:i w:val="1"/>
          <w:iCs w:val="1"/>
          <w:color w:val="auto"/>
          <w:vertAlign w:val="superscript"/>
        </w:rPr>
      </w:pPr>
    </w:p>
    <w:p>
      <w:pPr>
        <w:ind w:left="140" w:hanging="132"/>
        <w:spacing w:after="0" w:line="229" w:lineRule="auto"/>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$108.4 million at September 30, 2026 and $61.7 million at December 31, 2025 of other T. Rowe Price investment products.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ind w:left="180" w:right="140" w:hanging="172"/>
        <w:spacing w:after="0" w:line="231" w:lineRule="auto"/>
        <w:tabs>
          <w:tab w:leader="none" w:pos="172" w:val="left"/>
        </w:tabs>
        <w:numPr>
          <w:ilvl w:val="0"/>
          <w:numId w:val="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 xml:space="preserve">At </w:t>
      </w:r>
      <w:r>
        <w:rPr>
          <w:rFonts w:ascii="Arial" w:cs="Arial" w:eastAsia="Arial" w:hAnsi="Arial"/>
          <w:sz w:val="14"/>
          <w:szCs w:val="14"/>
          <w:color w:val="auto"/>
        </w:rPr>
        <w:t>September 30, 2026, debt</w:t>
      </w:r>
      <w:r>
        <w:rPr>
          <w:rFonts w:ascii="Arial" w:cs="Arial" w:eastAsia="Arial" w:hAnsi="Arial"/>
          <w:sz w:val="14"/>
          <w:szCs w:val="14"/>
          <w:i w:val="1"/>
          <w:iCs w:val="1"/>
          <w:color w:val="auto"/>
        </w:rPr>
        <w:t xml:space="preserve"> includes $368.5 million in notes issued from a CLO and $35.3 million related to a warehouse facility used by the CLO issuer to finance the accumulation of investment assets along with unsettled trades prior to securitization. See the fair value table below for further details on the notes issued by the CLO. The warehouse facility has a floating interest rate based on the daily simple Secured Overnight Financing Rate (SOFR) plus 1.65%. In the event of a default, the floating interest rate is based on the daily simple SOFR plus 2.00%.</w:t>
      </w:r>
    </w:p>
    <w:p>
      <w:pPr>
        <w:spacing w:after="0" w:line="22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Although we can generally redeem our net interest in the consolidated investment products at any time, we cannot directly access or sell the assets held by these products to obtain cash for general operations. Additionally, the assets of these investment products are not available to our general creditors.</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Since third-party investors in these investment products have no recourse to our credit, our overall risk related to the consolidated investment products is limited to valuation changes associated with our net interest. However, we are required to recognize the valuation changes associated with all underlying investments held by these products in our consolidated statements of income and disclose the portion attributable to unrelated third-party investors as net income attributable to non-controlling interests.</w:t>
      </w:r>
    </w:p>
    <w:p>
      <w:pPr>
        <w:spacing w:after="0" w:line="20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operating results of the consolidated investment products for the three- and nine-months ended September 30, 2026 and 2025 are reflected in our unaudited consolidated statements of income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8"/>
            <w:shd w:val="clear" w:color="auto" w:fill="CCEEFF"/>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9/30/2026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9/30/2025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4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20" w:type="dxa"/>
            <w:vAlign w:val="bottom"/>
            <w:gridSpan w:val="4"/>
            <w:vMerge w:val="restart"/>
            <w:shd w:val="clear" w:color="auto" w:fill="CCEEFF"/>
          </w:tcPr>
          <w:p>
            <w:pPr>
              <w:spacing w:after="0"/>
              <w:rPr>
                <w:sz w:val="20"/>
                <w:szCs w:val="20"/>
                <w:color w:val="auto"/>
              </w:rPr>
            </w:pPr>
            <w:r>
              <w:rPr>
                <w:rFonts w:ascii="Arial" w:cs="Arial" w:eastAsia="Arial" w:hAnsi="Arial"/>
                <w:sz w:val="14"/>
                <w:szCs w:val="14"/>
                <w:b w:val="1"/>
                <w:bCs w:val="1"/>
                <w:color w:val="auto"/>
              </w:rPr>
              <w:t>Voting interest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Variable</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4"/>
            <w:vMerge w:val="restart"/>
            <w:shd w:val="clear" w:color="auto" w:fill="CCEEFF"/>
          </w:tcPr>
          <w:p>
            <w:pPr>
              <w:spacing w:after="0"/>
              <w:rPr>
                <w:sz w:val="20"/>
                <w:szCs w:val="20"/>
                <w:color w:val="auto"/>
              </w:rPr>
            </w:pPr>
            <w:r>
              <w:rPr>
                <w:rFonts w:ascii="Arial" w:cs="Arial" w:eastAsia="Arial" w:hAnsi="Arial"/>
                <w:sz w:val="14"/>
                <w:szCs w:val="14"/>
                <w:b w:val="1"/>
                <w:bCs w:val="1"/>
                <w:color w:val="auto"/>
              </w:rPr>
              <w:t>Voting interest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Variable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shd w:val="clear" w:color="auto" w:fill="CCEEFF"/>
          </w:tcPr>
          <w:p>
            <w:pPr>
              <w:spacing w:after="0"/>
              <w:rPr>
                <w:sz w:val="12"/>
                <w:szCs w:val="12"/>
                <w:color w:val="auto"/>
              </w:rPr>
            </w:pPr>
          </w:p>
        </w:tc>
        <w:tc>
          <w:tcPr>
            <w:tcW w:w="1120" w:type="dxa"/>
            <w:vAlign w:val="bottom"/>
            <w:gridSpan w:val="4"/>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interest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 w:type="dxa"/>
            <w:vAlign w:val="bottom"/>
            <w:shd w:val="clear" w:color="auto" w:fill="CCEEFF"/>
          </w:tcPr>
          <w:p>
            <w:pPr>
              <w:spacing w:after="0"/>
              <w:rPr>
                <w:sz w:val="12"/>
                <w:szCs w:val="12"/>
                <w:color w:val="auto"/>
              </w:rPr>
            </w:pPr>
          </w:p>
        </w:tc>
        <w:tc>
          <w:tcPr>
            <w:tcW w:w="1140" w:type="dxa"/>
            <w:vAlign w:val="bottom"/>
            <w:gridSpan w:val="4"/>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2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3"/>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entities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entities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center"/>
              <w:ind w:left="333"/>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investment income (loss) reflected in non-</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center"/>
              <w:ind w:left="353"/>
              <w:spacing w:after="0"/>
              <w:rPr>
                <w:sz w:val="20"/>
                <w:szCs w:val="20"/>
                <w:color w:val="auto"/>
              </w:rPr>
            </w:pPr>
            <w:r>
              <w:rPr>
                <w:rFonts w:ascii="Arial" w:cs="Arial" w:eastAsia="Arial" w:hAnsi="Arial"/>
                <w:sz w:val="18"/>
                <w:szCs w:val="18"/>
                <w:color w:val="auto"/>
                <w:w w:val="95"/>
              </w:rPr>
              <w:t>3.2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center"/>
              <w:ind w:left="353"/>
              <w:spacing w:after="0"/>
              <w:rPr>
                <w:sz w:val="20"/>
                <w:szCs w:val="20"/>
                <w:color w:val="auto"/>
              </w:rPr>
            </w:pPr>
            <w:r>
              <w:rPr>
                <w:rFonts w:ascii="Arial" w:cs="Arial" w:eastAsia="Arial" w:hAnsi="Arial"/>
                <w:sz w:val="18"/>
                <w:szCs w:val="18"/>
                <w:color w:val="auto"/>
                <w:w w:val="95"/>
              </w:rPr>
              <w:t>7.1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95"/>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95"/>
              </w:rPr>
              <w:t>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gridSpan w:val="4"/>
          </w:tcPr>
          <w:p>
            <w:pPr>
              <w:ind w:left="20"/>
              <w:spacing w:after="0"/>
              <w:rPr>
                <w:sz w:val="20"/>
                <w:szCs w:val="20"/>
                <w:color w:val="auto"/>
              </w:rPr>
            </w:pPr>
            <w:r>
              <w:rPr>
                <w:rFonts w:ascii="Arial" w:cs="Arial" w:eastAsia="Arial" w:hAnsi="Arial"/>
                <w:sz w:val="18"/>
                <w:szCs w:val="18"/>
                <w:color w:val="auto"/>
              </w:rPr>
              <w:t>Net income (loss) attributable to T. Rowe Price Group $</w:t>
            </w:r>
          </w:p>
        </w:tc>
        <w:tc>
          <w:tcPr>
            <w:tcW w:w="840" w:type="dxa"/>
            <w:vAlign w:val="bottom"/>
          </w:tcPr>
          <w:p>
            <w:pPr>
              <w:jc w:val="center"/>
              <w:ind w:left="353"/>
              <w:spacing w:after="0"/>
              <w:rPr>
                <w:sz w:val="20"/>
                <w:szCs w:val="20"/>
                <w:color w:val="auto"/>
              </w:rPr>
            </w:pPr>
            <w:r>
              <w:rPr>
                <w:rFonts w:ascii="Arial" w:cs="Arial" w:eastAsia="Arial" w:hAnsi="Arial"/>
                <w:sz w:val="18"/>
                <w:szCs w:val="18"/>
                <w:color w:val="auto"/>
                <w:w w:val="95"/>
              </w:rPr>
              <w:t>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40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353"/>
              <w:spacing w:after="0"/>
              <w:rPr>
                <w:sz w:val="20"/>
                <w:szCs w:val="20"/>
                <w:color w:val="auto"/>
              </w:rPr>
            </w:pPr>
            <w:r>
              <w:rPr>
                <w:rFonts w:ascii="Arial" w:cs="Arial" w:eastAsia="Arial" w:hAnsi="Arial"/>
                <w:sz w:val="18"/>
                <w:szCs w:val="18"/>
                <w:color w:val="auto"/>
                <w:w w:val="95"/>
              </w:rPr>
              <w:t>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center"/>
              <w:ind w:left="353"/>
              <w:spacing w:after="0"/>
              <w:rPr>
                <w:sz w:val="20"/>
                <w:szCs w:val="20"/>
                <w:color w:val="auto"/>
              </w:rPr>
            </w:pPr>
            <w:r>
              <w:rPr>
                <w:rFonts w:ascii="Arial" w:cs="Arial" w:eastAsia="Arial" w:hAnsi="Arial"/>
                <w:sz w:val="18"/>
                <w:szCs w:val="18"/>
                <w:color w:val="auto"/>
                <w:w w:val="95"/>
              </w:rPr>
              <w:t>1.6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95"/>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95"/>
              </w:rPr>
              <w:t>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10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8"/>
            <w:shd w:val="clear" w:color="auto" w:fill="CCEEFF"/>
          </w:tcPr>
          <w:p>
            <w:pPr>
              <w:ind w:left="2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2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9/30/2026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9/30/2025</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4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20" w:type="dxa"/>
            <w:vAlign w:val="bottom"/>
            <w:gridSpan w:val="4"/>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Voting interest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100"/>
              <w:spacing w:after="0" w:line="143" w:lineRule="exact"/>
              <w:rPr>
                <w:sz w:val="20"/>
                <w:szCs w:val="20"/>
                <w:color w:val="auto"/>
              </w:rPr>
            </w:pPr>
            <w:r>
              <w:rPr>
                <w:rFonts w:ascii="Arial" w:cs="Arial" w:eastAsia="Arial" w:hAnsi="Arial"/>
                <w:sz w:val="14"/>
                <w:szCs w:val="14"/>
                <w:b w:val="1"/>
                <w:bCs w:val="1"/>
                <w:color w:val="auto"/>
              </w:rPr>
              <w:t>Variable</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4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Voting interest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100"/>
              <w:spacing w:after="0" w:line="143" w:lineRule="exact"/>
              <w:rPr>
                <w:sz w:val="20"/>
                <w:szCs w:val="20"/>
                <w:color w:val="auto"/>
              </w:rPr>
            </w:pPr>
            <w:r>
              <w:rPr>
                <w:rFonts w:ascii="Arial" w:cs="Arial" w:eastAsia="Arial" w:hAnsi="Arial"/>
                <w:sz w:val="14"/>
                <w:szCs w:val="14"/>
                <w:b w:val="1"/>
                <w:bCs w:val="1"/>
                <w:color w:val="auto"/>
              </w:rPr>
              <w:t>Variable</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0" w:type="dxa"/>
            <w:vAlign w:val="bottom"/>
            <w:shd w:val="clear" w:color="auto" w:fill="CCEEFF"/>
          </w:tcPr>
          <w:p>
            <w:pPr>
              <w:spacing w:after="0"/>
              <w:rPr>
                <w:sz w:val="12"/>
                <w:szCs w:val="12"/>
                <w:color w:val="auto"/>
              </w:rPr>
            </w:pPr>
          </w:p>
        </w:tc>
        <w:tc>
          <w:tcPr>
            <w:tcW w:w="1120" w:type="dxa"/>
            <w:vAlign w:val="bottom"/>
            <w:gridSpan w:val="4"/>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interest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3"/>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shd w:val="clear" w:color="auto" w:fill="CCEEFF"/>
          </w:tcPr>
          <w:p>
            <w:pPr>
              <w:spacing w:after="0"/>
              <w:rPr>
                <w:sz w:val="12"/>
                <w:szCs w:val="12"/>
                <w:color w:val="auto"/>
              </w:rPr>
            </w:pPr>
          </w:p>
        </w:tc>
        <w:tc>
          <w:tcPr>
            <w:tcW w:w="1140" w:type="dxa"/>
            <w:vAlign w:val="bottom"/>
            <w:gridSpan w:val="4"/>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interest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2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ind w:left="140"/>
              <w:spacing w:after="0"/>
              <w:rPr>
                <w:sz w:val="20"/>
                <w:szCs w:val="20"/>
                <w:color w:val="auto"/>
              </w:rPr>
            </w:pPr>
            <w:r>
              <w:rPr>
                <w:rFonts w:ascii="Arial" w:cs="Arial" w:eastAsia="Arial" w:hAnsi="Arial"/>
                <w:sz w:val="14"/>
                <w:szCs w:val="14"/>
                <w:b w:val="1"/>
                <w:bCs w:val="1"/>
                <w:color w:val="auto"/>
              </w:rPr>
              <w:t>entities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entities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ind w:left="140"/>
              <w:spacing w:after="0"/>
              <w:rPr>
                <w:sz w:val="20"/>
                <w:szCs w:val="20"/>
                <w:color w:val="auto"/>
              </w:rPr>
            </w:pPr>
            <w:r>
              <w:rPr>
                <w:rFonts w:ascii="Arial" w:cs="Arial" w:eastAsia="Arial" w:hAnsi="Arial"/>
                <w:sz w:val="14"/>
                <w:szCs w:val="14"/>
                <w:b w:val="1"/>
                <w:bCs w:val="1"/>
                <w:color w:val="auto"/>
              </w:rPr>
              <w:t>entities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tcPr>
          <w:p>
            <w:pPr>
              <w:jc w:val="center"/>
              <w:ind w:left="373"/>
              <w:spacing w:after="0"/>
              <w:rPr>
                <w:sz w:val="20"/>
                <w:szCs w:val="20"/>
                <w:color w:val="auto"/>
              </w:rPr>
            </w:pPr>
            <w:r>
              <w:rPr>
                <w:rFonts w:ascii="Arial" w:cs="Arial" w:eastAsia="Arial" w:hAnsi="Arial"/>
                <w:sz w:val="18"/>
                <w:szCs w:val="18"/>
                <w:color w:val="auto"/>
                <w:w w:val="97"/>
              </w:rPr>
              <w:t>(1.0)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tcPr>
          <w:p>
            <w:pPr>
              <w:ind w:left="520"/>
              <w:spacing w:after="0"/>
              <w:rPr>
                <w:sz w:val="20"/>
                <w:szCs w:val="20"/>
                <w:color w:val="auto"/>
              </w:rPr>
            </w:pPr>
            <w:r>
              <w:rPr>
                <w:rFonts w:ascii="Arial" w:cs="Arial" w:eastAsia="Arial" w:hAnsi="Arial"/>
                <w:sz w:val="18"/>
                <w:szCs w:val="18"/>
                <w:color w:val="auto"/>
                <w:w w:val="97"/>
              </w:rPr>
              <w:t>(7.6)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color w:val="auto"/>
                <w:w w:val="97"/>
              </w:rPr>
              <w:t>(8.6)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2"/>
          </w:tcPr>
          <w:p>
            <w:pPr>
              <w:ind w:left="5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investment income (loss) reflected in non-</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30.7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73.2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4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29.7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64.6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00" w:type="dxa"/>
            <w:vAlign w:val="bottom"/>
            <w:gridSpan w:val="3"/>
          </w:tcPr>
          <w:p>
            <w:pPr>
              <w:ind w:left="20"/>
              <w:spacing w:after="0"/>
              <w:rPr>
                <w:sz w:val="20"/>
                <w:szCs w:val="20"/>
                <w:color w:val="auto"/>
              </w:rPr>
            </w:pPr>
            <w:r>
              <w:rPr>
                <w:rFonts w:ascii="Arial" w:cs="Arial" w:eastAsia="Arial" w:hAnsi="Arial"/>
                <w:sz w:val="18"/>
                <w:szCs w:val="18"/>
                <w:color w:val="auto"/>
              </w:rPr>
              <w:t>Net income (loss) attributable to T. Rowe Price Group $</w:t>
            </w:r>
          </w:p>
        </w:tc>
        <w:tc>
          <w:tcPr>
            <w:tcW w:w="840" w:type="dxa"/>
            <w:vAlign w:val="bottom"/>
          </w:tcPr>
          <w:p>
            <w:pPr>
              <w:ind w:left="440"/>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ind w:left="400"/>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34.1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29.7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64.6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4" w:name="page15"/>
    <w:bookmarkEnd w:id="14"/>
    <w:p>
      <w:pPr>
        <w:ind w:right="260"/>
        <w:spacing w:after="0" w:line="257" w:lineRule="auto"/>
        <w:rPr>
          <w:sz w:val="20"/>
          <w:szCs w:val="20"/>
          <w:color w:val="auto"/>
        </w:rPr>
      </w:pPr>
      <w:r>
        <w:rPr>
          <w:rFonts w:ascii="Arial" w:cs="Arial" w:eastAsia="Arial" w:hAnsi="Arial"/>
          <w:sz w:val="18"/>
          <w:szCs w:val="18"/>
          <w:color w:val="auto"/>
        </w:rPr>
        <w:t>The operating expenses of the consolidated investment products are reflected in general, administrative and other expenses. In preparing our unaudited consolidated financial statements, we eliminated operating expenses of $1.2 million and $0.8 million for the three months ended September 30, 2026 and 2025, respectively, against the investment advisory and administrative fees earned from these products. Operating expenses eliminated for the nine months ended September 30, 2026 and 2025 were $3.9 million and $3.6 million, respectively. The net investment income (loss) reflected in non-operating income (loss) includes dividend and interest income as well as realized and unrealized gains and losses on the underlying securities held by the consolidated investment products.</w:t>
      </w:r>
    </w:p>
    <w:p>
      <w:pPr>
        <w:spacing w:after="0" w:line="304"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following table details the impact of these consolidated investment products on the individual lines of our unaudited consolidated statements of cash flows.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9/30/2026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9/30/2025</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12"/>
                <w:szCs w:val="12"/>
                <w:color w:val="auto"/>
              </w:rPr>
            </w:pPr>
          </w:p>
        </w:tc>
        <w:tc>
          <w:tcPr>
            <w:tcW w:w="116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Voting interest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Voting interest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116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3"/>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Arial" w:cs="Arial" w:eastAsia="Arial" w:hAnsi="Arial"/>
                <w:sz w:val="15"/>
                <w:szCs w:val="15"/>
                <w:color w:val="auto"/>
              </w:rPr>
              <w:t>Net cash provided by (used in) operating activities</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(572.1)</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(440.8)</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(646.5)</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5"/>
                <w:szCs w:val="15"/>
                <w:color w:val="auto"/>
              </w:rPr>
              <w:t>Net cash provided by (used in) financing activities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610.5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948.8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465.2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664.9</w:t>
            </w:r>
          </w:p>
        </w:tc>
        <w:tc>
          <w:tcPr>
            <w:tcW w:w="0" w:type="dxa"/>
            <w:vAlign w:val="bottom"/>
          </w:tcPr>
          <w:p>
            <w:pPr>
              <w:spacing w:after="0"/>
              <w:rPr>
                <w:sz w:val="1"/>
                <w:szCs w:val="1"/>
                <w:color w:val="auto"/>
              </w:rPr>
            </w:pPr>
          </w:p>
        </w:tc>
      </w:tr>
      <w:tr>
        <w:trPr>
          <w:trHeight w:val="159"/>
        </w:trPr>
        <w:tc>
          <w:tcPr>
            <w:tcW w:w="43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Effect of exchange rate changes on cash and cash equivalents</w:t>
            </w:r>
          </w:p>
        </w:tc>
        <w:tc>
          <w:tcPr>
            <w:tcW w:w="2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spacing w:after="0"/>
              <w:rPr>
                <w:sz w:val="20"/>
                <w:szCs w:val="20"/>
                <w:color w:val="auto"/>
              </w:rPr>
            </w:pPr>
            <w:r>
              <w:rPr>
                <w:rFonts w:ascii="Arial" w:cs="Arial" w:eastAsia="Arial" w:hAnsi="Arial"/>
                <w:sz w:val="15"/>
                <w:szCs w:val="15"/>
                <w:color w:val="auto"/>
              </w:rPr>
              <w:t>of consolidated investment products</w:t>
            </w:r>
          </w:p>
        </w:tc>
        <w:tc>
          <w:tcPr>
            <w:tcW w:w="2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5"/>
                <w:szCs w:val="15"/>
                <w:color w:val="auto"/>
              </w:rPr>
              <w:t>Net change in cash and cash equivalents during period</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beginning of year</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5"/>
                <w:szCs w:val="15"/>
                <w:color w:val="auto"/>
              </w:rPr>
              <w:t>Cash and cash equivalents at end of period</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440"/>
        <w:spacing w:after="0" w:line="233" w:lineRule="auto"/>
        <w:rPr>
          <w:sz w:val="20"/>
          <w:szCs w:val="20"/>
          <w:color w:val="auto"/>
        </w:rPr>
      </w:pPr>
      <w:r>
        <w:rPr>
          <w:rFonts w:ascii="Arial" w:cs="Arial" w:eastAsia="Arial" w:hAnsi="Arial"/>
          <w:sz w:val="18"/>
          <w:szCs w:val="18"/>
          <w:color w:val="auto"/>
        </w:rPr>
        <w:t>For the nine months ended September 30, 2026, the net cash provided by (used in) financing activities included $ 278.0 million of net subscriptions we made into the consolidated investment products, net of dividends received. For the nine months ended September 30, 2025, the net cash provided by (used in) financing activities included $134.8 million of net subscriptions we made into the consolidated investment products, net of dividends received. These cash flows were eliminated in consolidation.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determine the fair value of investments held by consolidated investment products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financial instruments accessible at the reporting date.</w:t>
      </w:r>
    </w:p>
    <w:p>
      <w:pPr>
        <w:spacing w:after="0" w:line="14" w:lineRule="exact"/>
        <w:rPr>
          <w:sz w:val="20"/>
          <w:szCs w:val="20"/>
          <w:color w:val="auto"/>
        </w:rPr>
      </w:pPr>
    </w:p>
    <w:p>
      <w:pPr>
        <w:ind w:left="740" w:hanging="728"/>
        <w:spacing w:after="0" w:line="234"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financial instruments in active markets, quoted prices for identical or similar financial instruments in inactive markets, interest rates and yield curves, implied volatilities, and credit spreads. These inputs are based on market data obtained from independent sources.</w:t>
      </w:r>
    </w:p>
    <w:p>
      <w:pPr>
        <w:spacing w:after="0" w:line="2" w:lineRule="exact"/>
        <w:rPr>
          <w:sz w:val="20"/>
          <w:szCs w:val="20"/>
          <w:color w:val="auto"/>
        </w:rPr>
      </w:pPr>
    </w:p>
    <w:p>
      <w:pPr>
        <w:ind w:left="740" w:right="18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 There were no Level 3 investments at September 30, 2026 and December 31, 2025.</w:t>
      </w:r>
    </w:p>
    <w:p>
      <w:pPr>
        <w:spacing w:after="0" w:line="20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investment products using fair value measurements determined based on the differing levels of inputs.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3"/>
        </w:trPr>
        <w:tc>
          <w:tcPr>
            <w:tcW w:w="60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9/30/2026</w:t>
            </w: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12/31/2025</w:t>
            </w:r>
          </w:p>
        </w:tc>
        <w:tc>
          <w:tcPr>
            <w:tcW w:w="880" w:type="dxa"/>
            <w:vAlign w:val="bottom"/>
            <w:tcBorders>
              <w:bottom w:val="single" w:sz="8" w:color="auto"/>
            </w:tcBorders>
            <w:shd w:val="clear" w:color="auto" w:fill="CCEEFF"/>
          </w:tcPr>
          <w:p>
            <w:pPr>
              <w:spacing w:after="0"/>
              <w:rPr>
                <w:sz w:val="17"/>
                <w:szCs w:val="17"/>
                <w:color w:val="auto"/>
              </w:rPr>
            </w:pPr>
          </w:p>
        </w:tc>
      </w:tr>
      <w:tr>
        <w:trPr>
          <w:trHeight w:val="195"/>
        </w:trPr>
        <w:tc>
          <w:tcPr>
            <w:tcW w:w="60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Level 2</w:t>
            </w:r>
          </w:p>
        </w:tc>
      </w:tr>
      <w:tr>
        <w:trPr>
          <w:trHeight w:val="211"/>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r>
      <w:tr>
        <w:trPr>
          <w:trHeight w:val="229"/>
        </w:trPr>
        <w:tc>
          <w:tcPr>
            <w:tcW w:w="6060" w:type="dxa"/>
            <w:vAlign w:val="bottom"/>
          </w:tcPr>
          <w:p>
            <w:pPr>
              <w:ind w:left="140"/>
              <w:spacing w:after="0" w:line="230" w:lineRule="exact"/>
              <w:rPr>
                <w:sz w:val="20"/>
                <w:szCs w:val="20"/>
                <w:color w:val="auto"/>
              </w:rPr>
            </w:pPr>
            <w:r>
              <w:rPr>
                <w:rFonts w:ascii="Arial" w:cs="Arial" w:eastAsia="Arial" w:hAnsi="Arial"/>
                <w:sz w:val="18"/>
                <w:szCs w:val="18"/>
                <w:color w:val="auto"/>
              </w:rPr>
              <w:t>Bank loans</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fixed income securities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w:t>
            </w:r>
          </w:p>
        </w:tc>
      </w:tr>
      <w:tr>
        <w:trPr>
          <w:trHeight w:val="230"/>
        </w:trPr>
        <w:tc>
          <w:tcPr>
            <w:tcW w:w="6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investments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48"/>
        </w:trPr>
        <w:tc>
          <w:tcPr>
            <w:tcW w:w="6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4"/>
        </w:trPr>
        <w:tc>
          <w:tcPr>
            <w:tcW w:w="606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Debt and other liabilities</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right="160" w:firstLine="8"/>
        <w:spacing w:after="0" w:line="266" w:lineRule="auto"/>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Bank loan investments, which comprise almost all of the consolidated CLO Issuers' portfolio collateral, are senior secured corporate loans from a variety of industries. Bank loan investments mature at various dates between 2027 and 2033, pay interest at the applicable reference rate plus a spread of up to 6.00%, and typically range in S&amp;P credit rating categories from BBB down to unrated. Debt and other liabilities include notes issued by the consolidated CLO Issuer. These notes are issued in various tranches with different risk profiles and mature in 2039. The interest rates are generally variable rates based on the applicable reference rate plus a pre-defined spread, which varies from</w:t>
      </w:r>
    </w:p>
    <w:p>
      <w:pPr>
        <w:spacing w:after="0" w:line="2" w:lineRule="exact"/>
        <w:rPr>
          <w:rFonts w:ascii="Arial" w:cs="Arial" w:eastAsia="Arial" w:hAnsi="Arial"/>
          <w:sz w:val="9"/>
          <w:szCs w:val="9"/>
          <w:color w:val="auto"/>
        </w:rPr>
      </w:pPr>
    </w:p>
    <w:p>
      <w:pPr>
        <w:ind w:right="160"/>
        <w:spacing w:after="0" w:line="262" w:lineRule="auto"/>
        <w:rPr>
          <w:rFonts w:ascii="Arial" w:cs="Arial" w:eastAsia="Arial" w:hAnsi="Arial"/>
          <w:sz w:val="9"/>
          <w:szCs w:val="9"/>
          <w:color w:val="auto"/>
        </w:rPr>
      </w:pPr>
      <w:r>
        <w:rPr>
          <w:rFonts w:ascii="Arial" w:cs="Arial" w:eastAsia="Arial" w:hAnsi="Arial"/>
          <w:sz w:val="14"/>
          <w:szCs w:val="14"/>
          <w:color w:val="auto"/>
        </w:rPr>
        <w:t>1.23% for the more senior tranches to 7.61% for more subordinated tranches. The third-party note holders are not affiliated with the firm and have no recourse to our credit. At September 30, 2026, the notes' unpaid principal balance exceeds the fair value of the senior secured bank loans and bonds by approximately $6.4 million, and none of the collateral assets are in default.</w:t>
      </w:r>
    </w:p>
    <w:p>
      <w:pPr>
        <w:spacing w:after="0" w:line="20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fair value hierarchy level table at September 30, 2026 above does not include investments for which fair value is estimated using their NAV per share as a practical expedient. The carrying value of these investments was $35.7 million at September 30, 2026 and zero at December 31,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b w:val="1"/>
                <w:bCs w:val="1"/>
                <w:color w:val="auto"/>
              </w:rPr>
              <w:t>9/30/2026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4"/>
                <w:szCs w:val="14"/>
                <w:b w:val="1"/>
                <w:bCs w:val="1"/>
                <w:color w:val="auto"/>
              </w:rPr>
              <w:t>12/31/2025</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2,642.8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2,642.8</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 - trade name</w:t>
            </w:r>
          </w:p>
        </w:tc>
        <w:tc>
          <w:tcPr>
            <w:tcW w:w="4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Indefinite-lived intangible assets - investment advisory agreements</w:t>
            </w:r>
          </w:p>
        </w:tc>
        <w:tc>
          <w:tcPr>
            <w:tcW w:w="4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 - investment advisory agreements</w:t>
            </w:r>
          </w:p>
        </w:tc>
        <w:tc>
          <w:tcPr>
            <w:tcW w:w="4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2,917.0</w:t>
            </w:r>
          </w:p>
        </w:tc>
      </w:tr>
      <w:tr>
        <w:trPr>
          <w:trHeight w:val="20"/>
        </w:trPr>
        <w:tc>
          <w:tcPr>
            <w:tcW w:w="6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Amortization and impairment expense for the definite-lived investment advisory agreements intangible assets was $12.9 million and $41.7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million for the three- and nine-months ended September 30, 2026, respectively. For the three- and nine-months ended September 30, 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amortization and impairment expense for the definite-lived investment advisory agreements intangible assets was $22.3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 million, respectively. Estimated amortization expense for the definite-lived investment advisory agreements intangible assets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five succeeding years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08914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9140" cy="128905"/>
                    </a:xfrm>
                    <a:prstGeom prst="rect">
                      <a:avLst/>
                    </a:prstGeom>
                    <a:noFill/>
                  </pic:spPr>
                </pic:pic>
              </a:graphicData>
            </a:graphic>
          </wp:anchor>
        </w:drawing>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ectPr>
          <w:pgSz w:w="11900" w:h="16838" w:orient="portrait"/>
          <w:cols w:equalWidth="0" w:num="1">
            <w:col w:w="11240"/>
          </w:cols>
          <w:pgMar w:left="320" w:top="1071" w:right="339" w:bottom="1440" w:gutter="0" w:footer="0" w:header="0"/>
        </w:sectPr>
      </w:pPr>
    </w:p>
    <w:p>
      <w:pPr>
        <w:spacing w:after="0" w:line="3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Remaining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08914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2027</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08914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2029</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2030 and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08914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994" w:hanging="994"/>
        <w:spacing w:after="0"/>
        <w:tabs>
          <w:tab w:leader="none" w:pos="994" w:val="left"/>
        </w:tabs>
        <w:numPr>
          <w:ilvl w:val="0"/>
          <w:numId w:val="7"/>
        </w:numPr>
        <w:rPr>
          <w:rFonts w:ascii="Arial" w:cs="Arial" w:eastAsia="Arial" w:hAnsi="Arial"/>
          <w:sz w:val="18"/>
          <w:szCs w:val="18"/>
          <w:color w:val="auto"/>
        </w:rPr>
      </w:pPr>
      <w:r>
        <w:rPr>
          <w:rFonts w:ascii="Arial" w:cs="Arial" w:eastAsia="Arial" w:hAnsi="Arial"/>
          <w:sz w:val="18"/>
          <w:szCs w:val="18"/>
          <w:color w:val="auto"/>
        </w:rPr>
        <w:t>12.9</w:t>
      </w:r>
    </w:p>
    <w:p>
      <w:pPr>
        <w:spacing w:after="0" w:line="31" w:lineRule="exact"/>
        <w:rPr>
          <w:rFonts w:ascii="Arial" w:cs="Arial" w:eastAsia="Arial" w:hAnsi="Arial"/>
          <w:sz w:val="18"/>
          <w:szCs w:val="18"/>
          <w:color w:val="auto"/>
        </w:rPr>
      </w:pPr>
    </w:p>
    <w:p>
      <w:pPr>
        <w:ind w:left="994"/>
        <w:spacing w:after="0"/>
        <w:rPr>
          <w:rFonts w:ascii="Arial" w:cs="Arial" w:eastAsia="Arial" w:hAnsi="Arial"/>
          <w:sz w:val="18"/>
          <w:szCs w:val="18"/>
          <w:color w:val="auto"/>
        </w:rPr>
      </w:pPr>
      <w:r>
        <w:rPr>
          <w:rFonts w:ascii="Arial" w:cs="Arial" w:eastAsia="Arial" w:hAnsi="Arial"/>
          <w:sz w:val="18"/>
          <w:szCs w:val="18"/>
          <w:color w:val="auto"/>
        </w:rPr>
        <w:t>39.2</w:t>
      </w:r>
    </w:p>
    <w:p>
      <w:pPr>
        <w:spacing w:after="0" w:line="22" w:lineRule="exact"/>
        <w:rPr>
          <w:rFonts w:ascii="Arial" w:cs="Arial" w:eastAsia="Arial" w:hAnsi="Arial"/>
          <w:sz w:val="18"/>
          <w:szCs w:val="18"/>
          <w:color w:val="auto"/>
        </w:rPr>
      </w:pPr>
    </w:p>
    <w:p>
      <w:pPr>
        <w:ind w:left="1014"/>
        <w:spacing w:after="0"/>
        <w:rPr>
          <w:rFonts w:ascii="Arial" w:cs="Arial" w:eastAsia="Arial" w:hAnsi="Arial"/>
          <w:sz w:val="18"/>
          <w:szCs w:val="18"/>
          <w:color w:val="auto"/>
        </w:rPr>
      </w:pPr>
      <w:r>
        <w:rPr>
          <w:rFonts w:ascii="Arial" w:cs="Arial" w:eastAsia="Arial" w:hAnsi="Arial"/>
          <w:sz w:val="17"/>
          <w:szCs w:val="17"/>
          <w:color w:val="auto"/>
        </w:rPr>
        <w:t>11.8</w:t>
      </w:r>
    </w:p>
    <w:p>
      <w:pPr>
        <w:spacing w:after="0" w:line="34" w:lineRule="exact"/>
        <w:rPr>
          <w:rFonts w:ascii="Arial" w:cs="Arial" w:eastAsia="Arial" w:hAnsi="Arial"/>
          <w:sz w:val="18"/>
          <w:szCs w:val="18"/>
          <w:color w:val="auto"/>
        </w:rPr>
      </w:pPr>
    </w:p>
    <w:p>
      <w:pPr>
        <w:ind w:left="1094"/>
        <w:spacing w:after="0"/>
        <w:rPr>
          <w:rFonts w:ascii="Arial" w:cs="Arial" w:eastAsia="Arial" w:hAnsi="Arial"/>
          <w:sz w:val="18"/>
          <w:szCs w:val="18"/>
          <w:color w:val="auto"/>
        </w:rPr>
      </w:pPr>
      <w:r>
        <w:rPr>
          <w:rFonts w:ascii="Arial" w:cs="Arial" w:eastAsia="Arial" w:hAnsi="Arial"/>
          <w:sz w:val="18"/>
          <w:szCs w:val="18"/>
          <w:color w:val="auto"/>
        </w:rPr>
        <w:t>8.8</w:t>
      </w:r>
    </w:p>
    <w:p>
      <w:pPr>
        <w:spacing w:after="0" w:line="22" w:lineRule="exact"/>
        <w:rPr>
          <w:rFonts w:ascii="Arial" w:cs="Arial" w:eastAsia="Arial" w:hAnsi="Arial"/>
          <w:sz w:val="18"/>
          <w:szCs w:val="18"/>
          <w:color w:val="auto"/>
        </w:rPr>
      </w:pPr>
    </w:p>
    <w:p>
      <w:pPr>
        <w:ind w:left="1014"/>
        <w:spacing w:after="0"/>
        <w:rPr>
          <w:rFonts w:ascii="Arial" w:cs="Arial" w:eastAsia="Arial" w:hAnsi="Arial"/>
          <w:sz w:val="18"/>
          <w:szCs w:val="18"/>
          <w:color w:val="auto"/>
        </w:rPr>
      </w:pPr>
      <w:r>
        <w:rPr>
          <w:rFonts w:ascii="Arial" w:cs="Arial" w:eastAsia="Arial" w:hAnsi="Arial"/>
          <w:sz w:val="17"/>
          <w:szCs w:val="17"/>
          <w:color w:val="auto"/>
        </w:rPr>
        <w:t>11.5</w:t>
      </w:r>
    </w:p>
    <w:p>
      <w:pPr>
        <w:spacing w:after="0" w:line="38" w:lineRule="exact"/>
        <w:rPr>
          <w:sz w:val="20"/>
          <w:szCs w:val="20"/>
          <w:color w:val="auto"/>
        </w:rPr>
      </w:pPr>
    </w:p>
    <w:p>
      <w:pPr>
        <w:ind w:left="994" w:hanging="994"/>
        <w:spacing w:after="0"/>
        <w:tabs>
          <w:tab w:leader="none" w:pos="994" w:val="left"/>
        </w:tabs>
        <w:numPr>
          <w:ilvl w:val="0"/>
          <w:numId w:val="8"/>
        </w:numPr>
        <w:rPr>
          <w:rFonts w:ascii="Arial" w:cs="Arial" w:eastAsia="Arial" w:hAnsi="Arial"/>
          <w:sz w:val="18"/>
          <w:szCs w:val="18"/>
          <w:color w:val="auto"/>
        </w:rPr>
      </w:pPr>
      <w:r>
        <w:rPr>
          <w:rFonts w:ascii="Arial" w:cs="Arial" w:eastAsia="Arial" w:hAnsi="Arial"/>
          <w:sz w:val="18"/>
          <w:szCs w:val="18"/>
          <w:color w:val="auto"/>
        </w:rPr>
        <w:t>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175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6" w:space="720"/>
            <w:col w:w="1494"/>
          </w:cols>
          <w:pgMar w:left="320" w:top="1071"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type w:val="continuous"/>
        </w:sectPr>
      </w:pPr>
    </w:p>
    <w:bookmarkStart w:id="16" w:name="page17"/>
    <w:bookmarkEnd w:id="16"/>
    <w:p>
      <w:pPr>
        <w:ind w:right="40"/>
        <w:spacing w:after="0" w:line="262" w:lineRule="auto"/>
        <w:rPr>
          <w:sz w:val="20"/>
          <w:szCs w:val="20"/>
          <w:color w:val="auto"/>
        </w:rPr>
      </w:pPr>
      <w:r>
        <w:rPr>
          <w:rFonts w:ascii="Arial" w:cs="Arial" w:eastAsia="Arial" w:hAnsi="Arial"/>
          <w:sz w:val="18"/>
          <w:szCs w:val="18"/>
          <w:color w:val="auto"/>
        </w:rPr>
        <w:t>We evaluate the carrying amount of goodwill in our unaudited consolidated balance sheet for possible impairment on an annual basis in the fourth quarter or if triggering events occur that require us to evaluate for impairment earlier. No triggering events arose for goodwill during the nine months ended September 30, 2026 and 2025. We recorded an immaterial impairment related to a definite-lived investment advisory agreement intangible asset during the nine months ended September 30, 2025.</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INCENTIVE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UNITS.</w:t>
      </w:r>
    </w:p>
    <w:p>
      <w:pPr>
        <w:spacing w:after="0" w:line="252"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The following table summarizes the status of, and changes in, our nonvested restricted stock units during the nine months ended September 30, 2026.</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57"/>
              <w:spacing w:after="0"/>
              <w:rPr>
                <w:sz w:val="20"/>
                <w:szCs w:val="20"/>
                <w:color w:val="auto"/>
              </w:rPr>
            </w:pPr>
            <w:r>
              <w:rPr>
                <w:rFonts w:ascii="Arial" w:cs="Arial" w:eastAsia="Arial" w:hAnsi="Arial"/>
                <w:sz w:val="14"/>
                <w:szCs w:val="14"/>
                <w:b w:val="1"/>
                <w:bCs w:val="1"/>
                <w:color w:val="auto"/>
              </w:rPr>
              <w:t>Weighted-</w:t>
            </w:r>
          </w:p>
        </w:tc>
      </w:tr>
      <w:tr>
        <w:trPr>
          <w:trHeight w:val="139"/>
        </w:trPr>
        <w:tc>
          <w:tcPr>
            <w:tcW w:w="82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77"/>
              <w:spacing w:after="0" w:line="139" w:lineRule="exact"/>
              <w:rPr>
                <w:sz w:val="20"/>
                <w:szCs w:val="20"/>
                <w:color w:val="auto"/>
              </w:rPr>
            </w:pPr>
            <w:r>
              <w:rPr>
                <w:rFonts w:ascii="Arial" w:cs="Arial" w:eastAsia="Arial" w:hAnsi="Arial"/>
                <w:sz w:val="14"/>
                <w:szCs w:val="14"/>
                <w:b w:val="1"/>
                <w:bCs w:val="1"/>
                <w:color w:val="auto"/>
              </w:rPr>
              <w:t>average</w:t>
            </w:r>
          </w:p>
        </w:tc>
      </w:tr>
      <w:tr>
        <w:trPr>
          <w:trHeight w:val="198"/>
        </w:trPr>
        <w:tc>
          <w:tcPr>
            <w:tcW w:w="826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center"/>
              <w:ind w:right="157"/>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Nonvested at December 31, 2025</w:t>
            </w:r>
          </w:p>
        </w:tc>
        <w:tc>
          <w:tcPr>
            <w:tcW w:w="1420" w:type="dxa"/>
            <w:vAlign w:val="bottom"/>
          </w:tcPr>
          <w:p>
            <w:pPr>
              <w:jc w:val="right"/>
              <w:spacing w:after="0"/>
              <w:rPr>
                <w:sz w:val="20"/>
                <w:szCs w:val="20"/>
                <w:color w:val="auto"/>
              </w:rPr>
            </w:pPr>
            <w:r>
              <w:rPr>
                <w:rFonts w:ascii="Arial" w:cs="Arial" w:eastAsia="Arial" w:hAnsi="Arial"/>
                <w:sz w:val="18"/>
                <w:szCs w:val="18"/>
                <w:color w:val="auto"/>
              </w:rPr>
              <w:t>5,918,352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114.80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711,461</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Pr>
          <w:p>
            <w:pPr>
              <w:jc w:val="right"/>
              <w:spacing w:after="0"/>
              <w:rPr>
                <w:sz w:val="20"/>
                <w:szCs w:val="20"/>
                <w:color w:val="auto"/>
              </w:rPr>
            </w:pPr>
            <w:r>
              <w:rPr>
                <w:rFonts w:ascii="Arial" w:cs="Arial" w:eastAsia="Arial" w:hAnsi="Arial"/>
                <w:sz w:val="18"/>
                <w:szCs w:val="18"/>
                <w:color w:val="auto"/>
              </w:rPr>
              <w:t>(32,056)</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122.15</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(250,233)</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Nonvested at September 30, 2026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6,347,524</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113.46</w:t>
            </w:r>
          </w:p>
        </w:tc>
      </w:tr>
      <w:tr>
        <w:trPr>
          <w:trHeight w:val="21"/>
        </w:trPr>
        <w:tc>
          <w:tcPr>
            <w:tcW w:w="8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0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Nonvested restricted stock units at September 30, 2026 includes performance-based restricted stock units of 384,080. These nonvested performance-based restricted stock units include 110,794 units for which the performance period has lapsed, and the performance threshold has been met.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 presents the compensation expense to be recognized over the requisite service period of the stock-based awards outstanding at September 30, 2026. Estimated future compensation expense will change to reflect future grants of restricted stock awards and units, future option grants, changes in the probability of performance thresholds being met and adjustments for actual forfeitures.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Fourth quarter 2026</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through 2031</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FUND UNITS.</w:t>
      </w:r>
    </w:p>
    <w:p>
      <w:pPr>
        <w:spacing w:after="0" w:line="25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following table summarizes changes in the restricted fund units liability, which is reported in deferred compensation liabilities on the unaudited consolidated balance sheets, for the nine months ended September 30, 2026 and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2025</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grant date value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Amortization of market appreciation (depreciation)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Balance at September 30</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ind w:right="20"/>
        <w:spacing w:after="0" w:line="252" w:lineRule="auto"/>
        <w:rPr>
          <w:sz w:val="20"/>
          <w:szCs w:val="20"/>
          <w:color w:val="auto"/>
        </w:rPr>
      </w:pPr>
      <w:r>
        <w:rPr>
          <w:rFonts w:ascii="Arial" w:cs="Arial" w:eastAsia="Arial" w:hAnsi="Arial"/>
          <w:sz w:val="18"/>
          <w:szCs w:val="18"/>
          <w:color w:val="auto"/>
        </w:rPr>
        <w:t>The following table presents the compensation expense to be recognized over the requisite service period of the restricted fund units outstanding at September 30, 2026. Estimated future compensation expense will change to reflect future grants, changes in the market value of the restricted fund units, which is based on selected hypothetical investments, and adjustments for actual forfeitures. The grants outstanding will vest by 2030.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Fourth quarter 2026</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through 2030</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24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non-participating stock awards vested.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0" w:type="dxa"/>
            <w:vAlign w:val="bottom"/>
            <w:gridSpan w:val="5"/>
            <w:shd w:val="clear" w:color="auto" w:fill="CCEEFF"/>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6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9/30/2026</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9/30/2026</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9/30/2025</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 Group, Inc.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1,641.8</w:t>
            </w:r>
          </w:p>
        </w:tc>
        <w:tc>
          <w:tcPr>
            <w:tcW w:w="0" w:type="dxa"/>
            <w:vAlign w:val="bottom"/>
          </w:tcPr>
          <w:p>
            <w:pPr>
              <w:spacing w:after="0"/>
              <w:rPr>
                <w:sz w:val="1"/>
                <w:szCs w:val="1"/>
                <w:color w:val="auto"/>
              </w:rPr>
            </w:pPr>
          </w:p>
        </w:tc>
      </w:tr>
      <w:tr>
        <w:trPr>
          <w:trHeight w:val="176"/>
        </w:trPr>
        <w:tc>
          <w:tcPr>
            <w:tcW w:w="566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allocated to outstanding restricted stock and stock</w:t>
            </w: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 holders</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6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allocated to T. Rowe Price Group, Inc. common</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1,696.8</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assuming dilution</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25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changes in each component of accumulated other comprehensive income (loss), including reclassification adjustments, for the three months ended September 30, 2026 and 2025 are presented in the table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80" w:type="dxa"/>
            <w:vAlign w:val="bottom"/>
            <w:gridSpan w:val="8"/>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Three months ended 9/30/2026</w:t>
            </w:r>
          </w:p>
        </w:tc>
        <w:tc>
          <w:tcPr>
            <w:tcW w:w="140" w:type="dxa"/>
            <w:vAlign w:val="bottom"/>
            <w:shd w:val="clear" w:color="auto" w:fill="CCEEFF"/>
          </w:tcPr>
          <w:p>
            <w:pPr>
              <w:spacing w:after="0"/>
              <w:rPr>
                <w:sz w:val="17"/>
                <w:szCs w:val="17"/>
                <w:color w:val="auto"/>
              </w:rPr>
            </w:pPr>
          </w:p>
        </w:tc>
        <w:tc>
          <w:tcPr>
            <w:tcW w:w="3720" w:type="dxa"/>
            <w:vAlign w:val="bottom"/>
            <w:gridSpan w:val="7"/>
            <w:shd w:val="clear" w:color="auto" w:fill="CCEEFF"/>
          </w:tcPr>
          <w:p>
            <w:pPr>
              <w:jc w:val="center"/>
              <w:ind w:right="54"/>
              <w:spacing w:after="0"/>
              <w:rPr>
                <w:sz w:val="20"/>
                <w:szCs w:val="20"/>
                <w:color w:val="auto"/>
              </w:rPr>
            </w:pPr>
            <w:r>
              <w:rPr>
                <w:rFonts w:ascii="Arial" w:cs="Arial" w:eastAsia="Arial" w:hAnsi="Arial"/>
                <w:sz w:val="14"/>
                <w:szCs w:val="14"/>
                <w:b w:val="1"/>
                <w:bCs w:val="1"/>
                <w:color w:val="auto"/>
              </w:rPr>
              <w:t>Three months ended 9/30/2025</w:t>
            </w: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Consolidated</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Consolidated</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investment</w:t>
            </w:r>
          </w:p>
        </w:tc>
        <w:tc>
          <w:tcPr>
            <w:tcW w:w="13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Total currency</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investment</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products -</w:t>
            </w:r>
          </w:p>
        </w:tc>
        <w:tc>
          <w:tcPr>
            <w:tcW w:w="1380" w:type="dxa"/>
            <w:vAlign w:val="bottom"/>
            <w:gridSpan w:val="3"/>
            <w:vMerge w:val="continue"/>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Equity method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products -</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20" w:type="dxa"/>
            <w:vAlign w:val="bottom"/>
            <w:gridSpan w:val="3"/>
            <w:vMerge w:val="continue"/>
          </w:tcPr>
          <w:p>
            <w:pPr>
              <w:spacing w:after="0"/>
              <w:rPr>
                <w:sz w:val="12"/>
                <w:szCs w:val="12"/>
                <w:color w:val="auto"/>
              </w:rPr>
            </w:pPr>
          </w:p>
        </w:tc>
        <w:tc>
          <w:tcPr>
            <w:tcW w:w="13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rPr>
              <w:t>variable interest</w:t>
            </w:r>
          </w:p>
        </w:tc>
        <w:tc>
          <w:tcPr>
            <w:tcW w:w="140" w:type="dxa"/>
            <w:vAlign w:val="bottom"/>
          </w:tcPr>
          <w:p>
            <w:pPr>
              <w:spacing w:after="0"/>
              <w:rPr>
                <w:sz w:val="12"/>
                <w:szCs w:val="12"/>
                <w:color w:val="auto"/>
              </w:rPr>
            </w:pPr>
          </w:p>
        </w:tc>
        <w:tc>
          <w:tcPr>
            <w:tcW w:w="12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translation</w:t>
            </w:r>
          </w:p>
        </w:tc>
        <w:tc>
          <w:tcPr>
            <w:tcW w:w="1300" w:type="dxa"/>
            <w:vAlign w:val="bottom"/>
            <w:gridSpan w:val="3"/>
            <w:vMerge w:val="continue"/>
          </w:tcPr>
          <w:p>
            <w:pPr>
              <w:spacing w:after="0"/>
              <w:rPr>
                <w:sz w:val="12"/>
                <w:szCs w:val="12"/>
                <w:color w:val="auto"/>
              </w:rPr>
            </w:pPr>
          </w:p>
        </w:tc>
        <w:tc>
          <w:tcPr>
            <w:tcW w:w="13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variable interest</w:t>
            </w:r>
          </w:p>
        </w:tc>
        <w:tc>
          <w:tcPr>
            <w:tcW w:w="140" w:type="dxa"/>
            <w:vAlign w:val="bottom"/>
          </w:tcPr>
          <w:p>
            <w:pPr>
              <w:spacing w:after="0"/>
              <w:rPr>
                <w:sz w:val="12"/>
                <w:szCs w:val="12"/>
                <w:color w:val="auto"/>
              </w:rPr>
            </w:pPr>
          </w:p>
        </w:tc>
        <w:tc>
          <w:tcPr>
            <w:tcW w:w="1060" w:type="dxa"/>
            <w:vAlign w:val="bottom"/>
          </w:tcPr>
          <w:p>
            <w:pPr>
              <w:jc w:val="center"/>
              <w:ind w:right="54"/>
              <w:spacing w:after="0" w:line="14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6"/>
                <w:szCs w:val="16"/>
                <w:color w:val="auto"/>
              </w:rPr>
            </w:pPr>
          </w:p>
        </w:tc>
        <w:tc>
          <w:tcPr>
            <w:tcW w:w="1060" w:type="dxa"/>
            <w:vAlign w:val="bottom"/>
          </w:tcPr>
          <w:p>
            <w:pPr>
              <w:jc w:val="center"/>
              <w:ind w:right="54"/>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beginning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center"/>
              <w:ind w:left="597"/>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156"/>
        </w:trPr>
        <w:tc>
          <w:tcPr>
            <w:tcW w:w="3340" w:type="dxa"/>
            <w:vAlign w:val="bottom"/>
          </w:tcPr>
          <w:p>
            <w:pPr>
              <w:ind w:left="140"/>
              <w:spacing w:after="0" w:line="156" w:lineRule="exact"/>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left="597"/>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340" w:type="dxa"/>
            <w:vAlign w:val="bottom"/>
          </w:tcPr>
          <w:p>
            <w:pPr>
              <w:ind w:left="140"/>
              <w:spacing w:after="0"/>
              <w:rPr>
                <w:sz w:val="20"/>
                <w:szCs w:val="20"/>
                <w:color w:val="auto"/>
              </w:rPr>
            </w:pPr>
            <w:r>
              <w:rPr>
                <w:rFonts w:ascii="Arial" w:cs="Arial" w:eastAsia="Arial" w:hAnsi="Arial"/>
                <w:sz w:val="18"/>
                <w:szCs w:val="18"/>
                <w:color w:val="auto"/>
              </w:rPr>
              <w:t>before reclassifications</w:t>
            </w:r>
          </w:p>
        </w:tc>
        <w:tc>
          <w:tcPr>
            <w:tcW w:w="1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adjustments</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center"/>
              <w:ind w:left="577"/>
              <w:spacing w:after="0"/>
              <w:rPr>
                <w:sz w:val="20"/>
                <w:szCs w:val="20"/>
                <w:color w:val="auto"/>
              </w:rPr>
            </w:pPr>
            <w:r>
              <w:rPr>
                <w:rFonts w:ascii="Arial" w:cs="Arial" w:eastAsia="Arial" w:hAnsi="Arial"/>
                <w:sz w:val="18"/>
                <w:szCs w:val="18"/>
                <w:color w:val="auto"/>
                <w:w w:val="97"/>
              </w:rPr>
              <w:t>(4.3)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recognized in non-operating income</w:t>
            </w:r>
          </w:p>
        </w:tc>
        <w:tc>
          <w:tcPr>
            <w:tcW w:w="16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340" w:type="dxa"/>
            <w:vAlign w:val="bottom"/>
          </w:tcPr>
          <w:p>
            <w:pPr>
              <w:ind w:left="20"/>
              <w:spacing w:after="0" w:line="156" w:lineRule="exact"/>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center"/>
              <w:ind w:left="577"/>
              <w:spacing w:after="0"/>
              <w:rPr>
                <w:sz w:val="20"/>
                <w:szCs w:val="20"/>
                <w:color w:val="auto"/>
              </w:rPr>
            </w:pPr>
            <w:r>
              <w:rPr>
                <w:rFonts w:ascii="Arial" w:cs="Arial" w:eastAsia="Arial" w:hAnsi="Arial"/>
                <w:sz w:val="18"/>
                <w:szCs w:val="18"/>
                <w:color w:val="auto"/>
                <w:w w:val="97"/>
              </w:rPr>
              <w:t>(3.6)</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before income taxes</w:t>
            </w:r>
          </w:p>
        </w:tc>
        <w:tc>
          <w:tcPr>
            <w:tcW w:w="1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deferred tax benefits (income</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center"/>
              <w:ind w:left="597"/>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77"/>
              <w:spacing w:after="0"/>
              <w:rPr>
                <w:sz w:val="20"/>
                <w:szCs w:val="20"/>
                <w:color w:val="auto"/>
              </w:rPr>
            </w:pPr>
            <w:r>
              <w:rPr>
                <w:rFonts w:ascii="Arial" w:cs="Arial" w:eastAsia="Arial" w:hAnsi="Arial"/>
                <w:sz w:val="18"/>
                <w:szCs w:val="18"/>
                <w:color w:val="auto"/>
                <w:w w:val="97"/>
              </w:rPr>
              <w:t>(2.7)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597"/>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300"/>
        <w:spacing w:after="0" w:line="318" w:lineRule="auto"/>
        <w:rPr>
          <w:sz w:val="20"/>
          <w:szCs w:val="20"/>
          <w:color w:val="auto"/>
        </w:rPr>
      </w:pPr>
      <w:r>
        <w:rPr>
          <w:rFonts w:ascii="Arial" w:cs="Arial" w:eastAsia="Arial" w:hAnsi="Arial"/>
          <w:sz w:val="17"/>
          <w:szCs w:val="17"/>
          <w:color w:val="auto"/>
        </w:rPr>
        <w:t>The other comprehensive income (loss) in the table above excludes net losses of $0.3 million and $2.8 million for the three months ended September 30, 2026 and 2025, respectively, related to redeemable non-controlling interests held in our consolidated investment products.</w:t>
      </w:r>
    </w:p>
    <w:p>
      <w:pPr>
        <w:spacing w:after="0" w:line="76"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changes in each component of accumulated other comprehensive income (loss), including reclassification adjustments, for the nine months ended September 30, 2026 and 2025 are presented in the table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700" w:type="dxa"/>
            <w:vAlign w:val="bottom"/>
            <w:tcBorders>
              <w:bottom w:val="single" w:sz="8" w:color="auto"/>
            </w:tcBorders>
            <w:gridSpan w:val="7"/>
            <w:shd w:val="clear" w:color="auto" w:fill="CCEEFF"/>
          </w:tcPr>
          <w:p>
            <w:pPr>
              <w:jc w:val="center"/>
              <w:ind w:right="74"/>
              <w:spacing w:after="0"/>
              <w:rPr>
                <w:sz w:val="20"/>
                <w:szCs w:val="20"/>
                <w:color w:val="auto"/>
              </w:rPr>
            </w:pPr>
            <w:r>
              <w:rPr>
                <w:rFonts w:ascii="Arial" w:cs="Arial" w:eastAsia="Arial" w:hAnsi="Arial"/>
                <w:sz w:val="14"/>
                <w:szCs w:val="14"/>
                <w:b w:val="1"/>
                <w:bCs w:val="1"/>
                <w:color w:val="auto"/>
              </w:rPr>
              <w:t>Currency translation adjustments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rPr>
              <w:t>Nine months ended 9/30/2026</w:t>
            </w:r>
          </w:p>
        </w:tc>
        <w:tc>
          <w:tcPr>
            <w:tcW w:w="140" w:type="dxa"/>
            <w:vAlign w:val="bottom"/>
          </w:tcPr>
          <w:p>
            <w:pPr>
              <w:spacing w:after="0"/>
              <w:rPr>
                <w:sz w:val="16"/>
                <w:szCs w:val="16"/>
                <w:color w:val="auto"/>
              </w:rPr>
            </w:pPr>
          </w:p>
        </w:tc>
        <w:tc>
          <w:tcPr>
            <w:tcW w:w="3720" w:type="dxa"/>
            <w:vAlign w:val="bottom"/>
            <w:gridSpan w:val="7"/>
          </w:tcPr>
          <w:p>
            <w:pPr>
              <w:jc w:val="center"/>
              <w:ind w:right="54"/>
              <w:spacing w:after="0"/>
              <w:rPr>
                <w:sz w:val="20"/>
                <w:szCs w:val="20"/>
                <w:color w:val="auto"/>
              </w:rPr>
            </w:pPr>
            <w:r>
              <w:rPr>
                <w:rFonts w:ascii="Arial" w:cs="Arial" w:eastAsia="Arial" w:hAnsi="Arial"/>
                <w:sz w:val="14"/>
                <w:szCs w:val="14"/>
                <w:b w:val="1"/>
                <w:bCs w:val="1"/>
                <w:color w:val="auto"/>
              </w:rPr>
              <w:t>Nine months ended 9/30/2025</w:t>
            </w:r>
          </w:p>
        </w:tc>
        <w:tc>
          <w:tcPr>
            <w:tcW w:w="0" w:type="dxa"/>
            <w:vAlign w:val="bottom"/>
          </w:tcPr>
          <w:p>
            <w:pPr>
              <w:spacing w:after="0"/>
              <w:rPr>
                <w:sz w:val="1"/>
                <w:szCs w:val="1"/>
                <w:color w:val="auto"/>
              </w:rPr>
            </w:pPr>
          </w:p>
        </w:tc>
      </w:tr>
      <w:tr>
        <w:trPr>
          <w:trHeight w:val="147"/>
        </w:trPr>
        <w:tc>
          <w:tcPr>
            <w:tcW w:w="3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gridSpan w:val="2"/>
            <w:shd w:val="clear" w:color="auto" w:fill="CCEEFF"/>
          </w:tcPr>
          <w:p>
            <w:pPr>
              <w:jc w:val="center"/>
              <w:ind w:right="260"/>
              <w:spacing w:after="0" w:line="147" w:lineRule="exact"/>
              <w:rPr>
                <w:sz w:val="20"/>
                <w:szCs w:val="20"/>
                <w:color w:val="auto"/>
              </w:rPr>
            </w:pPr>
            <w:r>
              <w:rPr>
                <w:rFonts w:ascii="Arial" w:cs="Arial" w:eastAsia="Arial" w:hAnsi="Arial"/>
                <w:sz w:val="14"/>
                <w:szCs w:val="14"/>
                <w:b w:val="1"/>
                <w:bCs w:val="1"/>
                <w:color w:val="auto"/>
              </w:rPr>
              <w:t>Consolidated</w:t>
            </w: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gridSpan w:val="2"/>
            <w:shd w:val="clear" w:color="auto" w:fill="CCEEFF"/>
          </w:tcPr>
          <w:p>
            <w:pPr>
              <w:jc w:val="center"/>
              <w:ind w:right="260"/>
              <w:spacing w:after="0" w:line="147" w:lineRule="exact"/>
              <w:rPr>
                <w:sz w:val="20"/>
                <w:szCs w:val="20"/>
                <w:color w:val="auto"/>
              </w:rPr>
            </w:pPr>
            <w:r>
              <w:rPr>
                <w:rFonts w:ascii="Arial" w:cs="Arial" w:eastAsia="Arial" w:hAnsi="Arial"/>
                <w:sz w:val="14"/>
                <w:szCs w:val="14"/>
                <w:b w:val="1"/>
                <w:bCs w:val="1"/>
                <w:color w:val="auto"/>
              </w:rPr>
              <w:t>Consolidated</w:t>
            </w: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40"/>
              <w:spacing w:after="0" w:line="145" w:lineRule="exact"/>
              <w:rPr>
                <w:sz w:val="20"/>
                <w:szCs w:val="20"/>
                <w:color w:val="auto"/>
              </w:rPr>
            </w:pPr>
            <w:r>
              <w:rPr>
                <w:rFonts w:ascii="Arial" w:cs="Arial" w:eastAsia="Arial" w:hAnsi="Arial"/>
                <w:sz w:val="14"/>
                <w:szCs w:val="14"/>
                <w:b w:val="1"/>
                <w:bCs w:val="1"/>
                <w:color w:val="auto"/>
              </w:rPr>
              <w:t>investment</w:t>
            </w:r>
          </w:p>
        </w:tc>
        <w:tc>
          <w:tcPr>
            <w:tcW w:w="1380" w:type="dxa"/>
            <w:vAlign w:val="bottom"/>
            <w:gridSpan w:val="3"/>
            <w:vMerge w:val="restart"/>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Total currency</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80"/>
              <w:spacing w:after="0" w:line="145" w:lineRule="exact"/>
              <w:rPr>
                <w:sz w:val="20"/>
                <w:szCs w:val="20"/>
                <w:color w:val="auto"/>
              </w:rPr>
            </w:pPr>
            <w:r>
              <w:rPr>
                <w:rFonts w:ascii="Arial" w:cs="Arial" w:eastAsia="Arial" w:hAnsi="Arial"/>
                <w:sz w:val="14"/>
                <w:szCs w:val="14"/>
                <w:b w:val="1"/>
                <w:bCs w:val="1"/>
                <w:color w:val="auto"/>
              </w:rPr>
              <w:t>investment</w:t>
            </w:r>
          </w:p>
        </w:tc>
        <w:tc>
          <w:tcPr>
            <w:tcW w:w="120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39"/>
        </w:trPr>
        <w:tc>
          <w:tcPr>
            <w:tcW w:w="3340" w:type="dxa"/>
            <w:vAlign w:val="bottom"/>
            <w:shd w:val="clear" w:color="auto" w:fill="CCEEFF"/>
          </w:tcPr>
          <w:p>
            <w:pPr>
              <w:spacing w:after="0"/>
              <w:rPr>
                <w:sz w:val="12"/>
                <w:szCs w:val="12"/>
                <w:color w:val="auto"/>
              </w:rPr>
            </w:pPr>
          </w:p>
        </w:tc>
        <w:tc>
          <w:tcPr>
            <w:tcW w:w="1320" w:type="dxa"/>
            <w:vAlign w:val="bottom"/>
            <w:gridSpan w:val="3"/>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line="139" w:lineRule="exact"/>
              <w:rPr>
                <w:sz w:val="20"/>
                <w:szCs w:val="20"/>
                <w:color w:val="auto"/>
              </w:rPr>
            </w:pPr>
            <w:r>
              <w:rPr>
                <w:rFonts w:ascii="Arial" w:cs="Arial" w:eastAsia="Arial" w:hAnsi="Arial"/>
                <w:sz w:val="14"/>
                <w:szCs w:val="14"/>
                <w:b w:val="1"/>
                <w:bCs w:val="1"/>
                <w:color w:val="auto"/>
              </w:rPr>
              <w:t>products -</w:t>
            </w:r>
          </w:p>
        </w:tc>
        <w:tc>
          <w:tcPr>
            <w:tcW w:w="1380" w:type="dxa"/>
            <w:vAlign w:val="bottom"/>
            <w:gridSpan w:val="3"/>
            <w:vMerge w:val="continue"/>
            <w:shd w:val="clear" w:color="auto" w:fill="CCEEFF"/>
          </w:tcPr>
          <w:p>
            <w:pPr>
              <w:spacing w:after="0"/>
              <w:rPr>
                <w:sz w:val="12"/>
                <w:szCs w:val="12"/>
                <w:color w:val="auto"/>
              </w:rPr>
            </w:pPr>
          </w:p>
        </w:tc>
        <w:tc>
          <w:tcPr>
            <w:tcW w:w="130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Equity method</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line="139" w:lineRule="exact"/>
              <w:rPr>
                <w:sz w:val="20"/>
                <w:szCs w:val="20"/>
                <w:color w:val="auto"/>
              </w:rPr>
            </w:pPr>
            <w:r>
              <w:rPr>
                <w:rFonts w:ascii="Arial" w:cs="Arial" w:eastAsia="Arial" w:hAnsi="Arial"/>
                <w:sz w:val="14"/>
                <w:szCs w:val="14"/>
                <w:b w:val="1"/>
                <w:bCs w:val="1"/>
                <w:color w:val="auto"/>
              </w:rPr>
              <w:t>products -</w:t>
            </w:r>
          </w:p>
        </w:tc>
        <w:tc>
          <w:tcPr>
            <w:tcW w:w="12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320" w:type="dxa"/>
            <w:vAlign w:val="bottom"/>
            <w:gridSpan w:val="3"/>
            <w:vMerge w:val="continue"/>
            <w:shd w:val="clear" w:color="auto" w:fill="CCEEFF"/>
          </w:tcPr>
          <w:p>
            <w:pPr>
              <w:spacing w:after="0"/>
              <w:rPr>
                <w:sz w:val="12"/>
                <w:szCs w:val="12"/>
                <w:color w:val="auto"/>
              </w:rPr>
            </w:pPr>
          </w:p>
        </w:tc>
        <w:tc>
          <w:tcPr>
            <w:tcW w:w="1340" w:type="dxa"/>
            <w:vAlign w:val="bottom"/>
            <w:gridSpan w:val="3"/>
            <w:shd w:val="clear" w:color="auto" w:fill="CCEEFF"/>
          </w:tcPr>
          <w:p>
            <w:pPr>
              <w:jc w:val="center"/>
              <w:ind w:right="120"/>
              <w:spacing w:after="0" w:line="145" w:lineRule="exact"/>
              <w:rPr>
                <w:sz w:val="20"/>
                <w:szCs w:val="20"/>
                <w:color w:val="auto"/>
              </w:rPr>
            </w:pPr>
            <w:r>
              <w:rPr>
                <w:rFonts w:ascii="Arial" w:cs="Arial" w:eastAsia="Arial" w:hAnsi="Arial"/>
                <w:sz w:val="14"/>
                <w:szCs w:val="14"/>
                <w:b w:val="1"/>
                <w:bCs w:val="1"/>
                <w:color w:val="auto"/>
              </w:rPr>
              <w:t>variable interest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300"/>
              <w:spacing w:after="0" w:line="145" w:lineRule="exact"/>
              <w:rPr>
                <w:sz w:val="20"/>
                <w:szCs w:val="20"/>
                <w:color w:val="auto"/>
              </w:rPr>
            </w:pPr>
            <w:r>
              <w:rPr>
                <w:rFonts w:ascii="Arial" w:cs="Arial" w:eastAsia="Arial" w:hAnsi="Arial"/>
                <w:sz w:val="14"/>
                <w:szCs w:val="14"/>
                <w:b w:val="1"/>
                <w:bCs w:val="1"/>
                <w:color w:val="auto"/>
              </w:rPr>
              <w:t>translation</w:t>
            </w:r>
          </w:p>
        </w:tc>
        <w:tc>
          <w:tcPr>
            <w:tcW w:w="1300" w:type="dxa"/>
            <w:vAlign w:val="bottom"/>
            <w:gridSpan w:val="3"/>
            <w:vMerge w:val="continue"/>
            <w:shd w:val="clear" w:color="auto" w:fill="CCEEFF"/>
          </w:tcPr>
          <w:p>
            <w:pPr>
              <w:spacing w:after="0"/>
              <w:rPr>
                <w:sz w:val="12"/>
                <w:szCs w:val="12"/>
                <w:color w:val="auto"/>
              </w:rPr>
            </w:pPr>
          </w:p>
        </w:tc>
        <w:tc>
          <w:tcPr>
            <w:tcW w:w="1360" w:type="dxa"/>
            <w:vAlign w:val="bottom"/>
            <w:gridSpan w:val="3"/>
            <w:shd w:val="clear" w:color="auto" w:fill="CCEEFF"/>
          </w:tcPr>
          <w:p>
            <w:pPr>
              <w:jc w:val="center"/>
              <w:ind w:right="100"/>
              <w:spacing w:after="0" w:line="145" w:lineRule="exact"/>
              <w:rPr>
                <w:sz w:val="20"/>
                <w:szCs w:val="20"/>
                <w:color w:val="auto"/>
              </w:rPr>
            </w:pPr>
            <w:r>
              <w:rPr>
                <w:rFonts w:ascii="Arial" w:cs="Arial" w:eastAsia="Arial" w:hAnsi="Arial"/>
                <w:sz w:val="14"/>
                <w:szCs w:val="14"/>
                <w:b w:val="1"/>
                <w:bCs w:val="1"/>
                <w:color w:val="auto"/>
              </w:rPr>
              <w:t>variable interest</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54"/>
              <w:spacing w:after="0" w:line="14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3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investments</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adjustments</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right="54"/>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Balances at beginning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center"/>
              <w:ind w:left="597"/>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ind w:left="180"/>
              <w:spacing w:after="0" w:line="156" w:lineRule="exact"/>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center"/>
              <w:ind w:left="597"/>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before reclassifications</w:t>
            </w:r>
          </w:p>
        </w:tc>
        <w:tc>
          <w:tcPr>
            <w:tcW w:w="16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180"/>
              <w:spacing w:after="0" w:line="176" w:lineRule="exact"/>
              <w:rPr>
                <w:sz w:val="20"/>
                <w:szCs w:val="20"/>
                <w:color w:val="auto"/>
              </w:rPr>
            </w:pPr>
            <w:r>
              <w:rPr>
                <w:rFonts w:ascii="Arial" w:cs="Arial" w:eastAsia="Arial" w:hAnsi="Arial"/>
                <w:sz w:val="18"/>
                <w:szCs w:val="18"/>
                <w:color w:val="auto"/>
              </w:rPr>
              <w:t>Reclassification adjustments</w:t>
            </w:r>
          </w:p>
        </w:tc>
        <w:tc>
          <w:tcPr>
            <w:tcW w:w="160" w:type="dxa"/>
            <w:vAlign w:val="bottom"/>
          </w:tcPr>
          <w:p>
            <w:pPr>
              <w:spacing w:after="0"/>
              <w:rPr>
                <w:sz w:val="15"/>
                <w:szCs w:val="15"/>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00" w:type="dxa"/>
            <w:vAlign w:val="bottom"/>
            <w:vMerge w:val="restart"/>
          </w:tcPr>
          <w:p>
            <w:pPr>
              <w:jc w:val="center"/>
              <w:ind w:left="577"/>
              <w:spacing w:after="0"/>
              <w:rPr>
                <w:sz w:val="20"/>
                <w:szCs w:val="20"/>
                <w:color w:val="auto"/>
              </w:rPr>
            </w:pPr>
            <w:r>
              <w:rPr>
                <w:rFonts w:ascii="Arial" w:cs="Arial" w:eastAsia="Arial" w:hAnsi="Arial"/>
                <w:sz w:val="18"/>
                <w:szCs w:val="18"/>
                <w:color w:val="auto"/>
                <w:w w:val="97"/>
              </w:rPr>
              <w:t>(4.5)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recognized in non-operating income</w:t>
            </w:r>
          </w:p>
        </w:tc>
        <w:tc>
          <w:tcPr>
            <w:tcW w:w="16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3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center"/>
              <w:ind w:left="577"/>
              <w:spacing w:after="0"/>
              <w:rPr>
                <w:sz w:val="20"/>
                <w:szCs w:val="20"/>
                <w:color w:val="auto"/>
              </w:rPr>
            </w:pPr>
            <w:r>
              <w:rPr>
                <w:rFonts w:ascii="Arial" w:cs="Arial" w:eastAsia="Arial" w:hAnsi="Arial"/>
                <w:sz w:val="18"/>
                <w:szCs w:val="18"/>
                <w:color w:val="auto"/>
                <w:w w:val="97"/>
              </w:rPr>
              <w:t>(4.4)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before income taxes</w:t>
            </w:r>
          </w:p>
        </w:tc>
        <w:tc>
          <w:tcPr>
            <w:tcW w:w="16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180"/>
              <w:spacing w:after="0" w:line="176" w:lineRule="exact"/>
              <w:rPr>
                <w:sz w:val="20"/>
                <w:szCs w:val="20"/>
                <w:color w:val="auto"/>
              </w:rPr>
            </w:pPr>
            <w:r>
              <w:rPr>
                <w:rFonts w:ascii="Arial" w:cs="Arial" w:eastAsia="Arial" w:hAnsi="Arial"/>
                <w:sz w:val="18"/>
                <w:szCs w:val="18"/>
                <w:color w:val="auto"/>
              </w:rPr>
              <w:t>Net deferred tax benefits (income</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center"/>
              <w:ind w:left="59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taxes)</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77"/>
              <w:spacing w:after="0"/>
              <w:rPr>
                <w:sz w:val="20"/>
                <w:szCs w:val="20"/>
                <w:color w:val="auto"/>
              </w:rPr>
            </w:pPr>
            <w:r>
              <w:rPr>
                <w:rFonts w:ascii="Arial" w:cs="Arial" w:eastAsia="Arial" w:hAnsi="Arial"/>
                <w:sz w:val="18"/>
                <w:szCs w:val="18"/>
                <w:color w:val="auto"/>
                <w:w w:val="97"/>
              </w:rPr>
              <w:t>(3.2)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Balances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597"/>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other comprehensive income (loss) in the table above excludes net losses of $1.9 million and net gains of $ 8.2 million for the nine months ended September 30, 2026 and 2025, respectively, related to redeemable non-controlling interests held in our consolidated investment products.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10 – SEGMENT REPORTING.</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have one reportable segment: investment management services. We derive our revenue and net income globally and manage business activities on a consolidated basis.</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largely derive our revenues and net income from investment advisory services provided to individual and institutional investors. We also provide certain administrative services, including mutual fund transfer agent, fund and product accounting, distribution, and shareholder services; participant recordkeeping and transfer agent services for defined contribution retirement plans; and other advisory services. Our revenues and net income depend largely on the total value and composition of our assets under management, as such, the consideration for our services is generally variable and recognized over time.</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chief operating decision maker (CODM) is the chief executive officer. The CODM utilizes consolidated net income attributable to T. Rowe Price Group as reported on the consolidated statements of income and certain non-GAAP metrics to assess performance and allocate resources. Based on these metrics, the CODM decides either to reinvest profits into the business based on our strategic priorities and/or return cash to stockholders through dividends and share repurchases.</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determined there were no significant segment expenses that required a separate disclosure, as the major categories of expenses regularly reviewed by the CODM to manage operations are disclosed in the consolidated statements of income. Quarterly reviews of expenses highlight those influenced by financial markets, such as distribution and servicing costs, as well as those that are both qualitatively and quantitatively significant. The measure of segment assets is reported on the consolidated balance sheet as total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has committed $278 million for investment in future OHA product launches through 2030.</w:t>
      </w:r>
    </w:p>
    <w:p>
      <w:pPr>
        <w:spacing w:after="0" w:line="25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August 2026, we entered into an agreement to acquire F/m Investments, LLC for about $75 million plus up to $50 million in contingent consideration that may be due as part of an earnout payment. The transaction is expected to close in the first quarter of 2027, subject to required regulatory approvals and other customary closing conditions, and is expected to be funded with existing cash balances. The acquisition is expected to expand our fixed income ETF and SMA capabilities. We expect to account for the transaction as a business combination upon closing.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Contingent Consideration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purchase consideration for our acquisition of OHA in December 2021, there is contingent</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consideration in the amount of up to $900 million, payable in cash, that may be due as part of an earnout payment in 2026 and 2027 upon satisfying or exceeding certain defined revenue targets. These defined revenue targets will be evaluated on a cumulative basis from 2022 through 2026. About 22% of the earnout is conditioned upon continued service with T. Rowe Price Group and was excluded from the purchase consideration and deemed compensatory. The fair value of the earnout is remeasured each reporting period and was valued at zero at December 31, 2025. In April 2026, it was determined and agreed that no contingent consideration would be earned and paid at the end of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12 – RESTRUCTURING CHARGE.</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separately disclosed in the unaudited consolidated statements of income, we recognized a restructuring charge of $4.0 million and $20.7 million, primarily severance and costs related to exiting owned buildings, for the three- and nine-month periods ended September 30, 2026, respectively, related to actions taken under a broad and ongoing expense management program, which is designed to reduce expense growth and realign resources to support investment in existing and future capabilities. At September 30, 2026, we had $1.7 million in accrued compensation related to this program.</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reviewed the consolidated balance sheet of T. Rowe Price Group, Inc. and subsidiaries (the Company) as of September 30, 2026, the related consolidated statements of income, comprehensive income, and stockholders’ equity for the three-month and nine-month periods ended September 30, 2026 and 2025, the related consolidated statements of cash flows for the nine-month periods ended September 30, 2026 and 2025,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2025, and the related consolidated statements of income, comprehensive income, stockholders’ equity, and cash flows for the year then ended (not presented herein); and in our report dated February 13, 2026, we expressed an unqualified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5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revenues and net income are derived primarily from investment advisory services provided globally to individual and institutional investors in a broad range of investment solutions across equity, fixed income, multi-asset, and alternatives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other advisory services.</w:t>
      </w:r>
    </w:p>
    <w:p>
      <w:pPr>
        <w:spacing w:after="0" w:line="20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Investment advisory fees depend largely on the total value and composition of our assets under management. Accordingly, fluctuations in financial markets and in the composition of assets under management affect our revenues and results of operations.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clients and additional investments from our existing clients. These efforts often involve costs that precede any future revenues we may earn from an increase to our assets under management.</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investment management industry is evolving, facing challenging trends such as passive strategies taking market share from traditional active strategies; continued downward fee pressure; demand for new investment vehicles to meet client needs; and an ever-changing regulatory landscape. In this regard, we have ample liquidity and resources that allow us to take advantage of attractive growth opportunities. Furthermore, we developed a broad and ongoing plan to align our expense growth with anticipated revenue growth. As a result, we have taken actions to reduce expense growth, realign resources, and invest in existing and future capabilities, while also helping to offset ongoing inflationary pressures on compensation and contractual spending. These investments include hiring investment and distribution professionals, adopting new technologies, and offering new products to provide our clients with strong investment management expertise and services.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Global equity markets generated mixed returns during the third quarter of 2026 as investors balanced resilient corporate earnings against renewed escalation in the U.S.-Iran conflict, uneven labor market data, and persistent inflation pressures. Higher energy prices and a tighter monetary policy backdrop contributed to divergent performance across regions, market capitalizations, investment styles, and sectors.</w:t>
      </w:r>
    </w:p>
    <w:p>
      <w:pPr>
        <w:spacing w:after="0" w:line="19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U.S. equity markets were mixed, with large-cap shares outperforming small- and mid-cap shares and value stocks outperforming growth stocks across market capitalizations. Within the S&amp;P 500 Index, energy advanced by double-digit gains and information technology, health care, and communication services advanced, while utilities recorded double-digit losses and industrials and business services, real estate, consumer discretionary, materials, and consumer staples declined.</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International equity markets were mixed during the third quarter as developed European markets posted gains in July and August before declining in September, while developed Asian markets increased. Japanese equities were supported by semiconductor and other artificial intelligence-related shares, as well as a weaker yen following the Bank of Japan’s July policy meeting where it held its policy rate at 1.00%. Emerging market equities were roughly flat, as strength in semiconductor-related companies in South Korea and Taiwan was offset by pressure on energy-importing markets and weakness in China related to soft domestic demand and property-sector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Returns of several major equity market indexes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9/30/2026</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9/30/2026</w:t>
            </w:r>
          </w:p>
        </w:tc>
      </w:tr>
      <w:tr>
        <w:trPr>
          <w:trHeight w:val="224"/>
        </w:trPr>
        <w:tc>
          <w:tcPr>
            <w:tcW w:w="8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2.3%</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12.8%</w:t>
            </w:r>
          </w:p>
        </w:tc>
      </w:tr>
      <w:tr>
        <w:trPr>
          <w:trHeight w:val="230"/>
        </w:trPr>
        <w:tc>
          <w:tcPr>
            <w:tcW w:w="8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2.5%</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15.6%</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13.7%</w:t>
            </w: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0.9%</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10.8%</w:t>
            </w: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(0.2)%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23.7%</w:t>
            </w:r>
          </w:p>
        </w:tc>
      </w:tr>
    </w:tbl>
    <w:p>
      <w:pPr>
        <w:spacing w:after="0" w:line="74" w:lineRule="exact"/>
        <w:rPr>
          <w:sz w:val="20"/>
          <w:szCs w:val="20"/>
          <w:color w:val="auto"/>
        </w:rPr>
      </w:pP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i w:val="1"/>
          <w:iCs w:val="1"/>
          <w:color w:val="auto"/>
        </w:rPr>
        <w:t>Returns exclude dividends</w:t>
      </w:r>
    </w:p>
    <w:p>
      <w:pPr>
        <w:spacing w:after="0" w:line="24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Global fixed income markets generated negative returns during the third quarter of 2026 as government bond yields moved higher and several major central banks shifted toward tighter monetary policy. Persistent inflation pressures, elevated energy costs, geopolitical uncertainty, and concerns about government debt supply weighed on bond prices across developed and emerging markets.</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Federal Reserve maintained the federal funds target range at 3.50% to 3.75% in July, with three policymakers dissenting in favor of an immediate increase. In September, the Federal Reserve unanimously raised the target range to 3.75% to 4.00%, its first increase in more than three years. Updated projections indicated that most policymakers expected another increase before year-end.</w:t>
      </w:r>
    </w:p>
    <w:p>
      <w:pPr>
        <w:spacing w:after="0" w:line="19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U.S. fixed income markets recorded negative returns as Treasury yields increased across the curve, with the Federal Reserve’s September rate increase, stronger economic data, and firm inflation readings leading investors to price a higher policy-rate path. Within the investment-grade bond universe, mortgage-backed securities declined the most, followed by corporate bonds and U.S. Treasuries, while non-agency commercial mortgage-backed securities and asset-backed securities also decreased.</w:t>
      </w:r>
    </w:p>
    <w:p>
      <w:pPr>
        <w:spacing w:after="0" w:line="203"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International and emerging markets also declined during the quarter. Developed market sovereign yields rose as tighter monetary policy and higher energy costs sustained inflation concerns, while weakness in several major currencies against the U.S. dollar reduced U.S. dollar-based returns. Emerging market hard currency debt underperformed local currency debt as rising U.S. Treasury yields pressured dollar-denominated sovereign bonds, while the U.S. dollar strengthened in September, weighing on currencies in several oil-importing economies.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bond market indexes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202"/>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9/30/2026</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9/30/2026</w:t>
            </w:r>
          </w:p>
        </w:tc>
      </w:tr>
      <w:tr>
        <w:trPr>
          <w:trHeight w:val="224"/>
        </w:trPr>
        <w:tc>
          <w:tcPr>
            <w:tcW w:w="8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Bloomberg U.S. Aggregate Bond Index</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(3.5)%</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(2.9)%</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J.P. Morgan Global High Yield Index</w:t>
            </w: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(1.5)%</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1.0%</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Municipal Bond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(4.2)%</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Bloomberg Global Aggregate Ex-U.S. Dollar Bond Index</w:t>
            </w: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(1.6)%</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(2.5)%</w:t>
            </w:r>
          </w:p>
        </w:tc>
      </w:tr>
      <w:tr>
        <w:trPr>
          <w:trHeight w:val="23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 Morgan Emerging Markets Bond Index Plus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(0.4)%</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ICE BofA High Yield Index</w:t>
            </w: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(1.8)%</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UBS Leveraged Loan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r>
        <w:rPr>
          <w:rFonts w:ascii="Arial" w:cs="Arial" w:eastAsia="Arial" w:hAnsi="Arial"/>
          <w:sz w:val="23"/>
          <w:szCs w:val="23"/>
          <w:b w:val="1"/>
          <w:bCs w:val="1"/>
          <w:i w:val="1"/>
          <w:iCs w:val="1"/>
          <w:u w:val="single" w:color="auto"/>
          <w:color w:val="auto"/>
          <w:vertAlign w:val="superscript"/>
        </w:rPr>
        <w:t>(1)</w:t>
      </w:r>
    </w:p>
    <w:p>
      <w:pPr>
        <w:spacing w:after="0" w:line="193"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Assets under management ended the third quarter of 2026 at $1,862.7 billion, a decrease of $30.7 billion from June 30, 2026. The decrease was driven by net cash outflows of $28.3 billion and market depreciation, net of distributions not reinvested, of $2.4 billion.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4" w:name="page25"/>
    <w:bookmarkEnd w:id="24"/>
    <w:p>
      <w:pPr>
        <w:ind w:right="260"/>
        <w:spacing w:after="0" w:line="287" w:lineRule="auto"/>
        <w:rPr>
          <w:sz w:val="20"/>
          <w:szCs w:val="20"/>
          <w:color w:val="auto"/>
        </w:rPr>
      </w:pPr>
      <w:r>
        <w:rPr>
          <w:rFonts w:ascii="Arial" w:cs="Arial" w:eastAsia="Arial" w:hAnsi="Arial"/>
          <w:sz w:val="18"/>
          <w:szCs w:val="18"/>
          <w:color w:val="auto"/>
        </w:rPr>
        <w:t>For the nine months ended September 30, 2026, the increase in assets under management of $87.1 billion was primarily driven by market appreciation, net of distributions not reinvested, of $135.6 billion, offset by net cash outflows of $48.5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changes in our assets under management, by asset class, during the three- and nine-month periods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50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9/30/2026</w:t>
            </w:r>
          </w:p>
        </w:tc>
        <w:tc>
          <w:tcPr>
            <w:tcW w:w="4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50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Nine months ended 9/30/2026</w:t>
            </w:r>
          </w:p>
        </w:tc>
        <w:tc>
          <w:tcPr>
            <w:tcW w:w="4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Fixed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Fixed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including</w:t>
            </w:r>
          </w:p>
        </w:tc>
        <w:tc>
          <w:tcPr>
            <w:tcW w:w="14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Multi-</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including</w:t>
            </w:r>
          </w:p>
        </w:tc>
        <w:tc>
          <w:tcPr>
            <w:tcW w:w="14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Multi-</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money</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(3)</w:t>
            </w:r>
          </w:p>
        </w:tc>
        <w:tc>
          <w:tcPr>
            <w:tcW w:w="180" w:type="dxa"/>
            <w:vAlign w:val="bottom"/>
          </w:tcPr>
          <w:p>
            <w:pPr>
              <w:spacing w:after="0"/>
              <w:rPr>
                <w:sz w:val="12"/>
                <w:szCs w:val="12"/>
                <w:color w:val="auto"/>
              </w:rPr>
            </w:pPr>
          </w:p>
        </w:tc>
        <w:tc>
          <w:tcPr>
            <w:tcW w:w="8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money</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(3)</w:t>
            </w:r>
          </w:p>
        </w:tc>
        <w:tc>
          <w:tcPr>
            <w:tcW w:w="18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asset</w:t>
            </w:r>
            <w:r>
              <w:rPr>
                <w:rFonts w:ascii="Arial" w:cs="Arial" w:eastAsia="Arial" w:hAnsi="Arial"/>
                <w:sz w:val="9"/>
                <w:szCs w:val="9"/>
                <w:b w:val="1"/>
                <w:bCs w:val="1"/>
                <w:color w:val="auto"/>
              </w:rPr>
              <w:t>(2)</w:t>
            </w:r>
          </w:p>
        </w:tc>
        <w:tc>
          <w:tcPr>
            <w:tcW w:w="12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asset</w:t>
            </w:r>
            <w:r>
              <w:rPr>
                <w:rFonts w:ascii="Arial" w:cs="Arial" w:eastAsia="Arial" w:hAnsi="Arial"/>
                <w:sz w:val="9"/>
                <w:szCs w:val="9"/>
                <w:b w:val="1"/>
                <w:bCs w:val="1"/>
                <w:color w:val="auto"/>
              </w:rPr>
              <w:t>(2)</w:t>
            </w:r>
          </w:p>
        </w:tc>
        <w:tc>
          <w:tcPr>
            <w:tcW w:w="12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2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Assets under</w:t>
            </w: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management at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beginning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919.4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690.0</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61.7</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1,893.4</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878.5</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627.0</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1,775.6</w:t>
            </w: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4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cash flows</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prior to manager-</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98"/>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driven distributions</w:t>
            </w:r>
          </w:p>
        </w:tc>
        <w:tc>
          <w:tcPr>
            <w:tcW w:w="1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
              <w:spacing w:after="0" w:line="149" w:lineRule="exact"/>
              <w:rPr>
                <w:sz w:val="20"/>
                <w:szCs w:val="20"/>
                <w:color w:val="auto"/>
              </w:rPr>
            </w:pPr>
            <w:r>
              <w:rPr>
                <w:rFonts w:ascii="Arial" w:cs="Arial" w:eastAsia="Arial" w:hAnsi="Arial"/>
                <w:sz w:val="14"/>
                <w:szCs w:val="14"/>
                <w:color w:val="auto"/>
              </w:rPr>
              <w:t>Manager-driven</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126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flows</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48"/>
        </w:trPr>
        <w:tc>
          <w:tcPr>
            <w:tcW w:w="1260" w:type="dxa"/>
            <w:vAlign w:val="bottom"/>
          </w:tcPr>
          <w:p>
            <w:pPr>
              <w:ind w:left="20"/>
              <w:spacing w:after="0" w:line="149" w:lineRule="exact"/>
              <w:rPr>
                <w:sz w:val="20"/>
                <w:szCs w:val="20"/>
                <w:color w:val="auto"/>
              </w:rPr>
            </w:pPr>
            <w:r>
              <w:rPr>
                <w:rFonts w:ascii="Arial" w:cs="Arial" w:eastAsia="Arial" w:hAnsi="Arial"/>
                <w:sz w:val="14"/>
                <w:szCs w:val="14"/>
                <w:color w:val="auto"/>
              </w:rPr>
              <w:t>Net market</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60" w:type="dxa"/>
            <w:vAlign w:val="bottom"/>
          </w:tcPr>
          <w:p>
            <w:pPr>
              <w:ind w:left="20"/>
              <w:spacing w:after="0" w:line="139" w:lineRule="exact"/>
              <w:rPr>
                <w:sz w:val="20"/>
                <w:szCs w:val="20"/>
                <w:color w:val="auto"/>
              </w:rPr>
            </w:pPr>
            <w:r>
              <w:rPr>
                <w:rFonts w:ascii="Arial" w:cs="Arial" w:eastAsia="Arial" w:hAnsi="Arial"/>
                <w:sz w:val="14"/>
                <w:szCs w:val="14"/>
                <w:color w:val="auto"/>
              </w:rPr>
              <w:t>appreciation</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60" w:type="dxa"/>
            <w:vAlign w:val="bottom"/>
          </w:tcPr>
          <w:p>
            <w:pPr>
              <w:ind w:left="20"/>
              <w:spacing w:after="0" w:line="146" w:lineRule="exact"/>
              <w:rPr>
                <w:sz w:val="20"/>
                <w:szCs w:val="20"/>
                <w:color w:val="auto"/>
              </w:rPr>
            </w:pPr>
            <w:r>
              <w:rPr>
                <w:rFonts w:ascii="Arial" w:cs="Arial" w:eastAsia="Arial" w:hAnsi="Arial"/>
                <w:sz w:val="14"/>
                <w:szCs w:val="14"/>
                <w:color w:val="auto"/>
              </w:rPr>
              <w:t>(depreciation) and</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vMerge w:val="restart"/>
          </w:tcPr>
          <w:p>
            <w:pPr>
              <w:jc w:val="right"/>
              <w:ind w:right="8"/>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201"/>
        </w:trPr>
        <w:tc>
          <w:tcPr>
            <w:tcW w:w="1260" w:type="dxa"/>
            <w:vAlign w:val="bottom"/>
            <w:tcBorders>
              <w:bottom w:val="single" w:sz="8" w:color="CCEEFF"/>
            </w:tcBorders>
          </w:tcPr>
          <w:p>
            <w:pPr>
              <w:ind w:left="20"/>
              <w:spacing w:after="0" w:line="201" w:lineRule="exact"/>
              <w:rPr>
                <w:sz w:val="20"/>
                <w:szCs w:val="20"/>
                <w:color w:val="auto"/>
              </w:rPr>
            </w:pPr>
            <w:r>
              <w:rPr>
                <w:rFonts w:ascii="Arial" w:cs="Arial" w:eastAsia="Arial" w:hAnsi="Arial"/>
                <w:sz w:val="14"/>
                <w:szCs w:val="14"/>
                <w:color w:val="auto"/>
              </w:rPr>
              <w:t>income</w:t>
            </w:r>
            <w:r>
              <w:rPr>
                <w:rFonts w:ascii="Arial" w:cs="Arial" w:eastAsia="Arial" w:hAnsi="Arial"/>
                <w:sz w:val="18"/>
                <w:szCs w:val="18"/>
                <w:color w:val="auto"/>
                <w:vertAlign w:val="superscript"/>
              </w:rPr>
              <w:t>(4)</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2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Change during the</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260" w:type="dxa"/>
            <w:vAlign w:val="bottom"/>
          </w:tcPr>
          <w:p>
            <w:pPr>
              <w:ind w:left="20"/>
              <w:spacing w:after="0" w:line="129" w:lineRule="exact"/>
              <w:rPr>
                <w:sz w:val="20"/>
                <w:szCs w:val="20"/>
                <w:color w:val="auto"/>
              </w:rPr>
            </w:pPr>
            <w:r>
              <w:rPr>
                <w:rFonts w:ascii="Arial" w:cs="Arial" w:eastAsia="Arial" w:hAnsi="Arial"/>
                <w:sz w:val="14"/>
                <w:szCs w:val="14"/>
                <w:color w:val="auto"/>
              </w:rPr>
              <w:t>Assets under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60" w:type="dxa"/>
            <w:vAlign w:val="bottom"/>
          </w:tcPr>
          <w:p>
            <w:pPr>
              <w:ind w:left="20"/>
              <w:spacing w:after="0" w:line="139" w:lineRule="exact"/>
              <w:rPr>
                <w:sz w:val="20"/>
                <w:szCs w:val="20"/>
                <w:color w:val="auto"/>
              </w:rPr>
            </w:pPr>
            <w:r>
              <w:rPr>
                <w:rFonts w:ascii="Arial" w:cs="Arial" w:eastAsia="Arial" w:hAnsi="Arial"/>
                <w:sz w:val="14"/>
                <w:szCs w:val="14"/>
                <w:color w:val="auto"/>
              </w:rPr>
              <w:t>management at</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20"/>
              <w:spacing w:after="0" w:line="149" w:lineRule="exact"/>
              <w:rPr>
                <w:sz w:val="20"/>
                <w:szCs w:val="20"/>
                <w:color w:val="auto"/>
              </w:rPr>
            </w:pPr>
            <w:r>
              <w:rPr>
                <w:rFonts w:ascii="Arial" w:cs="Arial" w:eastAsia="Arial" w:hAnsi="Arial"/>
                <w:sz w:val="14"/>
                <w:szCs w:val="14"/>
                <w:color w:val="auto"/>
              </w:rPr>
              <w:t>September 30,</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896.3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221.8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680.6</w:t>
            </w:r>
          </w:p>
        </w:tc>
        <w:tc>
          <w:tcPr>
            <w:tcW w:w="80" w:type="dxa"/>
            <w:vAlign w:val="bottom"/>
          </w:tcPr>
          <w:p>
            <w:pPr>
              <w:spacing w:after="0"/>
              <w:rPr>
                <w:sz w:val="12"/>
                <w:szCs w:val="12"/>
                <w:color w:val="auto"/>
              </w:rPr>
            </w:pPr>
          </w:p>
        </w:tc>
        <w:tc>
          <w:tcPr>
            <w:tcW w:w="720" w:type="dxa"/>
            <w:vAlign w:val="bottom"/>
            <w:vMerge w:val="restart"/>
          </w:tcPr>
          <w:p>
            <w:pPr>
              <w:jc w:val="right"/>
              <w:ind w:right="54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ind w:right="8"/>
              <w:spacing w:after="0"/>
              <w:rPr>
                <w:sz w:val="20"/>
                <w:szCs w:val="20"/>
                <w:color w:val="auto"/>
              </w:rPr>
            </w:pPr>
            <w:r>
              <w:rPr>
                <w:rFonts w:ascii="Arial" w:cs="Arial" w:eastAsia="Arial" w:hAnsi="Arial"/>
                <w:sz w:val="14"/>
                <w:szCs w:val="14"/>
                <w:color w:val="auto"/>
              </w:rPr>
              <w:t>64.0</w:t>
            </w:r>
          </w:p>
        </w:tc>
        <w:tc>
          <w:tcPr>
            <w:tcW w:w="8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1,862.7</w:t>
            </w: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896.3</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221.8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680.6</w:t>
            </w:r>
          </w:p>
        </w:tc>
        <w:tc>
          <w:tcPr>
            <w:tcW w:w="100" w:type="dxa"/>
            <w:vAlign w:val="bottom"/>
          </w:tcPr>
          <w:p>
            <w:pPr>
              <w:spacing w:after="0"/>
              <w:rPr>
                <w:sz w:val="12"/>
                <w:szCs w:val="12"/>
                <w:color w:val="auto"/>
              </w:rPr>
            </w:pPr>
          </w:p>
        </w:tc>
        <w:tc>
          <w:tcPr>
            <w:tcW w:w="68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1,862.7</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Arial" w:cs="Arial" w:eastAsia="Arial" w:hAnsi="Arial"/>
                <w:sz w:val="14"/>
                <w:szCs w:val="14"/>
                <w:color w:val="auto"/>
              </w:rPr>
              <w:t>2026</w:t>
            </w:r>
          </w:p>
        </w:tc>
        <w:tc>
          <w:tcPr>
            <w:tcW w:w="1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Firmwide AUM includes assets in which T. Rowe Price Group, Inc. and its affiliates have full discretionary authority along with managed account - model delivery assets.</w:t>
      </w:r>
    </w:p>
    <w:p>
      <w:pPr>
        <w:spacing w:after="0" w:line="8" w:lineRule="exact"/>
        <w:rPr>
          <w:rFonts w:ascii="Arial" w:cs="Arial" w:eastAsia="Arial" w:hAnsi="Arial"/>
          <w:sz w:val="16"/>
          <w:szCs w:val="16"/>
          <w:i w:val="1"/>
          <w:iCs w:val="1"/>
          <w:color w:val="auto"/>
          <w:vertAlign w:val="superscript"/>
        </w:rPr>
      </w:pPr>
    </w:p>
    <w:p>
      <w:pPr>
        <w:ind w:left="240" w:hanging="232"/>
        <w:spacing w:after="0" w:line="200" w:lineRule="auto"/>
        <w:tabs>
          <w:tab w:leader="none" w:pos="2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AUM of the multi-asset portfolios have been aggregated and presented in this category and not reported in the equity and fixed income columns.</w:t>
      </w:r>
    </w:p>
    <w:p>
      <w:pPr>
        <w:spacing w:after="0" w:line="22" w:lineRule="exact"/>
        <w:rPr>
          <w:rFonts w:ascii="Arial" w:cs="Arial" w:eastAsia="Arial" w:hAnsi="Arial"/>
          <w:sz w:val="16"/>
          <w:szCs w:val="16"/>
          <w:i w:val="1"/>
          <w:iCs w:val="1"/>
          <w:color w:val="auto"/>
          <w:vertAlign w:val="superscript"/>
        </w:rPr>
      </w:pPr>
    </w:p>
    <w:p>
      <w:pPr>
        <w:ind w:left="180" w:right="100" w:hanging="172"/>
        <w:spacing w:after="0" w:line="225" w:lineRule="auto"/>
        <w:tabs>
          <w:tab w:leader="none" w:pos="157"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alternatives asset class includes strategies authorized to invest more than 50% of its holdings in private credit, leveraged loans, mezzanine, real assets/CRE, structured products, stressed/distressed, non-investment grade CLOs, special situations, business development companies, private equity or that have absolute return as its investment objective. Generally, only those strategies with longer than daily liquidity are included. Unfunded capital commitments that do not earn fees were $19.0 billion at September 30, 2026, $21.0 billion at June 30, 2026, and $21.6 billion at December 31, 2025, and are not reflected in the AUM above.</w:t>
      </w:r>
    </w:p>
    <w:p>
      <w:pPr>
        <w:spacing w:after="0" w:line="1" w:lineRule="exact"/>
        <w:rPr>
          <w:rFonts w:ascii="Arial" w:cs="Arial" w:eastAsia="Arial" w:hAnsi="Arial"/>
          <w:sz w:val="16"/>
          <w:szCs w:val="16"/>
          <w:i w:val="1"/>
          <w:iCs w:val="1"/>
          <w:color w:val="auto"/>
          <w:vertAlign w:val="superscript"/>
        </w:rPr>
      </w:pPr>
    </w:p>
    <w:p>
      <w:pPr>
        <w:ind w:left="140" w:hanging="132"/>
        <w:spacing w:after="0" w:line="200" w:lineRule="auto"/>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net distributions not reinvested for the three- and nine-month periods ended September 30, 2026 of $0.7 billion and $1.9 billion, respectively.</w:t>
      </w:r>
    </w:p>
    <w:p>
      <w:pPr>
        <w:spacing w:after="0" w:line="239"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Investors domiciled outside the United States account for 9.3% of our AUM at September 30, 2026, 9.1% at June 30, 2026, and 8.8% at December 31, 2025.</w:t>
      </w:r>
    </w:p>
    <w:p>
      <w:pPr>
        <w:spacing w:after="0" w:line="180"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Assets under management in our target date retirement products, which are included in the multi-asset totals shown above, were $613.9 billion at September 30, 2026, $622.0 billion at June 30, 2026, and $561.4 billion at December 31, 2025. Net outflows for these portfolios were $6.5 billion and net inflows were $0.1 billion in the three- and nine-month periods ended September 30, 2026, respectively.</w:t>
      </w:r>
    </w:p>
    <w:p>
      <w:pPr>
        <w:spacing w:after="0" w:line="19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multi-asset investment division provides advisory solutions, including investment insights, strategic asset allocation design, tactical asset allocation recommendations, and portfolio rebalancing services. The assets in these portfolios, predominantly in the United States, were $31.4 billion at September 30, 2026 compared to $31.1 billion at June 30, 2026.</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provide participant accounting and plan administration for retirement plans that primarily invest in our U.S. mutual funds, collective investment trusts and products managed outside of our complex. At September 30, 2026, our assets under administration were $346 billion, of which $186 billion were assets we managed.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3"/>
          <w:szCs w:val="23"/>
          <w:b w:val="1"/>
          <w:bCs w:val="1"/>
          <w:i w:val="1"/>
          <w:iCs w:val="1"/>
          <w:color w:val="auto"/>
          <w:vertAlign w:val="superscript"/>
        </w:rPr>
        <w:t>(1)</w:t>
      </w:r>
    </w:p>
    <w:p>
      <w:pPr>
        <w:spacing w:after="0" w:line="19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Strong investment performance and brand awareness are key drivers to attracting and retaining assets—and to our long-term success. Our performance disclosures include specific asset classes, assets under management weighted performance, U.S. fund performance against passive peers, and composite performance against benchmarks. The following tables present investment performance for the one-, three-, five-, and 10-year periods ended September 30, 2026. Past performance is not a guarantee nor a reliable indicator of future performance.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w w:val="99"/>
              </w:rPr>
              <w:t>% of U.S. funds that outperformed Morningstar median</w:t>
            </w:r>
            <w:r>
              <w:rPr>
                <w:rFonts w:ascii="Arial" w:cs="Arial" w:eastAsia="Arial" w:hAnsi="Arial"/>
                <w:sz w:val="21"/>
                <w:szCs w:val="21"/>
                <w:b w:val="1"/>
                <w:bCs w:val="1"/>
                <w:color w:val="auto"/>
                <w:w w:val="99"/>
                <w:vertAlign w:val="superscript"/>
              </w:rPr>
              <w:t>(2),(3)</w:t>
            </w: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579"/>
              <w:spacing w:after="0"/>
              <w:rPr>
                <w:sz w:val="20"/>
                <w:szCs w:val="20"/>
                <w:color w:val="auto"/>
              </w:rPr>
            </w:pPr>
            <w:r>
              <w:rPr>
                <w:rFonts w:ascii="Arial" w:cs="Arial" w:eastAsia="Arial" w:hAnsi="Arial"/>
                <w:sz w:val="16"/>
                <w:szCs w:val="16"/>
                <w:color w:val="auto"/>
                <w:w w:val="99"/>
              </w:rPr>
              <w:t>61%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56%</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44%</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58%</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64%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62%</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56%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60%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61%</w:t>
            </w:r>
          </w:p>
        </w:tc>
      </w:tr>
      <w:tr>
        <w:trPr>
          <w:trHeight w:val="109"/>
        </w:trPr>
        <w:tc>
          <w:tcPr>
            <w:tcW w:w="2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w w:val="98"/>
              </w:rPr>
              <w:t>% of U.S. funds that outperformed passive peer median</w:t>
            </w:r>
            <w:r>
              <w:rPr>
                <w:rFonts w:ascii="Arial" w:cs="Arial" w:eastAsia="Arial" w:hAnsi="Arial"/>
                <w:sz w:val="21"/>
                <w:szCs w:val="21"/>
                <w:b w:val="1"/>
                <w:bCs w:val="1"/>
                <w:color w:val="auto"/>
                <w:w w:val="98"/>
                <w:vertAlign w:val="superscript"/>
              </w:rPr>
              <w:t>(2),(4)</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579"/>
              <w:spacing w:after="0"/>
              <w:rPr>
                <w:sz w:val="20"/>
                <w:szCs w:val="20"/>
                <w:color w:val="auto"/>
              </w:rPr>
            </w:pPr>
            <w:r>
              <w:rPr>
                <w:rFonts w:ascii="Arial" w:cs="Arial" w:eastAsia="Arial" w:hAnsi="Arial"/>
                <w:sz w:val="16"/>
                <w:szCs w:val="16"/>
                <w:color w:val="auto"/>
                <w:w w:val="99"/>
              </w:rPr>
              <w:t>55%</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40%</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40%</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44%</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59%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48%</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56%</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57%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41%</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46%</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579"/>
              <w:spacing w:after="0"/>
              <w:rPr>
                <w:sz w:val="20"/>
                <w:szCs w:val="20"/>
                <w:color w:val="auto"/>
              </w:rPr>
            </w:pPr>
            <w:r>
              <w:rPr>
                <w:rFonts w:ascii="Arial" w:cs="Arial" w:eastAsia="Arial" w:hAnsi="Arial"/>
                <w:sz w:val="16"/>
                <w:szCs w:val="16"/>
                <w:color w:val="auto"/>
                <w:w w:val="99"/>
              </w:rPr>
              <w:t>35%</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25%</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22%</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38%</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68%</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composites</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45%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49%</w:t>
            </w:r>
          </w:p>
        </w:tc>
      </w:tr>
      <w:tr>
        <w:trPr>
          <w:trHeight w:val="365"/>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8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5"/>
        </w:trPr>
        <w:tc>
          <w:tcPr>
            <w:tcW w:w="20" w:type="dxa"/>
            <w:vAlign w:val="bottom"/>
            <w:shd w:val="clear" w:color="auto" w:fill="CCEEFF"/>
          </w:tcPr>
          <w:p>
            <w:pPr>
              <w:spacing w:after="0"/>
              <w:rPr>
                <w:sz w:val="15"/>
                <w:szCs w:val="15"/>
                <w:color w:val="auto"/>
              </w:rPr>
            </w:pPr>
          </w:p>
        </w:tc>
        <w:tc>
          <w:tcPr>
            <w:tcW w:w="456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AUM Weighted Performance</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579"/>
              <w:spacing w:after="0"/>
              <w:rPr>
                <w:sz w:val="20"/>
                <w:szCs w:val="20"/>
                <w:color w:val="auto"/>
              </w:rPr>
            </w:pPr>
            <w:r>
              <w:rPr>
                <w:rFonts w:ascii="Arial" w:cs="Arial" w:eastAsia="Arial" w:hAnsi="Arial"/>
                <w:sz w:val="16"/>
                <w:szCs w:val="16"/>
                <w:color w:val="auto"/>
                <w:w w:val="99"/>
              </w:rPr>
              <w:t>48%</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37%</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60%</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85%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82%</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77%</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93%</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580" w:type="dxa"/>
            <w:vAlign w:val="bottom"/>
            <w:gridSpan w:val="4"/>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579"/>
              <w:spacing w:after="0"/>
              <w:rPr>
                <w:sz w:val="20"/>
                <w:szCs w:val="20"/>
                <w:color w:val="auto"/>
              </w:rPr>
            </w:pPr>
            <w:r>
              <w:rPr>
                <w:rFonts w:ascii="Arial" w:cs="Arial" w:eastAsia="Arial" w:hAnsi="Arial"/>
                <w:sz w:val="16"/>
                <w:szCs w:val="16"/>
                <w:color w:val="auto"/>
                <w:w w:val="99"/>
              </w:rPr>
              <w:t>43%</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21%</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19%</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29%</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85%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73%</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79%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18%</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43%</w:t>
            </w:r>
          </w:p>
        </w:tc>
      </w:tr>
      <w:tr>
        <w:trPr>
          <w:trHeight w:val="109"/>
        </w:trPr>
        <w:tc>
          <w:tcPr>
            <w:tcW w:w="2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380" w:type="dxa"/>
            <w:vAlign w:val="bottom"/>
            <w:gridSpan w:val="2"/>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7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579"/>
              <w:spacing w:after="0"/>
              <w:rPr>
                <w:sz w:val="20"/>
                <w:szCs w:val="20"/>
                <w:color w:val="auto"/>
              </w:rPr>
            </w:pPr>
            <w:r>
              <w:rPr>
                <w:rFonts w:ascii="Arial" w:cs="Arial" w:eastAsia="Arial" w:hAnsi="Arial"/>
                <w:sz w:val="16"/>
                <w:szCs w:val="16"/>
                <w:color w:val="auto"/>
                <w:w w:val="99"/>
              </w:rPr>
              <w:t>32%</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21%</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19%</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30%</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70%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51%</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39%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34%</w:t>
            </w:r>
          </w:p>
        </w:tc>
      </w:tr>
    </w:tbl>
    <w:p>
      <w:pPr>
        <w:spacing w:after="0" w:line="347"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At September 30, 2026, 64 of 142 (45.1%)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(6)</w:t>
      </w:r>
      <w:r>
        <w:rPr>
          <w:rFonts w:ascii="Arial" w:cs="Arial" w:eastAsia="Arial" w:hAnsi="Arial"/>
          <w:sz w:val="18"/>
          <w:szCs w:val="18"/>
          <w:color w:val="auto"/>
        </w:rPr>
        <w:t>. In addition, 57.0%</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AUM in the firm's rated U.S. mutual funds (across primary share classes) ended September 30, 2026 with an overall rating of 4 or 5 stars.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26" w:name="page27"/>
    <w:bookmarkEnd w:id="26"/>
    <w:p>
      <w:pPr>
        <w:ind w:left="140" w:hanging="132"/>
        <w:spacing w:after="0"/>
        <w:tabs>
          <w:tab w:leader="none" w:pos="140" w:val="left"/>
        </w:tabs>
        <w:numPr>
          <w:ilvl w:val="0"/>
          <w:numId w:val="1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investment performance reflects that of T. Rowe Price U.S. mutual funds, ETFs, and composites.</w:t>
      </w:r>
    </w:p>
    <w:p>
      <w:pPr>
        <w:spacing w:after="0" w:line="8" w:lineRule="exact"/>
        <w:rPr>
          <w:rFonts w:ascii="Arial" w:cs="Arial" w:eastAsia="Arial" w:hAnsi="Arial"/>
          <w:sz w:val="16"/>
          <w:szCs w:val="16"/>
          <w:i w:val="1"/>
          <w:iCs w:val="1"/>
          <w:color w:val="auto"/>
          <w:vertAlign w:val="superscript"/>
        </w:rPr>
      </w:pPr>
    </w:p>
    <w:p>
      <w:pPr>
        <w:ind w:right="200" w:firstLine="8"/>
        <w:spacing w:after="0" w:line="247" w:lineRule="auto"/>
        <w:tabs>
          <w:tab w:leader="none" w:pos="122" w:val="left"/>
        </w:tabs>
        <w:numPr>
          <w:ilvl w:val="0"/>
          <w:numId w:val="11"/>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Source: © 2026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spacing w:after="0" w:line="1" w:lineRule="exact"/>
        <w:rPr>
          <w:rFonts w:ascii="Arial" w:cs="Arial" w:eastAsia="Arial" w:hAnsi="Arial"/>
          <w:sz w:val="14"/>
          <w:szCs w:val="14"/>
          <w:i w:val="1"/>
          <w:iCs w:val="1"/>
          <w:color w:val="auto"/>
          <w:vertAlign w:val="superscript"/>
        </w:rPr>
      </w:pPr>
    </w:p>
    <w:p>
      <w:pPr>
        <w:ind w:right="60" w:firstLine="8"/>
        <w:spacing w:after="0" w:line="220" w:lineRule="auto"/>
        <w:tabs>
          <w:tab w:leader="none" w:pos="135" w:val="left"/>
        </w:tabs>
        <w:numPr>
          <w:ilvl w:val="0"/>
          <w:numId w:val="11"/>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outperformed the Morningstar category median. The bottom chart reflects the percentage of T. Rowe Price funds AUM that has outperformed for the time periods indicated. Total AUM included for this analysis includes $319B for 1 year, $317B for 3 years, $302B for 5 years, and $299B for 10 years.</w:t>
      </w:r>
    </w:p>
    <w:p>
      <w:pPr>
        <w:spacing w:after="0" w:line="2" w:lineRule="exact"/>
        <w:rPr>
          <w:rFonts w:ascii="Arial" w:cs="Arial" w:eastAsia="Arial" w:hAnsi="Arial"/>
          <w:sz w:val="15"/>
          <w:szCs w:val="15"/>
          <w:i w:val="1"/>
          <w:iCs w:val="1"/>
          <w:color w:val="auto"/>
          <w:vertAlign w:val="superscript"/>
        </w:rPr>
      </w:pPr>
    </w:p>
    <w:p>
      <w:pPr>
        <w:ind w:firstLine="8"/>
        <w:spacing w:after="0" w:line="223" w:lineRule="auto"/>
        <w:tabs>
          <w:tab w:leader="none" w:pos="135" w:val="left"/>
        </w:tabs>
        <w:numPr>
          <w:ilvl w:val="0"/>
          <w:numId w:val="11"/>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a retail fund. This analysis compares T. Rowe Price active funds with the applicable universe of passive/index open-end funds and ETFs of peer firms. The top chart reflects the percentage of T. Rowe Price funds with 1 year, 3 year, 5 year, and 10 year track record that outperformed the passive peer universe. The bottom chart reflects the percentage of T. Rowe Price funds AUM that has outperformed for the time periods indicated. Total AUM included for this analysis includes $300B for 1 year, $259B for 3 years, $244B for 5 years, and $240B for 10 years.</w:t>
      </w:r>
    </w:p>
    <w:p>
      <w:pPr>
        <w:spacing w:after="0" w:line="1" w:lineRule="exact"/>
        <w:rPr>
          <w:rFonts w:ascii="Arial" w:cs="Arial" w:eastAsia="Arial" w:hAnsi="Arial"/>
          <w:sz w:val="15"/>
          <w:szCs w:val="15"/>
          <w:i w:val="1"/>
          <w:iCs w:val="1"/>
          <w:color w:val="auto"/>
          <w:vertAlign w:val="superscript"/>
        </w:rPr>
      </w:pPr>
    </w:p>
    <w:p>
      <w:pPr>
        <w:ind w:firstLine="8"/>
        <w:spacing w:after="0"/>
        <w:tabs>
          <w:tab w:leader="none" w:pos="122" w:val="left"/>
        </w:tabs>
        <w:numPr>
          <w:ilvl w:val="0"/>
          <w:numId w:val="11"/>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$1,637B for 1 year, $1,635B for 3 years, $1,621B for 5 years, and $1,578B for 10 years.</w:t>
      </w:r>
    </w:p>
    <w:p>
      <w:pPr>
        <w:spacing w:after="0" w:line="126" w:lineRule="exact"/>
        <w:rPr>
          <w:rFonts w:ascii="Arial" w:cs="Arial" w:eastAsia="Arial" w:hAnsi="Arial"/>
          <w:sz w:val="14"/>
          <w:szCs w:val="14"/>
          <w:i w:val="1"/>
          <w:iCs w:val="1"/>
          <w:color w:val="auto"/>
          <w:vertAlign w:val="superscript"/>
        </w:rPr>
      </w:pPr>
    </w:p>
    <w:p>
      <w:pPr>
        <w:jc w:val="both"/>
        <w:ind w:right="120" w:firstLine="8"/>
        <w:spacing w:after="0" w:line="228" w:lineRule="auto"/>
        <w:tabs>
          <w:tab w:leader="none" w:pos="135" w:val="left"/>
        </w:tabs>
        <w:numPr>
          <w:ilvl w:val="0"/>
          <w:numId w:val="11"/>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weighted-average of the performance figures associated with a fund’s 3, 5, and 10 year (if applicable) Morningstar Rating™ metrics.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5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and discussion set forth information regarding our consolidated financial results for the three- and nine-month periods ended September 30, 2026 and 2025 on a U.S. GAAP and a non-GAAP basis. The non-GAAP basis adjusts for the impact of our consolidated investment products, the impact of market movements on the deferred compensation liabilities and related economic hedges, investment income related to certain other investments, acquisition-related amortization and costs, impairment charges, and certain non-recurring charges and gains, including the restructuring charges.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gridSpan w:val="5"/>
            <w:shd w:val="clear" w:color="auto" w:fill="CCEEFF"/>
          </w:tcPr>
          <w:p>
            <w:pPr>
              <w:jc w:val="right"/>
              <w:ind w:right="19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4"/>
            <w:shd w:val="clear" w:color="auto" w:fill="CCEEFF"/>
          </w:tcPr>
          <w:p>
            <w:pPr>
              <w:jc w:val="right"/>
              <w:ind w:right="359"/>
              <w:spacing w:after="0"/>
              <w:rPr>
                <w:sz w:val="20"/>
                <w:szCs w:val="20"/>
                <w:color w:val="auto"/>
              </w:rPr>
            </w:pPr>
            <w:r>
              <w:rPr>
                <w:rFonts w:ascii="Arial" w:cs="Arial" w:eastAsia="Arial" w:hAnsi="Arial"/>
                <w:sz w:val="14"/>
                <w:szCs w:val="14"/>
                <w:b w:val="1"/>
                <w:bCs w:val="1"/>
                <w:color w:val="auto"/>
              </w:rPr>
              <w:t>Q3 2026 vs. Q3 2025</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4"/>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120" w:type="dxa"/>
            <w:vAlign w:val="bottom"/>
            <w:tcBorders>
              <w:bottom w:val="single" w:sz="8" w:color="auto"/>
            </w:tcBorders>
            <w:gridSpan w:val="3"/>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YTD 2026 vs. YTD 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gridSpan w:val="3"/>
          </w:tcPr>
          <w:p>
            <w:pPr>
              <w:spacing w:after="0"/>
              <w:rPr>
                <w:sz w:val="20"/>
                <w:szCs w:val="20"/>
                <w:color w:val="auto"/>
              </w:rPr>
            </w:pPr>
            <w:r>
              <w:rPr>
                <w:rFonts w:ascii="Arial" w:cs="Arial" w:eastAsia="Arial" w:hAnsi="Arial"/>
                <w:sz w:val="13"/>
                <w:szCs w:val="13"/>
                <w:color w:val="auto"/>
              </w:rPr>
              <w:t>(in millions, except per-share data)</w:t>
            </w: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rPr>
              <w:t>9/30/2025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 Change</w:t>
            </w:r>
          </w:p>
        </w:tc>
        <w:tc>
          <w:tcPr>
            <w:tcW w:w="1300" w:type="dxa"/>
            <w:vAlign w:val="bottom"/>
            <w:tcBorders>
              <w:right w:val="single" w:sz="8" w:color="auto"/>
            </w:tcBorders>
            <w:gridSpan w:val="2"/>
          </w:tcPr>
          <w:p>
            <w:pPr>
              <w:ind w:left="20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79"/>
              <w:spacing w:after="0"/>
              <w:rPr>
                <w:sz w:val="20"/>
                <w:szCs w:val="20"/>
                <w:color w:val="auto"/>
              </w:rPr>
            </w:pPr>
            <w:r>
              <w:rPr>
                <w:rFonts w:ascii="Arial" w:cs="Arial" w:eastAsia="Arial" w:hAnsi="Arial"/>
                <w:sz w:val="14"/>
                <w:szCs w:val="14"/>
                <w:b w:val="1"/>
                <w:bCs w:val="1"/>
                <w:color w:val="auto"/>
              </w:rPr>
              <w:t>9/30/2025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19"/>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U.S. GAAP basis</w:t>
            </w: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6"/>
                <w:szCs w:val="16"/>
                <w:color w:val="auto"/>
              </w:rPr>
              <w:t>Investment advisory fees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1,796.4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5,224.2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4,864.7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359.5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40" w:type="dxa"/>
            <w:vAlign w:val="bottom"/>
            <w:gridSpan w:val="3"/>
            <w:shd w:val="clear" w:color="auto" w:fill="CCEEFF"/>
          </w:tcPr>
          <w:p>
            <w:pPr>
              <w:spacing w:after="0" w:line="163" w:lineRule="exact"/>
              <w:rPr>
                <w:sz w:val="20"/>
                <w:szCs w:val="20"/>
                <w:color w:val="auto"/>
              </w:rPr>
            </w:pPr>
            <w:r>
              <w:rPr>
                <w:rFonts w:ascii="Arial" w:cs="Arial" w:eastAsia="Arial" w:hAnsi="Arial"/>
                <w:sz w:val="16"/>
                <w:szCs w:val="16"/>
                <w:color w:val="auto"/>
              </w:rPr>
              <w:t>Capital allocation-based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4"/>
                <w:szCs w:val="14"/>
                <w:color w:val="auto"/>
              </w:rPr>
            </w:pPr>
          </w:p>
        </w:tc>
        <w:tc>
          <w:tcPr>
            <w:tcW w:w="1300" w:type="dxa"/>
            <w:vAlign w:val="bottom"/>
            <w:tcBorders>
              <w:right w:val="single" w:sz="8" w:color="auto"/>
            </w:tcBorders>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income</w:t>
            </w:r>
            <w:r>
              <w:rPr>
                <w:rFonts w:ascii="Arial" w:cs="Arial" w:eastAsia="Arial" w:hAnsi="Arial"/>
                <w:sz w:val="21"/>
                <w:szCs w:val="21"/>
                <w:color w:val="auto"/>
                <w:vertAlign w:val="superscript"/>
              </w:rPr>
              <w:t>(2)</w:t>
            </w: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6"/>
                <w:szCs w:val="16"/>
                <w:color w:val="auto"/>
              </w:rPr>
              <w:t>Net revenues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2,004.9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1,893.5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111.4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5,769.3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5,380.7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388.6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6"/>
                <w:szCs w:val="16"/>
                <w:color w:val="auto"/>
              </w:rPr>
              <w:t>Net operating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769.8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19.7 %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1,990.8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1,717.8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273.0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Non-operating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(220.8)</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ind w:left="90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gridSpan w:val="3"/>
          </w:tcPr>
          <w:p>
            <w:pPr>
              <w:spacing w:after="0" w:line="162" w:lineRule="exact"/>
              <w:rPr>
                <w:sz w:val="20"/>
                <w:szCs w:val="20"/>
                <w:color w:val="auto"/>
              </w:rPr>
            </w:pPr>
            <w:r>
              <w:rPr>
                <w:rFonts w:ascii="Arial" w:cs="Arial" w:eastAsia="Arial" w:hAnsi="Arial"/>
                <w:sz w:val="16"/>
                <w:szCs w:val="16"/>
                <w:color w:val="auto"/>
              </w:rPr>
              <w:t>Net income - T. Rowe Price</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612.3</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646.1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1,742.5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1,641.8</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6"/>
                <w:szCs w:val="16"/>
                <w:color w:val="auto"/>
              </w:rPr>
              <w:t>Group, Inc.</w:t>
            </w: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40" w:type="dxa"/>
            <w:vAlign w:val="bottom"/>
            <w:gridSpan w:val="3"/>
            <w:shd w:val="clear" w:color="auto" w:fill="CCEEFF"/>
          </w:tcPr>
          <w:p>
            <w:pPr>
              <w:spacing w:after="0" w:line="163" w:lineRule="exact"/>
              <w:rPr>
                <w:sz w:val="20"/>
                <w:szCs w:val="20"/>
                <w:color w:val="auto"/>
              </w:rPr>
            </w:pPr>
            <w:r>
              <w:rPr>
                <w:rFonts w:ascii="Arial" w:cs="Arial" w:eastAsia="Arial" w:hAnsi="Arial"/>
                <w:sz w:val="16"/>
                <w:szCs w:val="16"/>
                <w:color w:val="auto"/>
              </w:rPr>
              <w:t>Diluted earnings per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share</w:t>
            </w: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gridSpan w:val="3"/>
          </w:tcPr>
          <w:p>
            <w:pPr>
              <w:spacing w:after="0" w:line="162" w:lineRule="exact"/>
              <w:rPr>
                <w:sz w:val="20"/>
                <w:szCs w:val="20"/>
                <w:color w:val="auto"/>
              </w:rPr>
            </w:pPr>
            <w:r>
              <w:rPr>
                <w:rFonts w:ascii="Arial" w:cs="Arial" w:eastAsia="Arial" w:hAnsi="Arial"/>
                <w:sz w:val="16"/>
                <w:szCs w:val="16"/>
                <w:color w:val="auto"/>
              </w:rPr>
              <w:t>Weighted-average common</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gridSpan w:val="3"/>
          </w:tcPr>
          <w:p>
            <w:pPr>
              <w:spacing w:after="0" w:line="162" w:lineRule="exact"/>
              <w:rPr>
                <w:sz w:val="20"/>
                <w:szCs w:val="20"/>
                <w:color w:val="auto"/>
              </w:rPr>
            </w:pPr>
            <w:r>
              <w:rPr>
                <w:rFonts w:ascii="Arial" w:cs="Arial" w:eastAsia="Arial" w:hAnsi="Arial"/>
                <w:sz w:val="16"/>
                <w:szCs w:val="16"/>
                <w:color w:val="auto"/>
              </w:rPr>
              <w:t>shares outstanding assuming</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220.9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23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dilution</w:t>
            </w: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40" w:type="dxa"/>
            <w:vAlign w:val="bottom"/>
            <w:gridSpan w:val="3"/>
          </w:tcPr>
          <w:p>
            <w:pPr>
              <w:spacing w:after="0" w:line="176" w:lineRule="exact"/>
              <w:rPr>
                <w:sz w:val="20"/>
                <w:szCs w:val="20"/>
                <w:color w:val="auto"/>
              </w:rPr>
            </w:pPr>
            <w:r>
              <w:rPr>
                <w:rFonts w:ascii="Arial" w:cs="Arial" w:eastAsia="Arial" w:hAnsi="Arial"/>
                <w:sz w:val="15"/>
                <w:szCs w:val="15"/>
                <w:b w:val="1"/>
                <w:bCs w:val="1"/>
                <w:color w:val="auto"/>
              </w:rPr>
              <w:t>Adjusted basis</w:t>
            </w:r>
            <w:r>
              <w:rPr>
                <w:rFonts w:ascii="Arial" w:cs="Arial" w:eastAsia="Arial" w:hAnsi="Arial"/>
                <w:sz w:val="20"/>
                <w:szCs w:val="20"/>
                <w:b w:val="1"/>
                <w:bCs w:val="1"/>
                <w:color w:val="auto"/>
                <w:vertAlign w:val="superscript"/>
              </w:rPr>
              <w:t>(3)</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gridSpan w:val="3"/>
          </w:tcPr>
          <w:p>
            <w:pPr>
              <w:spacing w:after="0" w:line="162" w:lineRule="exact"/>
              <w:rPr>
                <w:sz w:val="20"/>
                <w:szCs w:val="20"/>
                <w:color w:val="auto"/>
              </w:rPr>
            </w:pPr>
            <w:r>
              <w:rPr>
                <w:rFonts w:ascii="Arial" w:cs="Arial" w:eastAsia="Arial" w:hAnsi="Arial"/>
                <w:sz w:val="16"/>
                <w:szCs w:val="16"/>
                <w:color w:val="auto"/>
              </w:rPr>
              <w:t>Operating expenses, excluding</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gridSpan w:val="3"/>
          </w:tcPr>
          <w:p>
            <w:pPr>
              <w:spacing w:after="0" w:line="162" w:lineRule="exact"/>
              <w:rPr>
                <w:sz w:val="20"/>
                <w:szCs w:val="20"/>
                <w:color w:val="auto"/>
              </w:rPr>
            </w:pPr>
            <w:r>
              <w:rPr>
                <w:rFonts w:ascii="Arial" w:cs="Arial" w:eastAsia="Arial" w:hAnsi="Arial"/>
                <w:sz w:val="16"/>
                <w:szCs w:val="16"/>
                <w:color w:val="auto"/>
              </w:rPr>
              <w:t>accrued carried interest related</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1,175.5</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1,111.8</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5.7 %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3,512.7</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3,376.9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135.8</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6"/>
                <w:szCs w:val="16"/>
                <w:color w:val="auto"/>
              </w:rPr>
              <w:t>compensation</w:t>
            </w: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6"/>
                <w:szCs w:val="16"/>
                <w:color w:val="auto"/>
              </w:rPr>
              <w:t>Non-operating income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340" w:type="dxa"/>
            <w:vAlign w:val="bottom"/>
            <w:gridSpan w:val="3"/>
            <w:shd w:val="clear" w:color="auto" w:fill="CCEEFF"/>
          </w:tcPr>
          <w:p>
            <w:pPr>
              <w:spacing w:after="0" w:line="163" w:lineRule="exact"/>
              <w:rPr>
                <w:sz w:val="20"/>
                <w:szCs w:val="20"/>
                <w:color w:val="auto"/>
              </w:rPr>
            </w:pPr>
            <w:r>
              <w:rPr>
                <w:rFonts w:ascii="Arial" w:cs="Arial" w:eastAsia="Arial" w:hAnsi="Arial"/>
                <w:sz w:val="16"/>
                <w:szCs w:val="16"/>
                <w:color w:val="auto"/>
              </w:rPr>
              <w:t>Net income - T. Rowe Price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629.5</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631.7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1,756.5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1,647.8</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Group, Inc.</w:t>
            </w: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gridSpan w:val="3"/>
          </w:tcPr>
          <w:p>
            <w:pPr>
              <w:spacing w:after="0" w:line="162" w:lineRule="exact"/>
              <w:rPr>
                <w:sz w:val="20"/>
                <w:szCs w:val="20"/>
                <w:color w:val="auto"/>
              </w:rPr>
            </w:pPr>
            <w:r>
              <w:rPr>
                <w:rFonts w:ascii="Arial" w:cs="Arial" w:eastAsia="Arial" w:hAnsi="Arial"/>
                <w:sz w:val="16"/>
                <w:szCs w:val="16"/>
                <w:color w:val="auto"/>
              </w:rPr>
              <w:t>Diluted earnings per common</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2.86</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23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share</w:t>
            </w:r>
          </w:p>
        </w:tc>
        <w:tc>
          <w:tcPr>
            <w:tcW w:w="140" w:type="dxa"/>
            <w:vAlign w:val="bottom"/>
            <w:tcBorders>
              <w:bottom w:val="single" w:sz="8" w:color="CCEEFF"/>
            </w:tcBorders>
            <w:vMerge w:val="continue"/>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800" w:type="dxa"/>
            <w:vAlign w:val="bottom"/>
            <w:tcBorders>
              <w:bottom w:val="single" w:sz="8" w:color="CCEEFF"/>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84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82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gridSpan w:val="8"/>
          </w:tcPr>
          <w:p>
            <w:pPr>
              <w:spacing w:after="0" w:line="175" w:lineRule="exact"/>
              <w:rPr>
                <w:sz w:val="20"/>
                <w:szCs w:val="20"/>
                <w:color w:val="auto"/>
              </w:rPr>
            </w:pPr>
            <w:r>
              <w:rPr>
                <w:rFonts w:ascii="Arial" w:cs="Arial" w:eastAsia="Arial" w:hAnsi="Arial"/>
                <w:sz w:val="16"/>
                <w:szCs w:val="16"/>
                <w:b w:val="1"/>
                <w:bCs w:val="1"/>
                <w:color w:val="auto"/>
              </w:rPr>
              <w:t>Assets under management (AUM) (in billions)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Average AUM</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164.2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23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Ending AUM</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1,862.7</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1,767.2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95.5</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1,862.7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1,767.2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gridSpan w:val="14"/>
          </w:tcPr>
          <w:p>
            <w:pPr>
              <w:spacing w:after="0" w:line="175" w:lineRule="exact"/>
              <w:rPr>
                <w:sz w:val="20"/>
                <w:szCs w:val="20"/>
                <w:color w:val="auto"/>
              </w:rPr>
            </w:pPr>
            <w:r>
              <w:rPr>
                <w:rFonts w:ascii="Arial" w:cs="Arial" w:eastAsia="Arial" w:hAnsi="Arial"/>
                <w:sz w:val="16"/>
                <w:szCs w:val="16"/>
                <w:b w:val="1"/>
                <w:bCs w:val="1"/>
                <w:color w:val="auto"/>
              </w:rPr>
              <w:t>Investment advisory annualized effective fee rate (EFR) (in bps)</w:t>
            </w:r>
          </w:p>
        </w:tc>
        <w:tc>
          <w:tcPr>
            <w:tcW w:w="1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340" w:type="dxa"/>
            <w:vAlign w:val="bottom"/>
            <w:gridSpan w:val="3"/>
            <w:shd w:val="clear" w:color="auto" w:fill="CCEEFF"/>
          </w:tcPr>
          <w:p>
            <w:pPr>
              <w:spacing w:after="0" w:line="162" w:lineRule="exact"/>
              <w:rPr>
                <w:sz w:val="20"/>
                <w:szCs w:val="20"/>
                <w:color w:val="auto"/>
              </w:rPr>
            </w:pPr>
            <w:r>
              <w:rPr>
                <w:rFonts w:ascii="Arial" w:cs="Arial" w:eastAsia="Arial" w:hAnsi="Arial"/>
                <w:sz w:val="16"/>
                <w:szCs w:val="16"/>
                <w:color w:val="auto"/>
              </w:rPr>
              <w:t>EFR without performance-</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based fees</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40" w:type="dxa"/>
            <w:vAlign w:val="bottom"/>
            <w:gridSpan w:val="3"/>
          </w:tcPr>
          <w:p>
            <w:pPr>
              <w:spacing w:after="0" w:line="162" w:lineRule="exact"/>
              <w:rPr>
                <w:sz w:val="20"/>
                <w:szCs w:val="20"/>
                <w:color w:val="auto"/>
              </w:rPr>
            </w:pPr>
            <w:r>
              <w:rPr>
                <w:rFonts w:ascii="Arial" w:cs="Arial" w:eastAsia="Arial" w:hAnsi="Arial"/>
                <w:sz w:val="16"/>
                <w:szCs w:val="16"/>
                <w:color w:val="auto"/>
              </w:rPr>
              <w:t>EFR with performance-based</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6"/>
                <w:szCs w:val="16"/>
                <w:color w:val="auto"/>
              </w:rPr>
              <w:t>fees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right="140" w:firstLine="8"/>
        <w:spacing w:after="0" w:line="558"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 xml:space="preserve">n/m - the percentage change is not meaningful. </w:t>
      </w:r>
      <w:r>
        <w:rPr>
          <w:rFonts w:ascii="Arial" w:cs="Arial" w:eastAsia="Arial" w:hAnsi="Arial"/>
          <w:sz w:val="15"/>
          <w:szCs w:val="15"/>
          <w:i w:val="1"/>
          <w:iCs w:val="1"/>
          <w:color w:val="auto"/>
          <w:vertAlign w:val="superscript"/>
        </w:rPr>
        <w:t>(2)</w:t>
      </w:r>
      <w:r>
        <w:rPr>
          <w:rFonts w:ascii="Arial" w:cs="Arial" w:eastAsia="Arial" w:hAnsi="Arial"/>
          <w:sz w:val="12"/>
          <w:szCs w:val="12"/>
          <w:i w:val="1"/>
          <w:iCs w:val="1"/>
          <w:color w:val="auto"/>
        </w:rPr>
        <w:t xml:space="preserve"> Capital allocation-based income represents the change in accrued carried interest along with acquisition-related, non-cash amortization and impairments. </w:t>
      </w:r>
      <w:r>
        <w:rPr>
          <w:rFonts w:ascii="Arial" w:cs="Arial" w:eastAsia="Arial" w:hAnsi="Arial"/>
          <w:sz w:val="8"/>
          <w:szCs w:val="8"/>
          <w:i w:val="1"/>
          <w:iCs w:val="1"/>
          <w:color w:val="auto"/>
        </w:rPr>
        <w:t>(3)</w:t>
      </w:r>
      <w:r>
        <w:rPr>
          <w:rFonts w:ascii="Arial" w:cs="Arial" w:eastAsia="Arial" w:hAnsi="Arial"/>
          <w:sz w:val="12"/>
          <w:szCs w:val="12"/>
          <w:i w:val="1"/>
          <w:iCs w:val="1"/>
          <w:color w:val="auto"/>
        </w:rPr>
        <w:t xml:space="preserve"> See the reconciliation to the comparable U.S. GAAP measures at the end of the Results of Operations section of this Management's Discussion and Analysis.</w:t>
      </w:r>
    </w:p>
    <w:p>
      <w:pPr>
        <w:spacing w:after="0"/>
        <w:rPr>
          <w:sz w:val="20"/>
          <w:szCs w:val="20"/>
          <w:color w:val="auto"/>
        </w:rPr>
      </w:pPr>
      <w:r>
        <w:rPr>
          <w:rFonts w:ascii="Arial" w:cs="Arial" w:eastAsia="Arial" w:hAnsi="Arial"/>
          <w:sz w:val="18"/>
          <w:szCs w:val="18"/>
          <w:b w:val="1"/>
          <w:bCs w:val="1"/>
          <w:u w:val="single" w:color="auto"/>
          <w:color w:val="auto"/>
        </w:rPr>
        <w:t>Results Overview - Quarter ended September 30, 2026</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performance-based advisory fees; capital allocation-based income;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servicing, and other fees. About 90% of our net revenues are related to investment advisory fees. Total net revenues were $2,004.9 million in the third quarter of 2026, a 5.9% increase over $1,893.5 million in the third quarter of 2025. The increase was primarily driven by a 5.8% increase in investment advisory fee revenue as higher overall markets increased average assets under management by 9.5% and by higher capital allocation-based income.</w:t>
      </w:r>
    </w:p>
    <w:p>
      <w:pPr>
        <w:spacing w:after="0" w:line="2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and cash flows related shifts among asset classes and products, including those with tiered-fee structures, along with price changes we make in existing products.</w:t>
      </w:r>
    </w:p>
    <w:p>
      <w:pPr>
        <w:spacing w:after="0" w:line="20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Capital allocation-based income will fluctuate quarter-to-quarter to reflect the adjustment to accrued carried interest for the change in value of certain affiliated funds assuming the funds’ underlying investments were realized at the end of the period.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28" w:name="page29"/>
    <w:bookmarkEnd w:id="28"/>
    <w:p>
      <w:pPr>
        <w:ind w:right="220"/>
        <w:spacing w:after="0" w:line="28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on a U.S. GAAP basis were $1,235.1 million in the third quarter of 2026, a 1.2% decrease from the comparable 2025</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 a non-GAAP basis, adjusted operating expenses were $1,200.1 million, a 5.8% increase over the comparable 2025 period.</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Compared to the third quarter of 2025, market-related impacts on deferred compensation liabilities, lower restructuring charges, and lower acquisition-related amortization and impairments were the drivers of lower U.S. GAAP operating expenses during the third quarter of 2026. These decreases were partially offset by higher compensation and related benefits, distribution and servicing costs, technology and facility costs, and general, administrative, and other costs. These higher costs were the main drivers of the increase in adjusted operating expenses in the third quarter of 2026 compared to the 2025 period as market-related impacts on the deferred compensation liabilities, restructuring charge, and acquisition-related amortization and impairments are not included in our adjusted operating expenses. See the GAAP to non-GAAP reconciliation at the end of the Results of Operations section of this Management's Discussion and Analysis.</w:t>
      </w:r>
    </w:p>
    <w:p>
      <w:pPr>
        <w:spacing w:after="0" w:line="21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2026 was 38.4% on a U.S. GAAP basis, compared to 34.0% earned in the third quarter of 2025.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our operating margin for the third quarter of 2026 compared to the 2025 period was driven by net revenue growth together with a decrease in operating expenses.</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$2.79 for the third quarter of 2026 compared to $2.87 for the third quarter of 2025.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lower non-operating income partially offset by higher operating income and lower weighted-average shares outstanding compared to the 2025 period.</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On a non-GAAP basis, adjusted diluted earnings per share was $2.86 for the third quarter of 2026 compared to $2.81 for the third quarter of 2025. The increase was primarily driven by lower weighted-average shares outstanding compared to the 2025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Year-to-Date ended September 30, 2026</w:t>
      </w:r>
    </w:p>
    <w:p>
      <w:pPr>
        <w:spacing w:after="0" w:line="2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performance-based advisory fees; capital allocation-based income;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distribution, servicing, and other fees. More than 90% of our net revenues for the nine months ended September 30, 2026 were investment advisory fees. Total net revenues were $5,769.3 million in the nine months ended September 30, 2026, a 7.2% increase over $5,380.7 million in the 2025 period. The increase was primarily driven by a 7.4% increase in investment advisory fee revenue as average assets under management increased by 11.5%.</w:t>
      </w:r>
    </w:p>
    <w:p>
      <w:pPr>
        <w:spacing w:after="0" w:line="21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$3,778.5 million in the nine months ended September 30, 2026 compared to $3,662.9 million in the 2025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 a non-GAAP basis, adjusted operating expenses for the nine months ended September 30, 2026 increased 4.2% to $3,558.5 million compared to the 2025 period.</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Compared to the nine months ended September 30, 2025, the primary drivers of the increase in U.S. GAAP and non-GAAP operating expenses during the nine months ended September 30, 2026 were higher compensation and related benefits costs, technology and facility costs, distribution and servicing costs, and general, administrative, and other costs partially offset by lower advertising and promotion costs. U.S. GAAP operating expenses were also impacted by lower acquisition-related amortization and impairments compared to the 2025 period, which are not included in our adjusted operating expenses. See the GAAP to non-GAAP reconciliation at the end of the Results of Operations section of this Management's Discussion and Analysis.</w:t>
      </w:r>
    </w:p>
    <w:p>
      <w:pPr>
        <w:spacing w:after="0" w:line="20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nine months ended September 30, 2026 was 34.5% on a U.S. GAAP basis, compared to 31.9% earned in the 2025</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increase in our U.S. GAAP operating margin for the nine months ended September 30, 2026 compared to the 2025 period was driven by net revenue growth outpacing operating expense growth, primarily driven by higher investment advisory fees.</w:t>
      </w:r>
    </w:p>
    <w:p>
      <w:pPr>
        <w:spacing w:after="0" w:line="19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$7.89 for the nine months ended September 30, 2026 compared to $7.25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2025. The increase was driven by higher operating income and lower weighted- average shares outstanding, partially offset by lower net investment gains compared to the 2025 period.</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3" w:right="399" w:bottom="1440" w:gutter="0" w:footer="0" w:header="0"/>
        </w:sectPr>
      </w:pPr>
    </w:p>
    <w:bookmarkStart w:id="29" w:name="page30"/>
    <w:bookmarkEnd w:id="29"/>
    <w:p>
      <w:pPr>
        <w:jc w:val="both"/>
        <w:ind w:right="60"/>
        <w:spacing w:after="0" w:line="268" w:lineRule="auto"/>
        <w:rPr>
          <w:sz w:val="20"/>
          <w:szCs w:val="20"/>
          <w:color w:val="auto"/>
        </w:rPr>
      </w:pPr>
      <w:r>
        <w:rPr>
          <w:rFonts w:ascii="Arial" w:cs="Arial" w:eastAsia="Arial" w:hAnsi="Arial"/>
          <w:sz w:val="18"/>
          <w:szCs w:val="18"/>
          <w:color w:val="auto"/>
        </w:rPr>
        <w:t>On a non-GAAP basis, adjusted diluted earnings per share was $ 7.95 for the nine months ended September 30, 2026 as compared to $7.28 for the 2025 period. The increase was driven by higher operating income and lower weighted-average shares outstanding, partially offset by lower net investment gains compared to the 2025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5160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gridSpan w:val="4"/>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3"/>
            <w:shd w:val="clear" w:color="auto" w:fill="CCEEFF"/>
          </w:tcPr>
          <w:p>
            <w:pPr>
              <w:jc w:val="right"/>
              <w:ind w:right="339"/>
              <w:spacing w:after="0"/>
              <w:rPr>
                <w:sz w:val="20"/>
                <w:szCs w:val="20"/>
                <w:color w:val="auto"/>
              </w:rPr>
            </w:pPr>
            <w:r>
              <w:rPr>
                <w:rFonts w:ascii="Arial" w:cs="Arial" w:eastAsia="Arial" w:hAnsi="Arial"/>
                <w:sz w:val="14"/>
                <w:szCs w:val="14"/>
                <w:b w:val="1"/>
                <w:bCs w:val="1"/>
                <w:color w:val="auto"/>
              </w:rPr>
              <w:t>Q3 2026 vs. Q3 2025</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120" w:type="dxa"/>
            <w:vAlign w:val="bottom"/>
            <w:tcBorders>
              <w:bottom w:val="single" w:sz="8" w:color="auto"/>
            </w:tcBorders>
            <w:gridSpan w:val="3"/>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YTD 2026 vs. YTD 2025</w:t>
            </w:r>
          </w:p>
        </w:tc>
        <w:tc>
          <w:tcPr>
            <w:tcW w:w="0" w:type="dxa"/>
            <w:vAlign w:val="bottom"/>
          </w:tcPr>
          <w:p>
            <w:pPr>
              <w:spacing w:after="0"/>
              <w:rPr>
                <w:sz w:val="1"/>
                <w:szCs w:val="1"/>
                <w:color w:val="auto"/>
              </w:rPr>
            </w:pPr>
          </w:p>
        </w:tc>
      </w:tr>
      <w:tr>
        <w:trPr>
          <w:trHeight w:val="196"/>
        </w:trPr>
        <w:tc>
          <w:tcPr>
            <w:tcW w:w="23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rPr>
              <w:t>9/30/2025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380" w:type="dxa"/>
            <w:vAlign w:val="bottom"/>
            <w:gridSpan w:val="2"/>
          </w:tcPr>
          <w:p>
            <w:pPr>
              <w:ind w:left="20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79"/>
              <w:spacing w:after="0"/>
              <w:rPr>
                <w:sz w:val="20"/>
                <w:szCs w:val="20"/>
                <w:color w:val="auto"/>
              </w:rPr>
            </w:pPr>
            <w:r>
              <w:rPr>
                <w:rFonts w:ascii="Arial" w:cs="Arial" w:eastAsia="Arial" w:hAnsi="Arial"/>
                <w:sz w:val="14"/>
                <w:szCs w:val="14"/>
                <w:b w:val="1"/>
                <w:bCs w:val="1"/>
                <w:color w:val="auto"/>
              </w:rPr>
              <w:t>9/30/2025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19"/>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6"/>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fees</w:t>
            </w: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20" w:type="dxa"/>
            <w:vAlign w:val="bottom"/>
          </w:tcPr>
          <w:p>
            <w:pPr>
              <w:ind w:left="140"/>
              <w:spacing w:after="0"/>
              <w:rPr>
                <w:sz w:val="20"/>
                <w:szCs w:val="20"/>
                <w:color w:val="auto"/>
              </w:rPr>
            </w:pPr>
            <w:r>
              <w:rPr>
                <w:rFonts w:ascii="Arial" w:cs="Arial" w:eastAsia="Arial" w:hAnsi="Arial"/>
                <w:sz w:val="16"/>
                <w:szCs w:val="16"/>
                <w:color w:val="auto"/>
              </w:rPr>
              <w:t>Equity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1,047.4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1,011.8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3.5 %</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3,034.0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2,894.6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139.4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163"/>
        </w:trPr>
        <w:tc>
          <w:tcPr>
            <w:tcW w:w="23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Fixed income, including</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319.2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money market</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20" w:type="dxa"/>
            <w:vAlign w:val="bottom"/>
          </w:tcPr>
          <w:p>
            <w:pPr>
              <w:ind w:left="140"/>
              <w:spacing w:after="0"/>
              <w:rPr>
                <w:sz w:val="20"/>
                <w:szCs w:val="20"/>
                <w:color w:val="auto"/>
              </w:rPr>
            </w:pPr>
            <w:r>
              <w:rPr>
                <w:rFonts w:ascii="Arial" w:cs="Arial" w:eastAsia="Arial" w:hAnsi="Arial"/>
                <w:sz w:val="16"/>
                <w:szCs w:val="16"/>
                <w:color w:val="auto"/>
              </w:rPr>
              <w:t>Multi-asset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12.4 %</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Alternatives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49"/>
        </w:trPr>
        <w:tc>
          <w:tcPr>
            <w:tcW w:w="2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1,796.4</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5.8 %</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5,224.2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4,864.7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359.5</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162"/>
        </w:trPr>
        <w:tc>
          <w:tcPr>
            <w:tcW w:w="2320" w:type="dxa"/>
            <w:vAlign w:val="bottom"/>
            <w:tcBorders>
              <w:top w:val="single" w:sz="8" w:color="CCEEFF"/>
            </w:tcBorders>
          </w:tcPr>
          <w:p>
            <w:pPr>
              <w:ind w:left="20"/>
              <w:spacing w:after="0" w:line="162" w:lineRule="exact"/>
              <w:rPr>
                <w:sz w:val="20"/>
                <w:szCs w:val="20"/>
                <w:color w:val="auto"/>
              </w:rPr>
            </w:pPr>
            <w:r>
              <w:rPr>
                <w:rFonts w:ascii="Arial" w:cs="Arial" w:eastAsia="Arial" w:hAnsi="Arial"/>
                <w:sz w:val="16"/>
                <w:szCs w:val="16"/>
                <w:b w:val="1"/>
                <w:bCs w:val="1"/>
                <w:color w:val="auto"/>
              </w:rPr>
              <w:t>Performance-based advisory</w:t>
            </w:r>
          </w:p>
        </w:tc>
        <w:tc>
          <w:tcPr>
            <w:tcW w:w="1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7.3</w:t>
            </w: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top w:val="single" w:sz="8" w:color="CCEEFF"/>
            </w:tcBorders>
          </w:tcPr>
          <w:p>
            <w:pPr>
              <w:spacing w:after="0"/>
              <w:rPr>
                <w:sz w:val="14"/>
                <w:szCs w:val="14"/>
                <w:color w:val="auto"/>
              </w:rPr>
            </w:pPr>
          </w:p>
        </w:tc>
        <w:tc>
          <w:tcPr>
            <w:tcW w:w="11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14.1 %</w:t>
            </w: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50"/>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fees</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320" w:type="dxa"/>
            <w:vAlign w:val="bottom"/>
            <w:tcBorders>
              <w:top w:val="single" w:sz="8" w:color="CCEEFF"/>
            </w:tcBorders>
          </w:tcPr>
          <w:p>
            <w:pPr>
              <w:ind w:left="20"/>
              <w:spacing w:after="0" w:line="162" w:lineRule="exact"/>
              <w:rPr>
                <w:sz w:val="20"/>
                <w:szCs w:val="20"/>
                <w:color w:val="auto"/>
              </w:rPr>
            </w:pPr>
            <w:r>
              <w:rPr>
                <w:rFonts w:ascii="Arial" w:cs="Arial" w:eastAsia="Arial" w:hAnsi="Arial"/>
                <w:sz w:val="16"/>
                <w:szCs w:val="16"/>
                <w:b w:val="1"/>
                <w:bCs w:val="1"/>
                <w:color w:val="auto"/>
              </w:rPr>
              <w:t>Capital allocation-based</w:t>
            </w:r>
          </w:p>
        </w:tc>
        <w:tc>
          <w:tcPr>
            <w:tcW w:w="1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income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Change in accrued carried</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140"/>
              <w:spacing w:after="0" w:line="162" w:lineRule="exact"/>
              <w:rPr>
                <w:sz w:val="20"/>
                <w:szCs w:val="20"/>
                <w:color w:val="auto"/>
              </w:rPr>
            </w:pPr>
            <w:r>
              <w:rPr>
                <w:rFonts w:ascii="Arial" w:cs="Arial" w:eastAsia="Arial" w:hAnsi="Arial"/>
                <w:sz w:val="16"/>
                <w:szCs w:val="16"/>
                <w:color w:val="auto"/>
              </w:rPr>
              <w:t>Acquisition-related</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4"/>
                <w:szCs w:val="14"/>
                <w:color w:val="auto"/>
              </w:rPr>
            </w:pPr>
          </w:p>
        </w:tc>
        <w:tc>
          <w:tcPr>
            <w:tcW w:w="1380" w:type="dxa"/>
            <w:vAlign w:val="bottom"/>
            <w:gridSpan w:val="2"/>
            <w:vMerge w:val="restart"/>
          </w:tcPr>
          <w:p>
            <w:pPr>
              <w:ind w:left="900"/>
              <w:spacing w:after="0"/>
              <w:rPr>
                <w:sz w:val="20"/>
                <w:szCs w:val="20"/>
                <w:color w:val="auto"/>
              </w:rPr>
            </w:pPr>
            <w:r>
              <w:rPr>
                <w:rFonts w:ascii="Arial" w:cs="Arial" w:eastAsia="Arial" w:hAnsi="Arial"/>
                <w:sz w:val="16"/>
                <w:szCs w:val="16"/>
                <w:color w:val="auto"/>
              </w:rPr>
              <w:t>n/m</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5"/>
        </w:trPr>
        <w:tc>
          <w:tcPr>
            <w:tcW w:w="2320" w:type="dxa"/>
            <w:vAlign w:val="bottom"/>
          </w:tcPr>
          <w:p>
            <w:pPr>
              <w:ind w:left="140"/>
              <w:spacing w:after="0"/>
              <w:rPr>
                <w:sz w:val="20"/>
                <w:szCs w:val="20"/>
                <w:color w:val="auto"/>
              </w:rPr>
            </w:pPr>
            <w:r>
              <w:rPr>
                <w:rFonts w:ascii="Arial" w:cs="Arial" w:eastAsia="Arial" w:hAnsi="Arial"/>
                <w:sz w:val="16"/>
                <w:szCs w:val="16"/>
                <w:color w:val="auto"/>
              </w:rPr>
              <w:t>amortization and impairments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w w:val="97"/>
              </w:rPr>
              <w:t>n/m</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4"/>
        </w:trPr>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3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Administrative, distribution,</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servicing, and other fees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20" w:type="dxa"/>
            <w:vAlign w:val="bottom"/>
          </w:tcPr>
          <w:p>
            <w:pPr>
              <w:ind w:left="140"/>
              <w:spacing w:after="0"/>
              <w:rPr>
                <w:sz w:val="20"/>
                <w:szCs w:val="20"/>
                <w:color w:val="auto"/>
              </w:rPr>
            </w:pPr>
            <w:r>
              <w:rPr>
                <w:rFonts w:ascii="Arial" w:cs="Arial" w:eastAsia="Arial" w:hAnsi="Arial"/>
                <w:sz w:val="16"/>
                <w:szCs w:val="16"/>
                <w:color w:val="auto"/>
              </w:rPr>
              <w:t>Administrative and other fees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63"/>
        </w:trPr>
        <w:tc>
          <w:tcPr>
            <w:tcW w:w="23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Distribution and servicing</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5"/>
        </w:trPr>
        <w:tc>
          <w:tcPr>
            <w:tcW w:w="2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fees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5"/>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2,004.9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AUM (in billions):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20" w:type="dxa"/>
            <w:vAlign w:val="bottom"/>
          </w:tcPr>
          <w:p>
            <w:pPr>
              <w:ind w:left="140"/>
              <w:spacing w:after="0"/>
              <w:rPr>
                <w:sz w:val="20"/>
                <w:szCs w:val="20"/>
                <w:color w:val="auto"/>
              </w:rPr>
            </w:pPr>
            <w:r>
              <w:rPr>
                <w:rFonts w:ascii="Arial" w:cs="Arial" w:eastAsia="Arial" w:hAnsi="Arial"/>
                <w:sz w:val="16"/>
                <w:szCs w:val="16"/>
                <w:color w:val="auto"/>
              </w:rPr>
              <w:t>Equity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908.2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4.9 %</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885.5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825.7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163"/>
        </w:trPr>
        <w:tc>
          <w:tcPr>
            <w:tcW w:w="23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Fixed income, including</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money market</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20" w:type="dxa"/>
            <w:vAlign w:val="bottom"/>
          </w:tcPr>
          <w:p>
            <w:pPr>
              <w:ind w:left="140"/>
              <w:spacing w:after="0"/>
              <w:rPr>
                <w:sz w:val="20"/>
                <w:szCs w:val="20"/>
                <w:color w:val="auto"/>
              </w:rPr>
            </w:pPr>
            <w:r>
              <w:rPr>
                <w:rFonts w:ascii="Arial" w:cs="Arial" w:eastAsia="Arial" w:hAnsi="Arial"/>
                <w:sz w:val="16"/>
                <w:szCs w:val="16"/>
                <w:color w:val="auto"/>
              </w:rPr>
              <w:t>Multi-asset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18.0 %</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Alternatives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12.9 %</w:t>
            </w:r>
          </w:p>
        </w:tc>
        <w:tc>
          <w:tcPr>
            <w:tcW w:w="0" w:type="dxa"/>
            <w:vAlign w:val="bottom"/>
          </w:tcPr>
          <w:p>
            <w:pPr>
              <w:spacing w:after="0"/>
              <w:rPr>
                <w:sz w:val="1"/>
                <w:szCs w:val="1"/>
                <w:color w:val="auto"/>
              </w:rPr>
            </w:pPr>
          </w:p>
        </w:tc>
      </w:tr>
      <w:tr>
        <w:trPr>
          <w:trHeight w:val="210"/>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Total average AUM</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9.5 %</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1,834.0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46"/>
        </w:trPr>
        <w:tc>
          <w:tcPr>
            <w:tcW w:w="23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3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Ending AUM (in billions)</w:t>
            </w:r>
          </w:p>
        </w:tc>
        <w:tc>
          <w:tcPr>
            <w:tcW w:w="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1,862.7</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1,767.2</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5.4 %</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1,862.7</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1,767.2</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Investment advisory annualized effective fee rate (EFR) (in bps)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EFR without performance-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based fees</w:t>
            </w: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EFR with performance-based</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320" w:type="dxa"/>
            <w:vAlign w:val="bottom"/>
            <w:vMerge w:val="continue"/>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37.9</w:t>
            </w:r>
          </w:p>
        </w:tc>
        <w:tc>
          <w:tcPr>
            <w:tcW w:w="8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4"/>
        </w:trPr>
        <w:tc>
          <w:tcPr>
            <w:tcW w:w="2320" w:type="dxa"/>
            <w:vAlign w:val="bottom"/>
          </w:tcPr>
          <w:p>
            <w:pPr>
              <w:ind w:left="20"/>
              <w:spacing w:after="0"/>
              <w:rPr>
                <w:sz w:val="20"/>
                <w:szCs w:val="20"/>
                <w:color w:val="auto"/>
              </w:rPr>
            </w:pPr>
            <w:r>
              <w:rPr>
                <w:rFonts w:ascii="Arial" w:cs="Arial" w:eastAsia="Arial" w:hAnsi="Arial"/>
                <w:sz w:val="16"/>
                <w:szCs w:val="16"/>
                <w:color w:val="auto"/>
              </w:rPr>
              <w:t>fees</w:t>
            </w: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9"/>
          <w:szCs w:val="9"/>
          <w:i w:val="1"/>
          <w:iCs w:val="1"/>
          <w:color w:val="auto"/>
        </w:rPr>
      </w:pPr>
      <w:r>
        <w:rPr>
          <w:rFonts w:ascii="Arial" w:cs="Arial" w:eastAsia="Arial" w:hAnsi="Arial"/>
          <w:sz w:val="14"/>
          <w:szCs w:val="14"/>
          <w:i w:val="1"/>
          <w:iCs w:val="1"/>
          <w:color w:val="auto"/>
        </w:rPr>
        <w:t>n/m - the percentage change is not meaningful.</w:t>
      </w:r>
    </w:p>
    <w:p>
      <w:pPr>
        <w:spacing w:after="0" w:line="24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2026 increased 5.8% over the comparable 2025 quarter as average assets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increased $ 164.2 billion or 9.5%, to $1,887.2 billion. For the nine months ended September 30, 2026, investment advisory revenues increased 7.4% over the comparable 2025 period as average assets under management increased $189.6 billion, or 11.5%, to $1,834.0 billion.</w:t>
      </w:r>
    </w:p>
    <w:p>
      <w:pPr>
        <w:spacing w:after="0" w:line="20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average annualized effective fee rate earned for the three- and nine-month periods ended September 30, 2026 declined from the comparable 2025 periods driven by client flows and transfers drove a mix shift in assets under management toward lower fee products and asset classes partially offset by equity market appreciation.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Performance-based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2026 and 2025 were primarily earned from alternatives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p>
      <w:pPr>
        <w:ind w:right="40"/>
        <w:spacing w:after="0" w:line="287" w:lineRule="auto"/>
        <w:rPr>
          <w:sz w:val="20"/>
          <w:szCs w:val="20"/>
          <w:color w:val="auto"/>
        </w:rPr>
      </w:pPr>
      <w:r>
        <w:rPr>
          <w:rFonts w:ascii="Arial" w:cs="Arial" w:eastAsia="Arial" w:hAnsi="Arial"/>
          <w:sz w:val="18"/>
          <w:szCs w:val="18"/>
          <w:color w:val="auto"/>
        </w:rPr>
        <w:t>strategies. For the nine months ended September 30, 2026, fees were primarily earned from alternatives strategies, while for the comparable period of 2025, they were earned from alternatives and equity strategies.</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u w:val="single" w:color="auto"/>
          <w:color w:val="auto"/>
        </w:rPr>
        <w:t>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the change in accrued carried interest and acquisition-related amortization and impairments.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2026, the change in accrued carried interest increased net revenues by $63.1 million, compared to $56.2 million in the 2025 period, reflecting the inclusion of our late-stage venture fund which was not included in the 2025 period. For the nine months ended September 30, 2026, the change in accrued carried interest increased net revenues by $109.6 million compared to $101.9 million for the 2025 period. The decrease in acquisition-related amortization and impairments from the comparable 2025 periods was driven by impairments recognized in the 2025 periods that did not recur. We realized carried interest of $0.1 million and $49.3 million in the three- and nine-month periods ended September 30, 2026, respectively, compared to $0.2 million and $54.2 million in the 2025 periods, respectively.</w:t>
      </w:r>
    </w:p>
    <w:p>
      <w:pPr>
        <w:spacing w:after="0" w:line="21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 portion of the capital allocation-based income is passed through to certain associates as compensation and the related expense is recognized in compensation and related costs with the unpaid amount reported as non-controlling interest on the unaudited consolidated balance sheet.</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u w:val="single" w:color="auto"/>
          <w:color w:val="auto"/>
        </w:rPr>
        <w:t>Administrative, distribution, servicing,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2026 were $141.3 million, a decrease of $ 5.1 million, or 3.5%,</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comparable 2025 quarter. For the nine months ended September 30, 2026, these fees were $423.9 million, a decrease of $28.5 million, or 6.3%, from the 2025 period. The decrease from the third quarter of 2025 is primarily due to lower recordkeeping fees and transfer agent services. Compared to the nine months ended 2025, the decrease primarily reflects the reporting change implemented in the third quarter of 2025, in which revenue earned from managed account - model delivery assets and certain other advisory services began being reported within investment advisory fees, along with lower recordkeeping fees.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reflect the elimination of advisory and administrative fee revenue earned from our consolidated</w:t>
      </w:r>
    </w:p>
    <w:p>
      <w:pPr>
        <w:spacing w:after="0" w:line="2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investment products. The corresponding expenses recognized by these products, and consolidated in our financial statements, were also eliminated from operating expenses. For the third quarter, we eliminated net revenue of $ 1.2 million in 2026 and $0.8 million in 2025. For the nine months ended September 30, we eliminated net revenue of $3.9 million in 2026 and $3.6 million in 2025.</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4"/>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Q3 2026 vs. Q3 2025</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120" w:type="dxa"/>
            <w:vAlign w:val="bottom"/>
            <w:tcBorders>
              <w:bottom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YTD 2026 vs. YTD 2025</w:t>
            </w:r>
          </w:p>
        </w:tc>
        <w:tc>
          <w:tcPr>
            <w:tcW w:w="0" w:type="dxa"/>
            <w:vAlign w:val="bottom"/>
          </w:tcPr>
          <w:p>
            <w:pPr>
              <w:spacing w:after="0"/>
              <w:rPr>
                <w:sz w:val="1"/>
                <w:szCs w:val="1"/>
                <w:color w:val="auto"/>
              </w:rPr>
            </w:pPr>
          </w:p>
        </w:tc>
      </w:tr>
      <w:tr>
        <w:trPr>
          <w:trHeight w:val="196"/>
        </w:trPr>
        <w:tc>
          <w:tcPr>
            <w:tcW w:w="23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9/30/2025</w:t>
            </w:r>
          </w:p>
        </w:tc>
        <w:tc>
          <w:tcPr>
            <w:tcW w:w="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00" w:type="dxa"/>
            <w:vAlign w:val="bottom"/>
            <w:tcBorders>
              <w:right w:val="single" w:sz="8" w:color="auto"/>
            </w:tcBorders>
            <w:gridSpan w:val="2"/>
          </w:tcPr>
          <w:p>
            <w:pPr>
              <w:ind w:left="20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80"/>
              <w:spacing w:after="0"/>
              <w:rPr>
                <w:sz w:val="20"/>
                <w:szCs w:val="20"/>
                <w:color w:val="auto"/>
              </w:rPr>
            </w:pPr>
            <w:r>
              <w:rPr>
                <w:rFonts w:ascii="Arial" w:cs="Arial" w:eastAsia="Arial" w:hAnsi="Arial"/>
                <w:sz w:val="14"/>
                <w:szCs w:val="14"/>
                <w:b w:val="1"/>
                <w:bCs w:val="1"/>
                <w:color w:val="auto"/>
              </w:rPr>
              <w:t>9/30/2025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200" w:type="dxa"/>
            <w:vAlign w:val="bottom"/>
          </w:tcPr>
          <w:p>
            <w:pPr>
              <w:jc w:val="right"/>
              <w:ind w:right="12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42"/>
        </w:trPr>
        <w:tc>
          <w:tcPr>
            <w:tcW w:w="2320" w:type="dxa"/>
            <w:vAlign w:val="bottom"/>
            <w:tcBorders>
              <w:top w:val="single" w:sz="8" w:color="CCEEFF"/>
            </w:tcBorders>
            <w:shd w:val="clear" w:color="auto" w:fill="CCEEFF"/>
          </w:tcPr>
          <w:p>
            <w:pPr>
              <w:ind w:left="140"/>
              <w:spacing w:after="0" w:line="142" w:lineRule="exact"/>
              <w:rPr>
                <w:sz w:val="20"/>
                <w:szCs w:val="20"/>
                <w:color w:val="auto"/>
              </w:rPr>
            </w:pPr>
            <w:r>
              <w:rPr>
                <w:rFonts w:ascii="Arial" w:cs="Arial" w:eastAsia="Arial" w:hAnsi="Arial"/>
                <w:sz w:val="16"/>
                <w:szCs w:val="16"/>
                <w:color w:val="auto"/>
              </w:rPr>
              <w:t>Compensation, benefits, and</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632.5</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1,995.7</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1,939.2</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costs</w:t>
            </w: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140"/>
              <w:spacing w:after="0" w:line="162" w:lineRule="exact"/>
              <w:rPr>
                <w:sz w:val="20"/>
                <w:szCs w:val="20"/>
                <w:color w:val="auto"/>
              </w:rPr>
            </w:pPr>
            <w:r>
              <w:rPr>
                <w:rFonts w:ascii="Arial" w:cs="Arial" w:eastAsia="Arial" w:hAnsi="Arial"/>
                <w:sz w:val="16"/>
                <w:szCs w:val="16"/>
                <w:color w:val="auto"/>
              </w:rPr>
              <w:t>Acquisition-related retention</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5"/>
        </w:trPr>
        <w:tc>
          <w:tcPr>
            <w:tcW w:w="2320" w:type="dxa"/>
            <w:vAlign w:val="bottom"/>
          </w:tcPr>
          <w:p>
            <w:pPr>
              <w:ind w:left="140"/>
              <w:spacing w:after="0"/>
              <w:rPr>
                <w:sz w:val="20"/>
                <w:szCs w:val="20"/>
                <w:color w:val="auto"/>
              </w:rPr>
            </w:pPr>
            <w:r>
              <w:rPr>
                <w:rFonts w:ascii="Arial" w:cs="Arial" w:eastAsia="Arial" w:hAnsi="Arial"/>
                <w:sz w:val="16"/>
                <w:szCs w:val="16"/>
                <w:color w:val="auto"/>
              </w:rPr>
              <w:t>arrangements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Capital allocation-based</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4"/>
                <w:szCs w:val="14"/>
                <w:color w:val="auto"/>
              </w:rPr>
            </w:pPr>
          </w:p>
        </w:tc>
        <w:tc>
          <w:tcPr>
            <w:tcW w:w="1300" w:type="dxa"/>
            <w:vAlign w:val="bottom"/>
            <w:tcBorders>
              <w:right w:val="single" w:sz="8" w:color="auto"/>
            </w:tcBorders>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income compensation</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140"/>
              <w:spacing w:after="0" w:line="162" w:lineRule="exact"/>
              <w:rPr>
                <w:sz w:val="20"/>
                <w:szCs w:val="20"/>
                <w:color w:val="auto"/>
              </w:rPr>
            </w:pPr>
            <w:r>
              <w:rPr>
                <w:rFonts w:ascii="Arial" w:cs="Arial" w:eastAsia="Arial" w:hAnsi="Arial"/>
                <w:sz w:val="16"/>
                <w:szCs w:val="16"/>
                <w:color w:val="auto"/>
              </w:rPr>
              <w:t>Market-related change in</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140"/>
              <w:spacing w:after="0" w:line="162" w:lineRule="exact"/>
              <w:rPr>
                <w:sz w:val="20"/>
                <w:szCs w:val="20"/>
                <w:color w:val="auto"/>
              </w:rPr>
            </w:pPr>
            <w:r>
              <w:rPr>
                <w:rFonts w:ascii="Arial" w:cs="Arial" w:eastAsia="Arial" w:hAnsi="Arial"/>
                <w:sz w:val="16"/>
                <w:szCs w:val="16"/>
                <w:color w:val="auto"/>
              </w:rPr>
              <w:t>deferred compensation</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4"/>
                <w:szCs w:val="14"/>
                <w:color w:val="auto"/>
              </w:rPr>
            </w:pPr>
          </w:p>
        </w:tc>
        <w:tc>
          <w:tcPr>
            <w:tcW w:w="1300" w:type="dxa"/>
            <w:vAlign w:val="bottom"/>
            <w:tcBorders>
              <w:right w:val="single" w:sz="8" w:color="auto"/>
            </w:tcBorders>
            <w:gridSpan w:val="2"/>
            <w:vMerge w:val="restart"/>
          </w:tcPr>
          <w:p>
            <w:pPr>
              <w:ind w:left="90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5"/>
        </w:trPr>
        <w:tc>
          <w:tcPr>
            <w:tcW w:w="2320" w:type="dxa"/>
            <w:vAlign w:val="bottom"/>
          </w:tcPr>
          <w:p>
            <w:pPr>
              <w:ind w:left="14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3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6"/>
                <w:szCs w:val="16"/>
                <w:color w:val="auto"/>
              </w:rPr>
              <w:t>Total compensation and related</w:t>
            </w: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703.5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714.3</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2,186.6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2,106.5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and servicing costs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Arial" w:cs="Arial" w:eastAsia="Arial" w:hAnsi="Arial"/>
                <w:sz w:val="16"/>
                <w:szCs w:val="16"/>
                <w:color w:val="auto"/>
              </w:rPr>
              <w:t>Advertising and promotion</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5"/>
        </w:trPr>
        <w:tc>
          <w:tcPr>
            <w:tcW w:w="2320" w:type="dxa"/>
            <w:vAlign w:val="bottom"/>
          </w:tcPr>
          <w:p>
            <w:pPr>
              <w:ind w:left="20"/>
              <w:spacing w:after="0"/>
              <w:rPr>
                <w:sz w:val="20"/>
                <w:szCs w:val="20"/>
                <w:color w:val="auto"/>
              </w:rPr>
            </w:pPr>
            <w:r>
              <w:rPr>
                <w:rFonts w:ascii="Arial" w:cs="Arial" w:eastAsia="Arial" w:hAnsi="Arial"/>
                <w:sz w:val="16"/>
                <w:szCs w:val="16"/>
                <w:color w:val="auto"/>
              </w:rPr>
              <w:t>costs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Product and recordkeeping</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costs</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Arial" w:cs="Arial" w:eastAsia="Arial" w:hAnsi="Arial"/>
                <w:sz w:val="16"/>
                <w:szCs w:val="16"/>
                <w:color w:val="auto"/>
              </w:rPr>
              <w:t>Technology, occupancy, and</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197.3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615.4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573.5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line="216" w:lineRule="exact"/>
              <w:rPr>
                <w:sz w:val="20"/>
                <w:szCs w:val="20"/>
                <w:color w:val="auto"/>
              </w:rPr>
            </w:pPr>
            <w:r>
              <w:rPr>
                <w:rFonts w:ascii="Arial" w:cs="Arial" w:eastAsia="Arial" w:hAnsi="Arial"/>
                <w:sz w:val="16"/>
                <w:szCs w:val="16"/>
                <w:color w:val="auto"/>
              </w:rPr>
              <w:t>facility costs</w:t>
            </w:r>
            <w:r>
              <w:rPr>
                <w:rFonts w:ascii="Arial" w:cs="Arial" w:eastAsia="Arial" w:hAnsi="Arial"/>
                <w:sz w:val="21"/>
                <w:szCs w:val="21"/>
                <w:color w:val="auto"/>
                <w:vertAlign w:val="superscript"/>
              </w:rPr>
              <w:t>(3)</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General, administrative, and</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costs</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Arial" w:cs="Arial" w:eastAsia="Arial" w:hAnsi="Arial"/>
                <w:sz w:val="16"/>
                <w:szCs w:val="16"/>
                <w:color w:val="auto"/>
              </w:rPr>
              <w:t>Acquisition-related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Arial" w:cs="Arial" w:eastAsia="Arial" w:hAnsi="Arial"/>
                <w:sz w:val="16"/>
                <w:szCs w:val="16"/>
                <w:color w:val="auto"/>
              </w:rPr>
              <w:t>amortization, impairments, and</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5"/>
        </w:trPr>
        <w:tc>
          <w:tcPr>
            <w:tcW w:w="2320" w:type="dxa"/>
            <w:vAlign w:val="bottom"/>
          </w:tcPr>
          <w:p>
            <w:pPr>
              <w:ind w:left="20"/>
              <w:spacing w:after="0"/>
              <w:rPr>
                <w:sz w:val="20"/>
                <w:szCs w:val="20"/>
                <w:color w:val="auto"/>
              </w:rPr>
            </w:pPr>
            <w:r>
              <w:rPr>
                <w:rFonts w:ascii="Arial" w:cs="Arial" w:eastAsia="Arial" w:hAnsi="Arial"/>
                <w:sz w:val="16"/>
                <w:szCs w:val="16"/>
                <w:color w:val="auto"/>
              </w:rPr>
              <w:t>other costs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ind w:left="90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232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1,235.1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1,250.3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3,778.5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3,662.9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Arial" w:cs="Arial" w:eastAsia="Arial" w:hAnsi="Arial"/>
                <w:sz w:val="16"/>
                <w:szCs w:val="16"/>
                <w:color w:val="auto"/>
              </w:rPr>
              <w:t>Total adjusted operating</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1,200.1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1,134.4</w:t>
            </w:r>
          </w:p>
        </w:tc>
        <w:tc>
          <w:tcPr>
            <w:tcW w:w="100" w:type="dxa"/>
            <w:vAlign w:val="bottom"/>
          </w:tcPr>
          <w:p>
            <w:pPr>
              <w:spacing w:after="0"/>
              <w:rPr>
                <w:sz w:val="14"/>
                <w:szCs w:val="14"/>
                <w:color w:val="auto"/>
              </w:rPr>
            </w:pPr>
          </w:p>
        </w:tc>
        <w:tc>
          <w:tcPr>
            <w:tcW w:w="240" w:type="dxa"/>
            <w:vAlign w:val="bottom"/>
            <w:vMerge w:val="restart"/>
          </w:tcPr>
          <w:p>
            <w:pPr>
              <w:jc w:val="right"/>
              <w:ind w:right="61"/>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5.8 %</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3,558.5</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3,416.7</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line="189" w:lineRule="exact"/>
              <w:rPr>
                <w:sz w:val="20"/>
                <w:szCs w:val="20"/>
                <w:color w:val="auto"/>
              </w:rPr>
            </w:pPr>
            <w:r>
              <w:rPr>
                <w:rFonts w:ascii="Arial" w:cs="Arial" w:eastAsia="Arial" w:hAnsi="Arial"/>
                <w:sz w:val="16"/>
                <w:szCs w:val="16"/>
                <w:color w:val="auto"/>
              </w:rPr>
              <w:t>expenses</w:t>
            </w:r>
            <w:r>
              <w:rPr>
                <w:rFonts w:ascii="Arial" w:cs="Arial" w:eastAsia="Arial" w:hAnsi="Arial"/>
                <w:sz w:val="21"/>
                <w:szCs w:val="21"/>
                <w:color w:val="auto"/>
                <w:vertAlign w:val="superscript"/>
              </w:rPr>
              <w:t>(4)</w:t>
            </w:r>
          </w:p>
        </w:tc>
        <w:tc>
          <w:tcPr>
            <w:tcW w:w="1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9"/>
          <w:szCs w:val="9"/>
          <w:i w:val="1"/>
          <w:iCs w:val="1"/>
          <w:color w:val="auto"/>
        </w:rPr>
      </w:pPr>
      <w:r>
        <w:rPr>
          <w:rFonts w:ascii="Arial" w:cs="Arial" w:eastAsia="Arial" w:hAnsi="Arial"/>
          <w:sz w:val="14"/>
          <w:szCs w:val="14"/>
          <w:i w:val="1"/>
          <w:iCs w:val="1"/>
          <w:color w:val="auto"/>
        </w:rPr>
        <w:t>n/m - the percentage change is not meaningful.</w:t>
      </w:r>
    </w:p>
    <w:p>
      <w:pPr>
        <w:spacing w:after="0" w:line="26" w:lineRule="exact"/>
        <w:rPr>
          <w:rFonts w:ascii="Arial" w:cs="Arial" w:eastAsia="Arial" w:hAnsi="Arial"/>
          <w:sz w:val="9"/>
          <w:szCs w:val="9"/>
          <w:i w:val="1"/>
          <w:iCs w:val="1"/>
          <w:color w:val="auto"/>
        </w:rPr>
      </w:pPr>
    </w:p>
    <w:p>
      <w:pPr>
        <w:ind w:left="180" w:right="340" w:hanging="172"/>
        <w:spacing w:after="0" w:line="228" w:lineRule="auto"/>
        <w:tabs>
          <w:tab w:leader="none" w:pos="158" w:val="left"/>
        </w:tabs>
        <w:numPr>
          <w:ilvl w:val="0"/>
          <w:numId w:val="1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Capital allocation-based income compensation represents the change in accrued carried interest compensation along with acquisition-related, non-cash amortization and impairments.</w:t>
      </w:r>
    </w:p>
    <w:p>
      <w:pPr>
        <w:spacing w:after="0" w:line="1" w:lineRule="exact"/>
        <w:rPr>
          <w:rFonts w:ascii="Arial" w:cs="Arial" w:eastAsia="Arial" w:hAnsi="Arial"/>
          <w:sz w:val="18"/>
          <w:szCs w:val="18"/>
          <w:i w:val="1"/>
          <w:iCs w:val="1"/>
          <w:color w:val="auto"/>
          <w:vertAlign w:val="superscript"/>
        </w:rPr>
      </w:pPr>
    </w:p>
    <w:p>
      <w:pPr>
        <w:ind w:left="180" w:right="40" w:hanging="172"/>
        <w:spacing w:after="0" w:line="235" w:lineRule="auto"/>
        <w:tabs>
          <w:tab w:leader="none" w:pos="172" w:val="left"/>
        </w:tabs>
        <w:numPr>
          <w:ilvl w:val="0"/>
          <w:numId w:val="1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 Q1 2026, we implemented a reporting change that moved technology-related professional fees and servicing costs from general, administrative, and other costs to technology, occupancy, and facility costs to better align with the nature of the expenses following the outsourcing and expansion of our technology capabilities through trusted vendor partnerships. Prior periods were recast to reflect this change. The amounts reclassified for the three- and nine-month periods ended September 30, 2025 were $14.2 million and $43.3 million, respectively.</w:t>
      </w:r>
    </w:p>
    <w:p>
      <w:pPr>
        <w:spacing w:after="0" w:line="1" w:lineRule="exact"/>
        <w:rPr>
          <w:rFonts w:ascii="Arial" w:cs="Arial" w:eastAsia="Arial" w:hAnsi="Arial"/>
          <w:sz w:val="19"/>
          <w:szCs w:val="19"/>
          <w:i w:val="1"/>
          <w:iCs w:val="1"/>
          <w:color w:val="auto"/>
          <w:vertAlign w:val="superscript"/>
        </w:rPr>
      </w:pPr>
    </w:p>
    <w:p>
      <w:pPr>
        <w:ind w:left="140" w:hanging="132"/>
        <w:spacing w:after="0" w:line="229" w:lineRule="auto"/>
        <w:tabs>
          <w:tab w:leader="none" w:pos="140" w:val="left"/>
        </w:tabs>
        <w:numPr>
          <w:ilvl w:val="0"/>
          <w:numId w:val="1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19"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i w:val="1"/>
          <w:iCs w:val="1"/>
          <w:u w:val="single" w:color="auto"/>
          <w:color w:val="auto"/>
        </w:rPr>
        <w:t>Compensation, benefits, and 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were $ 664.7 million for the third quarter of 2026, an increase of $32.2 million, or 5.1%,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$632.5 million in the 2025 quarter. For the nine months ended September 30, 2026, these costs were $1,995.7 million, an increase of $56.5 million, or 2.9%, compared to $1,939.2 million in the 2025 period. The increases in both periods were primarily driven by a higher interim bonus accrual and long-term incentive compensation partially offset by lower salaries and related benefits and temporary personnel.</w:t>
      </w:r>
    </w:p>
    <w:p>
      <w:pPr>
        <w:spacing w:after="0" w:line="188"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The average associate headcount for the third quarter of 2026 was 7,577, a decrease of 4.3% compared to the 2025 period. For the nine months ended September 30, 2026, average associate headcount was 7,584, a decrease of 5.4% compared to the 2025 period. The firm employed 7,640 associates at September 30, 2026, a decrease of 1.7% from the end of 2025.</w:t>
      </w:r>
    </w:p>
    <w:p>
      <w:pPr>
        <w:spacing w:after="0" w:line="19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$111.0 million for the third quarter of 2026, an increase of $15.2 million, or 15.9% compared to $95.8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2025 quarter. For the nine months ended September 30, 2026, these costs were $316.4 million, an increase of 12.2%, compared to $281.9 million in the 2025 period. The increases in both periods were primarily driven by higher average assets under management distributed through third-party intermediaries.</w:t>
      </w:r>
    </w:p>
    <w:p>
      <w:pPr>
        <w:spacing w:after="0" w:line="20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costs in this expense category include amounts paid to third-party intermediaries that source the assets of certain share classes of our U.S. mutual funds, ETFs, and certain international products, such as our Japanese ITMs and SICAVs. These costs are offset entirely by the investment advisory revenue we earn from these products,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2" w:name="page33"/>
    <w:bookmarkEnd w:id="32"/>
    <w:p>
      <w:pPr>
        <w:ind w:right="280"/>
        <w:spacing w:after="0" w:line="287" w:lineRule="auto"/>
        <w:rPr>
          <w:sz w:val="20"/>
          <w:szCs w:val="20"/>
          <w:color w:val="auto"/>
        </w:rPr>
      </w:pPr>
      <w:r>
        <w:rPr>
          <w:rFonts w:ascii="Arial" w:cs="Arial" w:eastAsia="Arial" w:hAnsi="Arial"/>
          <w:sz w:val="18"/>
          <w:szCs w:val="18"/>
          <w:color w:val="auto"/>
        </w:rPr>
        <w:t>or in the case of the Advisor and R share classes of the U.S. mutual funds, 12b-1 fees recognized in administrative, distribution, servicing, and other fees.</w:t>
      </w:r>
    </w:p>
    <w:p>
      <w:pPr>
        <w:spacing w:after="0" w:line="18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u w:val="single" w:color="auto"/>
          <w:color w:val="auto"/>
        </w:rPr>
        <w:t>Advertising and promotion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$21.7 million in the third quarter of 2026, an increase of $0.4 million, or 1.9%, compared to the $21.3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recognized in the 2025 quarter. For the nine months ended September 30, 2026, these costs were $60.4 million, a decrease of $16.9 million, or 21.9%, compared to the $77.3 million in the 2025 period. The decrease in the nine months ended September 30, 2026 was primarily driven by lower media spend and agency costs.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u w:val="single" w:color="auto"/>
          <w:color w:val="auto"/>
        </w:rPr>
        <w:t>Product and recordkeeping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$79.3 million in the third quarter of 2026, an increase of $0.6 million, or 0.8%,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$78.7 million recognized in the 2025 quarter. For the nine months ended September 30, 2026, these costs were $236.7 million, a decrease of $0.6 million, or 0.3%, compared to $237.3 million recognized in the 2025 period.</w:t>
      </w:r>
    </w:p>
    <w:p>
      <w:pPr>
        <w:spacing w:after="0" w:line="19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$205.1 million in the third quarter of 2026, an increase of $ 7.8 million, or 4.0%,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$197.3 million recognized in the 2025 quarter. For the nine months ended September 30, 2026, these costs were $615.4 million, an increase of $41.9 million, or 7.3%, compared to $573.5 million recognized in the 2025 period. The increases in both periods were primarily driven by higher technology costs associated with the firm's decision in prior periods to outsource certain technology capabilities, which were partially offset by a reduction in compensation expenses, and higher costs for cloud-based infrastructure and hosted solutions. The third quarter of 2026 included the reversal of about $10 million in accrued technology-related expenses related to work that is expected to be completed in future periods.</w:t>
      </w:r>
    </w:p>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u w:val="single" w:color="auto"/>
          <w:color w:val="auto"/>
        </w:rPr>
        <w:t>General, administrative, and other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$95.5 million in the third quarter of 2026, an increase of $7.9 million, or 9.0%,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$87.6 million recognized in the 2025 quarter. For the nine months ended September 30, 2026, these costs were $292.8 million, an increase of $21.6 million, or 8.0%, compared to $271.2 million recognized in the 2025 period. The increases from both periods were primarily attributable to period-specific items, including a benefit recognized in the third quarter of 2025 that didn't recur in the 2026 periods, and a non-recurring cost recognized in 2026. Higher travel costs in the 2026 periods also contributed to the increase.</w:t>
      </w:r>
    </w:p>
    <w:p>
      <w:pPr>
        <w:spacing w:after="0" w:line="20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u w:val="single" w:color="auto"/>
          <w:color w:val="auto"/>
        </w:rPr>
        <w:t>Acquisition-related amortization, impairments, and other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the purchase accounting for our acquisitions, we identified and</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separately recognized, at fair value, certain intangible assets. During the three- and nine-month periods ended September 30, 2026, we recognized $ 15.0 million and $49.5 million, respectively, in amortization and impairments compared to $26.8 million and $86.7 million, respectively, in the comparable 2025 periods. The decreases primarily reflect amortization and impairments recognized over time, which reduced the remaining carrying value of the related definite-lived intangibles as well as impairments recognized in 2025 that did not recur in the 2026 period.</w:t>
      </w:r>
    </w:p>
    <w:p>
      <w:pPr>
        <w:spacing w:after="0" w:line="209"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i w:val="1"/>
          <w:iCs w:val="1"/>
          <w:u w:val="single" w:color="auto"/>
          <w:color w:val="auto"/>
        </w:rPr>
        <w:t>Restructuring charge</w:t>
      </w:r>
      <w:r>
        <w:rPr>
          <w:rFonts w:ascii="Arial" w:cs="Arial" w:eastAsia="Arial" w:hAnsi="Arial"/>
          <w:sz w:val="18"/>
          <w:szCs w:val="18"/>
          <w:i w:val="1"/>
          <w:iCs w:val="1"/>
          <w:color w:val="auto"/>
        </w:rPr>
        <w:t xml:space="preserve"> </w:t>
      </w:r>
      <w:r>
        <w:rPr>
          <w:rFonts w:ascii="Arial" w:cs="Arial" w:eastAsia="Arial" w:hAnsi="Arial"/>
          <w:sz w:val="18"/>
          <w:szCs w:val="18"/>
          <w:color w:val="auto"/>
        </w:rPr>
        <w:t>was $4.0 million in the third quarter of 2026, a decrease of $24.5 million, or 86.0%, compared to the $ 28.5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2025 quarter. For the nine months ended September 30, 2026, this charge was $20.7 million, a decrease of $7.8 million, or 27.4%, compared to $28.5 million recognized in the 2025 period. These charges relate to actions taken under our previously announced broad and ongoing expense management program, which allows the firm to reduce expense growth and realign resources to support investment in existing and future capabilities. The decreases primarily reflect lower compensation</w:t>
      </w:r>
      <w:r>
        <w:rPr>
          <w:rFonts w:ascii="MS PGothic" w:cs="MS PGothic" w:eastAsia="MS PGothic" w:hAnsi="MS PGothic"/>
          <w:sz w:val="18"/>
          <w:szCs w:val="18"/>
          <w:color w:val="auto"/>
        </w:rPr>
        <w:t>‑</w:t>
      </w:r>
      <w:r>
        <w:rPr>
          <w:rFonts w:ascii="Arial" w:cs="Arial" w:eastAsia="Arial" w:hAnsi="Arial"/>
          <w:sz w:val="18"/>
          <w:szCs w:val="18"/>
          <w:color w:val="auto"/>
        </w:rPr>
        <w:t>related costs, primarily severance, and lower costs related to exiting owned buildings.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table details the components of non-operating income (loss) for both the three- and nine-month periods ended September 30, 2026 and 2025.</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0" w:type="dxa"/>
            <w:vAlign w:val="bottom"/>
            <w:gridSpan w:val="5"/>
            <w:shd w:val="clear" w:color="auto" w:fill="CCEEFF"/>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340" w:type="dxa"/>
            <w:vAlign w:val="bottom"/>
            <w:gridSpan w:val="4"/>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20" w:type="dxa"/>
            <w:vAlign w:val="bottom"/>
          </w:tcPr>
          <w:p>
            <w:pPr>
              <w:spacing w:after="0"/>
              <w:rPr>
                <w:sz w:val="16"/>
                <w:szCs w:val="16"/>
                <w:color w:val="auto"/>
              </w:rPr>
            </w:pPr>
          </w:p>
        </w:tc>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9/30/2026</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9/30/2025</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9/30/2026</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9/30/2025</w:t>
            </w:r>
          </w:p>
        </w:tc>
      </w:tr>
      <w:tr>
        <w:trPr>
          <w:trHeight w:val="197"/>
        </w:trPr>
        <w:tc>
          <w:tcPr>
            <w:tcW w:w="20" w:type="dxa"/>
            <w:vAlign w:val="bottom"/>
          </w:tcPr>
          <w:p>
            <w:pPr>
              <w:spacing w:after="0"/>
              <w:rPr>
                <w:sz w:val="17"/>
                <w:szCs w:val="17"/>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gains (losses) from non-consolidated investment products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Arial" w:cs="Arial" w:eastAsia="Arial" w:hAnsi="Arial"/>
                <w:sz w:val="16"/>
                <w:szCs w:val="16"/>
                <w:color w:val="auto"/>
              </w:rPr>
              <w:t>Cash and discretionary investments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r>
      <w:tr>
        <w:trPr>
          <w:trHeight w:val="215"/>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Market-related gains (losses) and equity in earnings (losses)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net gains (losses) from cash and discretionary investments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131.9</w:t>
            </w:r>
          </w:p>
        </w:tc>
      </w:tr>
      <w:tr>
        <w:trPr>
          <w:trHeight w:val="195"/>
        </w:trPr>
        <w:tc>
          <w:tcPr>
            <w:tcW w:w="20" w:type="dxa"/>
            <w:vAlign w:val="bottom"/>
          </w:tcPr>
          <w:p>
            <w:pPr>
              <w:spacing w:after="0"/>
              <w:rPr>
                <w:sz w:val="16"/>
                <w:szCs w:val="16"/>
                <w:color w:val="auto"/>
              </w:rPr>
            </w:pPr>
          </w:p>
        </w:tc>
        <w:tc>
          <w:tcPr>
            <w:tcW w:w="6040" w:type="dxa"/>
            <w:vAlign w:val="bottom"/>
          </w:tcPr>
          <w:p>
            <w:pPr>
              <w:ind w:left="20"/>
              <w:spacing w:after="0"/>
              <w:rPr>
                <w:sz w:val="20"/>
                <w:szCs w:val="20"/>
                <w:color w:val="auto"/>
              </w:rPr>
            </w:pPr>
            <w:r>
              <w:rPr>
                <w:rFonts w:ascii="Arial" w:cs="Arial" w:eastAsia="Arial" w:hAnsi="Arial"/>
                <w:sz w:val="16"/>
                <w:szCs w:val="16"/>
                <w:color w:val="auto"/>
              </w:rPr>
              <w:t>Seed capital investments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 income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5"/>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Market-related gains (losses) and equity in earnings (losses)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seed capital investments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43.5</w:t>
            </w:r>
          </w:p>
        </w:tc>
      </w:tr>
      <w:tr>
        <w:trPr>
          <w:trHeight w:val="209"/>
        </w:trPr>
        <w:tc>
          <w:tcPr>
            <w:tcW w:w="2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Total cash, discretionary, and seed investments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175.4</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gains (losses) recognized upon deconsolidation</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5"/>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deferred compensation liabilities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w:t>
            </w: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net gains (losses) from non-consolidated investment products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291.3</w:t>
            </w:r>
          </w:p>
        </w:tc>
      </w:tr>
      <w:tr>
        <w:trPr>
          <w:trHeight w:val="215"/>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investment income</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gains (losses) on investments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359.0</w:t>
            </w:r>
          </w:p>
        </w:tc>
      </w:tr>
      <w:tr>
        <w:trPr>
          <w:trHeight w:val="215"/>
        </w:trPr>
        <w:tc>
          <w:tcPr>
            <w:tcW w:w="2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Arial" w:cs="Arial" w:eastAsia="Arial" w:hAnsi="Arial"/>
                <w:sz w:val="16"/>
                <w:szCs w:val="16"/>
                <w:color w:val="auto"/>
              </w:rPr>
              <w:t>Net gains (losses) on consolidated investment products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183.1</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 including foreign currency gains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0"/>
        </w:trPr>
        <w:tc>
          <w:tcPr>
            <w:tcW w:w="2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338.4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544.6</w:t>
            </w:r>
          </w:p>
        </w:tc>
      </w:tr>
      <w:tr>
        <w:trPr>
          <w:trHeight w:val="46"/>
        </w:trPr>
        <w:tc>
          <w:tcPr>
            <w:tcW w:w="20" w:type="dxa"/>
            <w:vAlign w:val="bottom"/>
          </w:tcPr>
          <w:p>
            <w:pPr>
              <w:spacing w:after="0"/>
              <w:rPr>
                <w:sz w:val="3"/>
                <w:szCs w:val="3"/>
                <w:color w:val="auto"/>
              </w:rPr>
            </w:pPr>
          </w:p>
        </w:tc>
        <w:tc>
          <w:tcPr>
            <w:tcW w:w="60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6"/>
        </w:trPr>
        <w:tc>
          <w:tcPr>
            <w:tcW w:w="20" w:type="dxa"/>
            <w:vAlign w:val="bottom"/>
          </w:tcPr>
          <w:p>
            <w:pPr>
              <w:spacing w:after="0"/>
              <w:rPr>
                <w:sz w:val="18"/>
                <w:szCs w:val="18"/>
                <w:color w:val="auto"/>
              </w:rPr>
            </w:pPr>
          </w:p>
        </w:tc>
        <w:tc>
          <w:tcPr>
            <w:tcW w:w="6040" w:type="dxa"/>
            <w:vAlign w:val="bottom"/>
            <w:tcBorders>
              <w:top w:val="single" w:sz="8" w:color="CCEEFF"/>
            </w:tcBorders>
          </w:tcPr>
          <w:p>
            <w:pPr>
              <w:ind w:left="20"/>
              <w:spacing w:after="0" w:line="216" w:lineRule="exact"/>
              <w:rPr>
                <w:sz w:val="20"/>
                <w:szCs w:val="20"/>
                <w:color w:val="auto"/>
              </w:rPr>
            </w:pPr>
            <w:r>
              <w:rPr>
                <w:rFonts w:ascii="Arial" w:cs="Arial" w:eastAsia="Arial" w:hAnsi="Arial"/>
                <w:sz w:val="16"/>
                <w:szCs w:val="16"/>
                <w:b w:val="1"/>
                <w:bCs w:val="1"/>
                <w:color w:val="auto"/>
              </w:rPr>
              <w:t>Adjusted non-operating income (loss)</w:t>
            </w:r>
            <w:r>
              <w:rPr>
                <w:rFonts w:ascii="Arial" w:cs="Arial" w:eastAsia="Arial" w:hAnsi="Arial"/>
                <w:sz w:val="21"/>
                <w:szCs w:val="21"/>
                <w:b w:val="1"/>
                <w:bCs w:val="1"/>
                <w:color w:val="auto"/>
                <w:vertAlign w:val="superscript"/>
              </w:rPr>
              <w:t>(1)</w:t>
            </w:r>
          </w:p>
        </w:tc>
        <w:tc>
          <w:tcPr>
            <w:tcW w:w="200" w:type="dxa"/>
            <w:vAlign w:val="bottom"/>
            <w:tcBorders>
              <w:top w:val="single" w:sz="8" w:color="CCEEFF"/>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50.2</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87.4</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132.8</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On an adjusted basis, non-operating income (loss) consists of investment gains and losses generated from our cash and discretionary investment portfolio. Lower investment gains during the three- and nine-month periods ended September 30, 2026 compared to the 2025 periods were primarily driven by losses on fixed income holdings resulting from rising interest rates, which more than offset higher dividends on cash equivalents and other fixed income holdings.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includes the net investment income of the underlying portfolios included in the consolidated</w:t>
      </w:r>
    </w:p>
    <w:p>
      <w:pPr>
        <w:spacing w:after="0" w:line="27" w:lineRule="exact"/>
        <w:rPr>
          <w:sz w:val="20"/>
          <w:szCs w:val="20"/>
          <w:color w:val="auto"/>
        </w:rPr>
      </w:pPr>
    </w:p>
    <w:p>
      <w:pPr>
        <w:jc w:val="both"/>
        <w:ind w:right="360"/>
        <w:spacing w:after="0" w:line="258" w:lineRule="auto"/>
        <w:rPr>
          <w:sz w:val="20"/>
          <w:szCs w:val="20"/>
          <w:color w:val="auto"/>
        </w:rPr>
      </w:pPr>
      <w:r>
        <w:rPr>
          <w:rFonts w:ascii="Arial" w:cs="Arial" w:eastAsia="Arial" w:hAnsi="Arial"/>
          <w:sz w:val="18"/>
          <w:szCs w:val="18"/>
          <w:color w:val="auto"/>
        </w:rPr>
        <w:t>investment products and not just the net investment income related to our ownership interest in the products. The table below shows the impact that the consolidated investment products had on the individual lines of our unaudited consolidated statements of income and the portion attributable to our interest:</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40" w:type="dxa"/>
            <w:vAlign w:val="bottom"/>
            <w:gridSpan w:val="5"/>
            <w:shd w:val="clear" w:color="auto" w:fill="CCEEFF"/>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17"/>
                <w:szCs w:val="17"/>
                <w:color w:val="auto"/>
              </w:rPr>
            </w:pPr>
          </w:p>
        </w:tc>
        <w:tc>
          <w:tcPr>
            <w:tcW w:w="2360" w:type="dxa"/>
            <w:vAlign w:val="bottom"/>
            <w:gridSpan w:val="4"/>
            <w:shd w:val="clear" w:color="auto" w:fill="CCEEFF"/>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9/30/2026</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9/30/2026</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9/30/2025</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 reflected in net 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5"/>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investment income (loss) reflected in non-operating income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w:t>
            </w:r>
          </w:p>
        </w:tc>
        <w:tc>
          <w:tcPr>
            <w:tcW w:w="0" w:type="dxa"/>
            <w:vAlign w:val="bottom"/>
          </w:tcPr>
          <w:p>
            <w:pPr>
              <w:spacing w:after="0"/>
              <w:rPr>
                <w:sz w:val="1"/>
                <w:szCs w:val="1"/>
                <w:color w:val="auto"/>
              </w:rPr>
            </w:pPr>
          </w:p>
        </w:tc>
      </w:tr>
      <w:tr>
        <w:trPr>
          <w:trHeight w:val="23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Impact on income before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Net income (loss) attributable to our interest in the consolidated investment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products</w:t>
            </w:r>
          </w:p>
        </w:tc>
        <w:tc>
          <w:tcPr>
            <w:tcW w:w="1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20"/>
              <w:spacing w:after="0" w:line="162" w:lineRule="exact"/>
              <w:rPr>
                <w:sz w:val="20"/>
                <w:szCs w:val="20"/>
                <w:color w:val="auto"/>
              </w:rPr>
            </w:pPr>
            <w:r>
              <w:rPr>
                <w:rFonts w:ascii="Arial" w:cs="Arial" w:eastAsia="Arial" w:hAnsi="Arial"/>
                <w:sz w:val="16"/>
                <w:szCs w:val="16"/>
                <w:color w:val="auto"/>
              </w:rPr>
              <w:t>Net income (loss) attributable to redeemable non-controlling interests (unrelated</w:t>
            </w:r>
          </w:p>
        </w:tc>
        <w:tc>
          <w:tcPr>
            <w:tcW w:w="1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215"/>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third-party investors)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Impact on income before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GAAP effective income tax rate for the third quarter of 2026 was 24.2% compared to 22.1% in the third quarter of 2025. These quarterly rates were the result of an overall year-to-date rate of 23.7% for 2026 and 22.8% for 2025. The following table reconciles the statutory federal income tax rate to our effective income tax rate on a U.S. GAAP basis for the nine months ended September 30, 2026 and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shd w:val="clear" w:color="auto" w:fill="CCEEFF"/>
          </w:tcPr>
          <w:p>
            <w:pPr>
              <w:spacing w:after="0"/>
              <w:rPr>
                <w:sz w:val="17"/>
                <w:szCs w:val="17"/>
                <w:color w:val="auto"/>
              </w:rPr>
            </w:pPr>
          </w:p>
        </w:tc>
        <w:tc>
          <w:tcPr>
            <w:tcW w:w="2800" w:type="dxa"/>
            <w:vAlign w:val="bottom"/>
            <w:tcBorders>
              <w:bottom w:val="single" w:sz="8" w:color="auto"/>
            </w:tcBorders>
            <w:gridSpan w:val="3"/>
            <w:shd w:val="clear" w:color="auto" w:fill="CCEEFF"/>
          </w:tcPr>
          <w:p>
            <w:pPr>
              <w:jc w:val="right"/>
              <w:ind w:right="632"/>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9/30/2026</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9/30/2025</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State income taxes, net of federal income tax benefits</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2.5</w:t>
            </w:r>
          </w:p>
        </w:tc>
      </w:tr>
      <w:tr>
        <w:trPr>
          <w:trHeight w:val="229"/>
        </w:trPr>
        <w:tc>
          <w:tcPr>
            <w:tcW w:w="8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losses attributable to redeemable non-controlling interests</w:t>
            </w:r>
            <w:r>
              <w:rPr>
                <w:rFonts w:ascii="Arial" w:cs="Arial" w:eastAsia="Arial" w:hAnsi="Arial"/>
                <w:sz w:val="23"/>
                <w:szCs w:val="23"/>
                <w:color w:val="auto"/>
                <w:vertAlign w:val="superscript"/>
              </w:rPr>
              <w:t>(1)</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Net excess tax losses (benefits) from stock-based compensation plans activity</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(0.2)</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allowances</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w:t>
            </w: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0.7</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21"/>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5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effective income tax rate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23.8 %</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180" w:right="220" w:hanging="172"/>
        <w:spacing w:after="0" w:line="228" w:lineRule="auto"/>
        <w:tabs>
          <w:tab w:leader="none" w:pos="158" w:val="left"/>
        </w:tabs>
        <w:numPr>
          <w:ilvl w:val="0"/>
          <w:numId w:val="1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income attributable to redeemable non-controlling interests represents the portion of earnings held in our consolidated investment products, which are not taxable to us despite being included in pre-tax income.</w:t>
      </w:r>
    </w:p>
    <w:p>
      <w:pPr>
        <w:spacing w:after="0" w:line="21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adjusted effective income tax rate primarily adjusts for the impact of the consolidated investment products, including the net income attributable to redeemable non-controlling interests. The increase in the U.S. GAAP effective income tax rate for the nine months ended September 30, 2026 was primarily related to the net income attributable to redeemable non-controlling interests which is not taxable to the firm. The increase in the adjusted effective income tax rate for the nine months ended September 30, 2026 was primarily driven by higher valuation allowances in 2026 compared to 2025 which also impacted the U.S. GAAP effective income tax rate.</w:t>
      </w:r>
    </w:p>
    <w:p>
      <w:pPr>
        <w:spacing w:after="0" w:line="20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currently estimate that our effective income tax rate for the full year 2026, on a U.S. GAAP and adjusted basis, will be in the range of 23.5% to 25.5%.</w:t>
      </w:r>
    </w:p>
    <w:p>
      <w:pPr>
        <w:spacing w:after="0" w:line="18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effective income tax rate will continue to experience volatility in future periods driven by, among other things, the impact market fluctuations in our stock price have on stock-based compensation tax benefits, changes in the mix of our earnings among countries with differing tax laws or rates, and changes in the valuation allowances of foreign-based deferred tax assets.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5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to increase transparency in evaluating our core business, comparing current results with prior-period results, and making more meaningful comparisons with industry peers. However, non-GAAP financial measures should not be considered as a substitute for financial measures calculated in accordance with U.S. GAAP and may be calculated differently by other companies.</w:t>
      </w:r>
    </w:p>
    <w:p>
      <w:pPr>
        <w:spacing w:after="0" w:line="206"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following schedules reconcile certain U.S. GAAP financial measures to non-GAAP financial measures for the three months ended September 30, 2026 and 2025.</w:t>
      </w:r>
    </w:p>
    <w:p>
      <w:pPr>
        <w:spacing w:after="0" w:line="225" w:lineRule="exact"/>
        <w:rPr>
          <w:sz w:val="20"/>
          <w:szCs w:val="20"/>
          <w:color w:val="auto"/>
        </w:rPr>
      </w:pPr>
    </w:p>
    <w:p>
      <w:pPr>
        <w:ind w:left="6460"/>
        <w:spacing w:after="0"/>
        <w:rPr>
          <w:sz w:val="20"/>
          <w:szCs w:val="20"/>
          <w:color w:val="auto"/>
        </w:rPr>
      </w:pPr>
      <w:r>
        <w:rPr>
          <w:rFonts w:ascii="Arial" w:cs="Arial" w:eastAsia="Arial" w:hAnsi="Arial"/>
          <w:sz w:val="16"/>
          <w:szCs w:val="16"/>
          <w:b w:val="1"/>
          <w:bCs w:val="1"/>
          <w:color w:val="auto"/>
        </w:rPr>
        <w:t>Three months ended 9/30/2026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-115570</wp:posOffset>
            </wp:positionV>
            <wp:extent cx="707199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p>
      <w:pPr>
        <w:spacing w:after="0" w:line="33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(in millions, except per-share data)</w:t>
            </w:r>
          </w:p>
        </w:tc>
        <w:tc>
          <w:tcPr>
            <w:tcW w:w="1860" w:type="dxa"/>
            <w:vAlign w:val="bottom"/>
          </w:tcPr>
          <w:p>
            <w:pPr>
              <w:ind w:left="1000"/>
              <w:spacing w:after="0"/>
              <w:rPr>
                <w:sz w:val="20"/>
                <w:szCs w:val="20"/>
                <w:color w:val="auto"/>
              </w:rPr>
            </w:pPr>
            <w:r>
              <w:rPr>
                <w:rFonts w:ascii="Arial" w:cs="Arial" w:eastAsia="Arial" w:hAnsi="Arial"/>
                <w:sz w:val="14"/>
                <w:szCs w:val="14"/>
                <w:b w:val="1"/>
                <w:bCs w:val="1"/>
                <w:color w:val="auto"/>
              </w:rPr>
              <w:t>Operating</w:t>
            </w:r>
          </w:p>
        </w:tc>
        <w:tc>
          <w:tcPr>
            <w:tcW w:w="1200" w:type="dxa"/>
            <w:vAlign w:val="bottom"/>
          </w:tcPr>
          <w:p>
            <w:pPr>
              <w:jc w:val="center"/>
              <w:ind w:left="8"/>
              <w:spacing w:after="0"/>
              <w:rPr>
                <w:sz w:val="20"/>
                <w:szCs w:val="20"/>
                <w:color w:val="auto"/>
              </w:rPr>
            </w:pPr>
            <w:r>
              <w:rPr>
                <w:rFonts w:ascii="Arial" w:cs="Arial" w:eastAsia="Arial" w:hAnsi="Arial"/>
                <w:sz w:val="14"/>
                <w:szCs w:val="14"/>
                <w:b w:val="1"/>
                <w:bCs w:val="1"/>
                <w:color w:val="auto"/>
              </w:rPr>
              <w:t>Net operating</w:t>
            </w:r>
          </w:p>
        </w:tc>
        <w:tc>
          <w:tcPr>
            <w:tcW w:w="1100" w:type="dxa"/>
            <w:vAlign w:val="bottom"/>
          </w:tcPr>
          <w:p>
            <w:pPr>
              <w:jc w:val="center"/>
              <w:ind w:left="28"/>
              <w:spacing w:after="0"/>
              <w:rPr>
                <w:sz w:val="20"/>
                <w:szCs w:val="20"/>
                <w:color w:val="auto"/>
              </w:rPr>
            </w:pPr>
            <w:r>
              <w:rPr>
                <w:rFonts w:ascii="Arial" w:cs="Arial" w:eastAsia="Arial" w:hAnsi="Arial"/>
                <w:sz w:val="14"/>
                <w:szCs w:val="14"/>
                <w:b w:val="1"/>
                <w:bCs w:val="1"/>
                <w:color w:val="auto"/>
              </w:rPr>
              <w:t>Non-operating</w:t>
            </w:r>
          </w:p>
        </w:tc>
        <w:tc>
          <w:tcPr>
            <w:tcW w:w="0" w:type="dxa"/>
            <w:vAlign w:val="bottom"/>
          </w:tcPr>
          <w:p>
            <w:pPr>
              <w:spacing w:after="0"/>
              <w:rPr>
                <w:sz w:val="1"/>
                <w:szCs w:val="1"/>
                <w:color w:val="auto"/>
              </w:rPr>
            </w:pPr>
          </w:p>
        </w:tc>
      </w:tr>
      <w:tr>
        <w:trPr>
          <w:trHeight w:val="185"/>
        </w:trPr>
        <w:tc>
          <w:tcPr>
            <w:tcW w:w="3200" w:type="dxa"/>
            <w:vAlign w:val="bottom"/>
            <w:vMerge w:val="continue"/>
          </w:tcPr>
          <w:p>
            <w:pPr>
              <w:spacing w:after="0"/>
              <w:rPr>
                <w:sz w:val="16"/>
                <w:szCs w:val="16"/>
                <w:color w:val="auto"/>
              </w:rPr>
            </w:pPr>
          </w:p>
        </w:tc>
        <w:tc>
          <w:tcPr>
            <w:tcW w:w="1860" w:type="dxa"/>
            <w:vAlign w:val="bottom"/>
          </w:tcPr>
          <w:p>
            <w:pPr>
              <w:ind w:left="1020"/>
              <w:spacing w:after="0"/>
              <w:rPr>
                <w:sz w:val="20"/>
                <w:szCs w:val="20"/>
                <w:color w:val="auto"/>
              </w:rPr>
            </w:pPr>
            <w:r>
              <w:rPr>
                <w:rFonts w:ascii="Arial" w:cs="Arial" w:eastAsia="Arial" w:hAnsi="Arial"/>
                <w:sz w:val="14"/>
                <w:szCs w:val="14"/>
                <w:b w:val="1"/>
                <w:bCs w:val="1"/>
                <w:color w:val="auto"/>
              </w:rPr>
              <w:t>expenses</w:t>
            </w:r>
          </w:p>
        </w:tc>
        <w:tc>
          <w:tcPr>
            <w:tcW w:w="1200" w:type="dxa"/>
            <w:vAlign w:val="bottom"/>
          </w:tcPr>
          <w:p>
            <w:pPr>
              <w:jc w:val="center"/>
              <w:ind w:left="8"/>
              <w:spacing w:after="0"/>
              <w:rPr>
                <w:sz w:val="20"/>
                <w:szCs w:val="20"/>
                <w:color w:val="auto"/>
              </w:rPr>
            </w:pPr>
            <w:r>
              <w:rPr>
                <w:rFonts w:ascii="Arial" w:cs="Arial" w:eastAsia="Arial" w:hAnsi="Arial"/>
                <w:sz w:val="14"/>
                <w:szCs w:val="14"/>
                <w:b w:val="1"/>
                <w:bCs w:val="1"/>
                <w:color w:val="auto"/>
              </w:rPr>
              <w:t>income</w:t>
            </w:r>
          </w:p>
        </w:tc>
        <w:tc>
          <w:tcPr>
            <w:tcW w:w="1100" w:type="dxa"/>
            <w:vAlign w:val="bottom"/>
          </w:tcPr>
          <w:p>
            <w:pPr>
              <w:jc w:val="center"/>
              <w:ind w:left="28"/>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auto"/>
              </w:rPr>
              <w:t>Provision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Net income</w:t>
            </w:r>
          </w:p>
        </w:tc>
        <w:tc>
          <w:tcPr>
            <w:tcW w:w="10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4"/>
        </w:trPr>
        <w:tc>
          <w:tcPr>
            <w:tcW w:w="960" w:type="dxa"/>
            <w:vAlign w:val="bottom"/>
          </w:tcPr>
          <w:p>
            <w:pPr>
              <w:jc w:val="center"/>
              <w:ind w:right="88"/>
              <w:spacing w:after="0" w:line="145" w:lineRule="exact"/>
              <w:rPr>
                <w:sz w:val="20"/>
                <w:szCs w:val="20"/>
                <w:color w:val="auto"/>
              </w:rPr>
            </w:pPr>
            <w:r>
              <w:rPr>
                <w:rFonts w:ascii="Arial" w:cs="Arial" w:eastAsia="Arial" w:hAnsi="Arial"/>
                <w:sz w:val="14"/>
                <w:szCs w:val="14"/>
                <w:b w:val="1"/>
                <w:bCs w:val="1"/>
                <w:color w:val="auto"/>
              </w:rPr>
              <w:t>(benefit) for</w:t>
            </w: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attributable to 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income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Rowe Price</w:t>
            </w:r>
          </w:p>
        </w:tc>
        <w:tc>
          <w:tcPr>
            <w:tcW w:w="10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960" w:type="dxa"/>
            <w:vAlign w:val="bottom"/>
          </w:tcPr>
          <w:p>
            <w:pPr>
              <w:jc w:val="center"/>
              <w:ind w:right="88"/>
              <w:spacing w:after="0" w:line="189"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(6)</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Group, Inc.</w:t>
            </w:r>
          </w:p>
        </w:tc>
        <w:tc>
          <w:tcPr>
            <w:tcW w:w="1020" w:type="dxa"/>
            <w:vAlign w:val="bottom"/>
          </w:tcPr>
          <w:p>
            <w:pPr>
              <w:jc w:val="center"/>
              <w:ind w:left="88"/>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440" w:space="260"/>
            <w:col w:w="3500"/>
          </w:cols>
          <w:pgMar w:left="320" w:top="892" w:right="379" w:bottom="1440" w:gutter="0" w:footer="0" w:header="0"/>
          <w:type w:val="continuous"/>
        </w:sectPr>
      </w:pPr>
    </w:p>
    <w:tbl>
      <w:tblPr>
        <w:tblLayout w:type="fixed"/>
        <w:tblInd w:w="60" w:type="dxa"/>
        <w:tblCellMar>
          <w:top w:w="0" w:type="dxa"/>
          <w:left w:w="0" w:type="dxa"/>
          <w:bottom w:w="0" w:type="dxa"/>
          <w:right w:w="0" w:type="dxa"/>
        </w:tblCellMar>
      </w:tblPr>
      <w:tr>
        <w:trPr>
          <w:trHeight w:val="20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195"/>
        </w:trPr>
        <w:tc>
          <w:tcPr>
            <w:tcW w:w="404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12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12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5"/>
        </w:trPr>
        <w:tc>
          <w:tcPr>
            <w:tcW w:w="4040" w:type="dxa"/>
            <w:vAlign w:val="bottom"/>
          </w:tcPr>
          <w:p>
            <w:pPr>
              <w:ind w:left="120"/>
              <w:spacing w:after="0"/>
              <w:rPr>
                <w:sz w:val="20"/>
                <w:szCs w:val="20"/>
                <w:color w:val="auto"/>
              </w:rPr>
            </w:pPr>
            <w:r>
              <w:rPr>
                <w:rFonts w:ascii="Arial" w:cs="Arial" w:eastAsia="Arial" w:hAnsi="Arial"/>
                <w:sz w:val="16"/>
                <w:szCs w:val="16"/>
                <w:color w:val="auto"/>
              </w:rPr>
              <w:t>and related costs)</w:t>
            </w: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2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142"/>
        </w:trPr>
        <w:tc>
          <w:tcPr>
            <w:tcW w:w="4040" w:type="dxa"/>
            <w:vAlign w:val="bottom"/>
          </w:tcPr>
          <w:p>
            <w:pPr>
              <w:ind w:left="20"/>
              <w:spacing w:after="0" w:line="142"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5"/>
        </w:trPr>
        <w:tc>
          <w:tcPr>
            <w:tcW w:w="404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Restructuring charge</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(4)</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Adjusted Basis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1,200.1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809.2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629.5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460"/>
        <w:spacing w:after="0"/>
        <w:rPr>
          <w:sz w:val="20"/>
          <w:szCs w:val="20"/>
          <w:color w:val="auto"/>
        </w:rPr>
      </w:pPr>
      <w:r>
        <w:rPr>
          <w:rFonts w:ascii="Arial" w:cs="Arial" w:eastAsia="Arial" w:hAnsi="Arial"/>
          <w:sz w:val="16"/>
          <w:szCs w:val="16"/>
          <w:b w:val="1"/>
          <w:bCs w:val="1"/>
          <w:color w:val="auto"/>
        </w:rPr>
        <w:t>Three months ended 9/30/2025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-115570</wp:posOffset>
            </wp:positionV>
            <wp:extent cx="706374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63740" cy="14541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type w:val="continuous"/>
        </w:sectPr>
      </w:pPr>
    </w:p>
    <w:p>
      <w:pPr>
        <w:spacing w:after="0" w:line="33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(in millions, except per-share data)</w:t>
            </w:r>
          </w:p>
        </w:tc>
        <w:tc>
          <w:tcPr>
            <w:tcW w:w="1860" w:type="dxa"/>
            <w:vAlign w:val="bottom"/>
          </w:tcPr>
          <w:p>
            <w:pPr>
              <w:ind w:left="1000"/>
              <w:spacing w:after="0"/>
              <w:rPr>
                <w:sz w:val="20"/>
                <w:szCs w:val="20"/>
                <w:color w:val="auto"/>
              </w:rPr>
            </w:pPr>
            <w:r>
              <w:rPr>
                <w:rFonts w:ascii="Arial" w:cs="Arial" w:eastAsia="Arial" w:hAnsi="Arial"/>
                <w:sz w:val="14"/>
                <w:szCs w:val="14"/>
                <w:b w:val="1"/>
                <w:bCs w:val="1"/>
                <w:color w:val="auto"/>
              </w:rPr>
              <w:t>Operating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Net operating</w:t>
            </w:r>
          </w:p>
        </w:tc>
        <w:tc>
          <w:tcPr>
            <w:tcW w:w="1080" w:type="dxa"/>
            <w:vAlign w:val="bottom"/>
          </w:tcPr>
          <w:p>
            <w:pPr>
              <w:jc w:val="center"/>
              <w:ind w:left="28"/>
              <w:spacing w:after="0"/>
              <w:rPr>
                <w:sz w:val="20"/>
                <w:szCs w:val="20"/>
                <w:color w:val="auto"/>
              </w:rPr>
            </w:pPr>
            <w:r>
              <w:rPr>
                <w:rFonts w:ascii="Arial" w:cs="Arial" w:eastAsia="Arial" w:hAnsi="Arial"/>
                <w:sz w:val="14"/>
                <w:szCs w:val="14"/>
                <w:b w:val="1"/>
                <w:bCs w:val="1"/>
                <w:color w:val="auto"/>
              </w:rPr>
              <w:t>Non-operating</w:t>
            </w:r>
          </w:p>
        </w:tc>
        <w:tc>
          <w:tcPr>
            <w:tcW w:w="0" w:type="dxa"/>
            <w:vAlign w:val="bottom"/>
          </w:tcPr>
          <w:p>
            <w:pPr>
              <w:spacing w:after="0"/>
              <w:rPr>
                <w:sz w:val="1"/>
                <w:szCs w:val="1"/>
                <w:color w:val="auto"/>
              </w:rPr>
            </w:pPr>
          </w:p>
        </w:tc>
      </w:tr>
      <w:tr>
        <w:trPr>
          <w:trHeight w:val="189"/>
        </w:trPr>
        <w:tc>
          <w:tcPr>
            <w:tcW w:w="3200" w:type="dxa"/>
            <w:vAlign w:val="bottom"/>
            <w:vMerge w:val="continue"/>
          </w:tcPr>
          <w:p>
            <w:pPr>
              <w:spacing w:after="0"/>
              <w:rPr>
                <w:sz w:val="16"/>
                <w:szCs w:val="16"/>
                <w:color w:val="auto"/>
              </w:rPr>
            </w:pPr>
          </w:p>
        </w:tc>
        <w:tc>
          <w:tcPr>
            <w:tcW w:w="1860" w:type="dxa"/>
            <w:vAlign w:val="bottom"/>
          </w:tcPr>
          <w:p>
            <w:pPr>
              <w:ind w:left="1000"/>
              <w:spacing w:after="0"/>
              <w:rPr>
                <w:sz w:val="20"/>
                <w:szCs w:val="20"/>
                <w:color w:val="auto"/>
              </w:rPr>
            </w:pPr>
            <w:r>
              <w:rPr>
                <w:rFonts w:ascii="Arial" w:cs="Arial" w:eastAsia="Arial" w:hAnsi="Arial"/>
                <w:sz w:val="14"/>
                <w:szCs w:val="14"/>
                <w:b w:val="1"/>
                <w:bCs w:val="1"/>
                <w:color w:val="auto"/>
              </w:rPr>
              <w:t>expenses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080" w:type="dxa"/>
            <w:vAlign w:val="bottom"/>
          </w:tcPr>
          <w:p>
            <w:pPr>
              <w:jc w:val="center"/>
              <w:ind w:left="28"/>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108"/>
              <w:spacing w:after="0"/>
              <w:rPr>
                <w:sz w:val="20"/>
                <w:szCs w:val="20"/>
                <w:color w:val="auto"/>
              </w:rPr>
            </w:pPr>
            <w:r>
              <w:rPr>
                <w:rFonts w:ascii="Arial" w:cs="Arial" w:eastAsia="Arial" w:hAnsi="Arial"/>
                <w:sz w:val="14"/>
                <w:szCs w:val="14"/>
                <w:b w:val="1"/>
                <w:bCs w:val="1"/>
                <w:color w:val="auto"/>
              </w:rPr>
              <w:t>Provision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Net income</w:t>
            </w:r>
          </w:p>
        </w:tc>
        <w:tc>
          <w:tcPr>
            <w:tcW w:w="10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(benefit) for</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attributable to 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60" w:type="dxa"/>
            <w:vAlign w:val="bottom"/>
          </w:tcPr>
          <w:p>
            <w:pPr>
              <w:jc w:val="center"/>
              <w:ind w:right="108"/>
              <w:spacing w:after="0" w:line="137" w:lineRule="exact"/>
              <w:rPr>
                <w:sz w:val="20"/>
                <w:szCs w:val="20"/>
                <w:color w:val="auto"/>
              </w:rPr>
            </w:pPr>
            <w:r>
              <w:rPr>
                <w:rFonts w:ascii="Arial" w:cs="Arial" w:eastAsia="Arial" w:hAnsi="Arial"/>
                <w:sz w:val="14"/>
                <w:szCs w:val="14"/>
                <w:b w:val="1"/>
                <w:bCs w:val="1"/>
                <w:color w:val="auto"/>
              </w:rPr>
              <w:t>income</w:t>
            </w:r>
          </w:p>
        </w:tc>
        <w:tc>
          <w:tcPr>
            <w:tcW w:w="142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Rowe Price</w:t>
            </w:r>
          </w:p>
        </w:tc>
        <w:tc>
          <w:tcPr>
            <w:tcW w:w="1020" w:type="dxa"/>
            <w:vAlign w:val="bottom"/>
          </w:tcPr>
          <w:p>
            <w:pPr>
              <w:jc w:val="center"/>
              <w:ind w:left="68"/>
              <w:spacing w:after="0" w:line="137"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201"/>
        </w:trPr>
        <w:tc>
          <w:tcPr>
            <w:tcW w:w="960" w:type="dxa"/>
            <w:vAlign w:val="bottom"/>
          </w:tcPr>
          <w:p>
            <w:pPr>
              <w:jc w:val="center"/>
              <w:ind w:right="88"/>
              <w:spacing w:after="0" w:line="201"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(6)</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Group, Inc.</w:t>
            </w:r>
          </w:p>
        </w:tc>
        <w:tc>
          <w:tcPr>
            <w:tcW w:w="1020" w:type="dxa"/>
            <w:vAlign w:val="bottom"/>
          </w:tcPr>
          <w:p>
            <w:pPr>
              <w:jc w:val="center"/>
              <w:ind w:left="68"/>
              <w:spacing w:after="0" w:line="201" w:lineRule="exact"/>
              <w:rPr>
                <w:sz w:val="20"/>
                <w:szCs w:val="20"/>
                <w:color w:val="auto"/>
              </w:rPr>
            </w:pPr>
            <w:r>
              <w:rPr>
                <w:rFonts w:ascii="Arial" w:cs="Arial" w:eastAsia="Arial" w:hAnsi="Arial"/>
                <w:sz w:val="14"/>
                <w:szCs w:val="14"/>
                <w:b w:val="1"/>
                <w:bCs w:val="1"/>
                <w:color w:val="auto"/>
                <w:w w:val="92"/>
              </w:rPr>
              <w:t>share</w:t>
            </w:r>
            <w:r>
              <w:rPr>
                <w:rFonts w:ascii="Arial" w:cs="Arial" w:eastAsia="Arial" w:hAnsi="Arial"/>
                <w:sz w:val="18"/>
                <w:szCs w:val="18"/>
                <w:b w:val="1"/>
                <w:bCs w:val="1"/>
                <w:color w:val="auto"/>
                <w:w w:val="92"/>
                <w:vertAlign w:val="superscript"/>
              </w:rPr>
              <w:t>(7)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420" w:space="280"/>
            <w:col w:w="3500"/>
          </w:cols>
          <w:pgMar w:left="320" w:top="892" w:right="379" w:bottom="1440" w:gutter="0" w:footer="0" w:header="0"/>
          <w:type w:val="continuous"/>
        </w:sectPr>
      </w:pPr>
    </w:p>
    <w:tbl>
      <w:tblPr>
        <w:tblLayout w:type="fixed"/>
        <w:tblInd w:w="60" w:type="dxa"/>
        <w:tblCellMar>
          <w:top w:w="0" w:type="dxa"/>
          <w:left w:w="0" w:type="dxa"/>
          <w:bottom w:w="0" w:type="dxa"/>
          <w:right w:w="0" w:type="dxa"/>
        </w:tblCellMar>
      </w:tblPr>
      <w:tr>
        <w:trPr>
          <w:trHeight w:val="210"/>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12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12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2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5"/>
        </w:trPr>
        <w:tc>
          <w:tcPr>
            <w:tcW w:w="4020" w:type="dxa"/>
            <w:vAlign w:val="bottom"/>
          </w:tcPr>
          <w:p>
            <w:pPr>
              <w:ind w:left="120"/>
              <w:spacing w:after="0"/>
              <w:rPr>
                <w:sz w:val="20"/>
                <w:szCs w:val="20"/>
                <w:color w:val="auto"/>
              </w:rPr>
            </w:pPr>
            <w:r>
              <w:rPr>
                <w:rFonts w:ascii="Arial" w:cs="Arial" w:eastAsia="Arial" w:hAnsi="Arial"/>
                <w:sz w:val="16"/>
                <w:szCs w:val="16"/>
                <w:color w:val="auto"/>
              </w:rPr>
              <w:t>and related costs)</w:t>
            </w:r>
          </w:p>
        </w:tc>
        <w:tc>
          <w:tcPr>
            <w:tcW w:w="2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2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2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142"/>
        </w:trPr>
        <w:tc>
          <w:tcPr>
            <w:tcW w:w="4020" w:type="dxa"/>
            <w:vAlign w:val="bottom"/>
          </w:tcPr>
          <w:p>
            <w:pPr>
              <w:ind w:left="20"/>
              <w:spacing w:after="0" w:line="142"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2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2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Restructuring charge</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line="216"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(4)</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09"/>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Adjusted Basis</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1,134.4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774.1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631.7</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type w:val="continuous"/>
        </w:sectPr>
      </w:pPr>
    </w:p>
    <w:bookmarkStart w:id="36" w:name="page37"/>
    <w:bookmarkEnd w:id="36"/>
    <w:p>
      <w:pPr>
        <w:ind w:right="660"/>
        <w:spacing w:after="0" w:line="287" w:lineRule="auto"/>
        <w:rPr>
          <w:sz w:val="20"/>
          <w:szCs w:val="20"/>
          <w:color w:val="auto"/>
        </w:rPr>
      </w:pPr>
      <w:r>
        <w:rPr>
          <w:rFonts w:ascii="Arial" w:cs="Arial" w:eastAsia="Arial" w:hAnsi="Arial"/>
          <w:sz w:val="18"/>
          <w:szCs w:val="18"/>
          <w:color w:val="auto"/>
        </w:rPr>
        <w:t>The following schedules reconcile certain U.S. GAAP financial measures to non-GAAP financial measures for the nine months ended September 30, 2026 and 2025.</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auto"/>
        </w:rPr>
        <w:t>Nine months ended 9/30/2026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00" w:type="dxa"/>
            <w:vAlign w:val="bottom"/>
            <w:vMerge w:val="restart"/>
          </w:tcPr>
          <w:p>
            <w:pPr>
              <w:spacing w:after="0"/>
              <w:rPr>
                <w:sz w:val="20"/>
                <w:szCs w:val="20"/>
                <w:color w:val="auto"/>
              </w:rPr>
            </w:pPr>
            <w:r>
              <w:rPr>
                <w:rFonts w:ascii="Arial" w:cs="Arial" w:eastAsia="Arial" w:hAnsi="Arial"/>
                <w:sz w:val="14"/>
                <w:szCs w:val="14"/>
                <w:color w:val="auto"/>
              </w:rPr>
              <w:t>(in millions, except per-share data)</w:t>
            </w:r>
          </w:p>
        </w:tc>
        <w:tc>
          <w:tcPr>
            <w:tcW w:w="1920" w:type="dxa"/>
            <w:vAlign w:val="bottom"/>
          </w:tcPr>
          <w:p>
            <w:pPr>
              <w:ind w:left="1080"/>
              <w:spacing w:after="0"/>
              <w:rPr>
                <w:sz w:val="20"/>
                <w:szCs w:val="20"/>
                <w:color w:val="auto"/>
              </w:rPr>
            </w:pPr>
            <w:r>
              <w:rPr>
                <w:rFonts w:ascii="Arial" w:cs="Arial" w:eastAsia="Arial" w:hAnsi="Arial"/>
                <w:sz w:val="14"/>
                <w:szCs w:val="14"/>
                <w:b w:val="1"/>
                <w:bCs w:val="1"/>
                <w:color w:val="auto"/>
              </w:rPr>
              <w:t>Operating</w:t>
            </w:r>
          </w:p>
        </w:tc>
        <w:tc>
          <w:tcPr>
            <w:tcW w:w="1200" w:type="dxa"/>
            <w:vAlign w:val="bottom"/>
          </w:tcPr>
          <w:p>
            <w:pPr>
              <w:jc w:val="center"/>
              <w:ind w:left="8"/>
              <w:spacing w:after="0"/>
              <w:rPr>
                <w:sz w:val="20"/>
                <w:szCs w:val="20"/>
                <w:color w:val="auto"/>
              </w:rPr>
            </w:pPr>
            <w:r>
              <w:rPr>
                <w:rFonts w:ascii="Arial" w:cs="Arial" w:eastAsia="Arial" w:hAnsi="Arial"/>
                <w:sz w:val="14"/>
                <w:szCs w:val="14"/>
                <w:b w:val="1"/>
                <w:bCs w:val="1"/>
                <w:color w:val="auto"/>
              </w:rPr>
              <w:t>Net operating</w:t>
            </w:r>
          </w:p>
        </w:tc>
        <w:tc>
          <w:tcPr>
            <w:tcW w:w="1080" w:type="dxa"/>
            <w:vAlign w:val="bottom"/>
          </w:tcPr>
          <w:p>
            <w:pPr>
              <w:jc w:val="center"/>
              <w:ind w:left="28"/>
              <w:spacing w:after="0"/>
              <w:rPr>
                <w:sz w:val="20"/>
                <w:szCs w:val="20"/>
                <w:color w:val="auto"/>
              </w:rPr>
            </w:pPr>
            <w:r>
              <w:rPr>
                <w:rFonts w:ascii="Arial" w:cs="Arial" w:eastAsia="Arial" w:hAnsi="Arial"/>
                <w:sz w:val="14"/>
                <w:szCs w:val="14"/>
                <w:b w:val="1"/>
                <w:bCs w:val="1"/>
                <w:color w:val="auto"/>
              </w:rPr>
              <w:t>Non-operating</w:t>
            </w:r>
          </w:p>
        </w:tc>
        <w:tc>
          <w:tcPr>
            <w:tcW w:w="0" w:type="dxa"/>
            <w:vAlign w:val="bottom"/>
          </w:tcPr>
          <w:p>
            <w:pPr>
              <w:spacing w:after="0"/>
              <w:rPr>
                <w:sz w:val="1"/>
                <w:szCs w:val="1"/>
                <w:color w:val="auto"/>
              </w:rPr>
            </w:pPr>
          </w:p>
        </w:tc>
      </w:tr>
      <w:tr>
        <w:trPr>
          <w:trHeight w:val="185"/>
        </w:trPr>
        <w:tc>
          <w:tcPr>
            <w:tcW w:w="3300" w:type="dxa"/>
            <w:vAlign w:val="bottom"/>
            <w:vMerge w:val="continue"/>
          </w:tcPr>
          <w:p>
            <w:pPr>
              <w:spacing w:after="0"/>
              <w:rPr>
                <w:sz w:val="16"/>
                <w:szCs w:val="16"/>
                <w:color w:val="auto"/>
              </w:rPr>
            </w:pPr>
          </w:p>
        </w:tc>
        <w:tc>
          <w:tcPr>
            <w:tcW w:w="1920" w:type="dxa"/>
            <w:vAlign w:val="bottom"/>
          </w:tcPr>
          <w:p>
            <w:pPr>
              <w:ind w:left="1080"/>
              <w:spacing w:after="0"/>
              <w:rPr>
                <w:sz w:val="20"/>
                <w:szCs w:val="20"/>
                <w:color w:val="auto"/>
              </w:rPr>
            </w:pPr>
            <w:r>
              <w:rPr>
                <w:rFonts w:ascii="Arial" w:cs="Arial" w:eastAsia="Arial" w:hAnsi="Arial"/>
                <w:sz w:val="14"/>
                <w:szCs w:val="14"/>
                <w:b w:val="1"/>
                <w:bCs w:val="1"/>
                <w:color w:val="auto"/>
              </w:rPr>
              <w:t>expenses</w:t>
            </w:r>
          </w:p>
        </w:tc>
        <w:tc>
          <w:tcPr>
            <w:tcW w:w="1200" w:type="dxa"/>
            <w:vAlign w:val="bottom"/>
          </w:tcPr>
          <w:p>
            <w:pPr>
              <w:jc w:val="center"/>
              <w:ind w:left="8"/>
              <w:spacing w:after="0"/>
              <w:rPr>
                <w:sz w:val="20"/>
                <w:szCs w:val="20"/>
                <w:color w:val="auto"/>
              </w:rPr>
            </w:pPr>
            <w:r>
              <w:rPr>
                <w:rFonts w:ascii="Arial" w:cs="Arial" w:eastAsia="Arial" w:hAnsi="Arial"/>
                <w:sz w:val="14"/>
                <w:szCs w:val="14"/>
                <w:b w:val="1"/>
                <w:bCs w:val="1"/>
                <w:color w:val="auto"/>
              </w:rPr>
              <w:t>income</w:t>
            </w:r>
          </w:p>
        </w:tc>
        <w:tc>
          <w:tcPr>
            <w:tcW w:w="1080" w:type="dxa"/>
            <w:vAlign w:val="bottom"/>
          </w:tcPr>
          <w:p>
            <w:pPr>
              <w:jc w:val="center"/>
              <w:ind w:left="28"/>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108"/>
              <w:spacing w:after="0"/>
              <w:rPr>
                <w:sz w:val="20"/>
                <w:szCs w:val="20"/>
                <w:color w:val="auto"/>
              </w:rPr>
            </w:pPr>
            <w:r>
              <w:rPr>
                <w:rFonts w:ascii="Arial" w:cs="Arial" w:eastAsia="Arial" w:hAnsi="Arial"/>
                <w:sz w:val="14"/>
                <w:szCs w:val="14"/>
                <w:b w:val="1"/>
                <w:bCs w:val="1"/>
                <w:color w:val="auto"/>
              </w:rPr>
              <w:t>Provision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Net income</w:t>
            </w:r>
          </w:p>
        </w:tc>
        <w:tc>
          <w:tcPr>
            <w:tcW w:w="100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4"/>
        </w:trPr>
        <w:tc>
          <w:tcPr>
            <w:tcW w:w="960" w:type="dxa"/>
            <w:vAlign w:val="bottom"/>
          </w:tcPr>
          <w:p>
            <w:pPr>
              <w:jc w:val="center"/>
              <w:ind w:right="88"/>
              <w:spacing w:after="0" w:line="145" w:lineRule="exact"/>
              <w:rPr>
                <w:sz w:val="20"/>
                <w:szCs w:val="20"/>
                <w:color w:val="auto"/>
              </w:rPr>
            </w:pPr>
            <w:r>
              <w:rPr>
                <w:rFonts w:ascii="Arial" w:cs="Arial" w:eastAsia="Arial" w:hAnsi="Arial"/>
                <w:sz w:val="14"/>
                <w:szCs w:val="14"/>
                <w:b w:val="1"/>
                <w:bCs w:val="1"/>
                <w:color w:val="auto"/>
              </w:rPr>
              <w:t>(benefit) for</w:t>
            </w: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attributable to T.</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income</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Rowe Price</w:t>
            </w:r>
          </w:p>
        </w:tc>
        <w:tc>
          <w:tcPr>
            <w:tcW w:w="10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960" w:type="dxa"/>
            <w:vAlign w:val="bottom"/>
          </w:tcPr>
          <w:p>
            <w:pPr>
              <w:jc w:val="center"/>
              <w:ind w:right="88"/>
              <w:spacing w:after="0" w:line="189"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(6)</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Group, Inc.</w:t>
            </w:r>
          </w:p>
        </w:tc>
        <w:tc>
          <w:tcPr>
            <w:tcW w:w="1000" w:type="dxa"/>
            <w:vAlign w:val="bottom"/>
          </w:tcPr>
          <w:p>
            <w:pPr>
              <w:jc w:val="center"/>
              <w:ind w:left="68"/>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520" w:space="260"/>
            <w:col w:w="3460"/>
          </w:cols>
          <w:pgMar w:left="320" w:top="890"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1,742.5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14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14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5"/>
        </w:trPr>
        <w:tc>
          <w:tcPr>
            <w:tcW w:w="4200" w:type="dxa"/>
            <w:vAlign w:val="bottom"/>
          </w:tcPr>
          <w:p>
            <w:pPr>
              <w:ind w:left="140"/>
              <w:spacing w:after="0"/>
              <w:rPr>
                <w:sz w:val="20"/>
                <w:szCs w:val="20"/>
                <w:color w:val="auto"/>
              </w:rPr>
            </w:pPr>
            <w:r>
              <w:rPr>
                <w:rFonts w:ascii="Arial" w:cs="Arial" w:eastAsia="Arial" w:hAnsi="Arial"/>
                <w:sz w:val="16"/>
                <w:szCs w:val="16"/>
                <w:color w:val="auto"/>
              </w:rPr>
              <w:t>and related costs)</w:t>
            </w: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00" w:type="dxa"/>
            <w:vAlign w:val="bottom"/>
            <w:shd w:val="clear" w:color="auto" w:fill="CCEEFF"/>
          </w:tcPr>
          <w:p>
            <w:pPr>
              <w:ind w:left="14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4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142"/>
        </w:trPr>
        <w:tc>
          <w:tcPr>
            <w:tcW w:w="4200" w:type="dxa"/>
            <w:vAlign w:val="bottom"/>
          </w:tcPr>
          <w:p>
            <w:pPr>
              <w:ind w:left="20"/>
              <w:spacing w:after="0" w:line="142"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(96.7)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Restructuring charge</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line="216"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Adjusted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3,558.5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2,224.4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555.3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1,756.5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7"/>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gridSpan w:val="7"/>
            <w:shd w:val="clear" w:color="auto" w:fill="CCEEFF"/>
          </w:tcPr>
          <w:p>
            <w:pPr>
              <w:jc w:val="center"/>
              <w:spacing w:after="0"/>
              <w:rPr>
                <w:sz w:val="20"/>
                <w:szCs w:val="20"/>
                <w:color w:val="auto"/>
              </w:rPr>
            </w:pPr>
            <w:r>
              <w:rPr>
                <w:rFonts w:ascii="Arial" w:cs="Arial" w:eastAsia="Arial" w:hAnsi="Arial"/>
                <w:sz w:val="16"/>
                <w:szCs w:val="16"/>
                <w:b w:val="1"/>
                <w:bCs w:val="1"/>
                <w:color w:val="auto"/>
              </w:rPr>
              <w:t>Nine months ended 9/30/2025</w:t>
            </w:r>
          </w:p>
        </w:tc>
        <w:tc>
          <w:tcPr>
            <w:tcW w:w="1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Provision</w:t>
            </w:r>
          </w:p>
        </w:tc>
        <w:tc>
          <w:tcPr>
            <w:tcW w:w="180" w:type="dxa"/>
            <w:vAlign w:val="bottom"/>
          </w:tcPr>
          <w:p>
            <w:pPr>
              <w:spacing w:after="0"/>
              <w:rPr>
                <w:sz w:val="12"/>
                <w:szCs w:val="12"/>
                <w:color w:val="auto"/>
              </w:rPr>
            </w:pPr>
          </w:p>
        </w:tc>
        <w:tc>
          <w:tcPr>
            <w:tcW w:w="12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Net income</w:t>
            </w:r>
          </w:p>
        </w:tc>
        <w:tc>
          <w:tcPr>
            <w:tcW w:w="200" w:type="dxa"/>
            <w:vAlign w:val="bottom"/>
          </w:tcPr>
          <w:p>
            <w:pPr>
              <w:spacing w:after="0"/>
              <w:rPr>
                <w:sz w:val="12"/>
                <w:szCs w:val="12"/>
                <w:color w:val="auto"/>
              </w:rPr>
            </w:pPr>
          </w:p>
        </w:tc>
        <w:tc>
          <w:tcPr>
            <w:tcW w:w="8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Non-operating</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(benefit) for</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attributable to T.</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vMerge w:val="restart"/>
          </w:tcPr>
          <w:p>
            <w:pPr>
              <w:ind w:left="20"/>
              <w:spacing w:after="0"/>
              <w:rPr>
                <w:sz w:val="20"/>
                <w:szCs w:val="20"/>
                <w:color w:val="auto"/>
              </w:rPr>
            </w:pPr>
            <w:r>
              <w:rPr>
                <w:rFonts w:ascii="Arial" w:cs="Arial" w:eastAsia="Arial" w:hAnsi="Arial"/>
                <w:sz w:val="14"/>
                <w:szCs w:val="14"/>
                <w:color w:val="auto"/>
              </w:rPr>
              <w:t>(in millions, except per-share data)</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Rowe Price</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4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income</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line="189"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(6)</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Group, Inc.</w:t>
            </w:r>
          </w:p>
        </w:tc>
        <w:tc>
          <w:tcPr>
            <w:tcW w:w="200" w:type="dxa"/>
            <w:vAlign w:val="bottom"/>
          </w:tcPr>
          <w:p>
            <w:pPr>
              <w:spacing w:after="0"/>
              <w:rPr>
                <w:sz w:val="16"/>
                <w:szCs w:val="16"/>
                <w:color w:val="auto"/>
              </w:rPr>
            </w:pPr>
          </w:p>
        </w:tc>
        <w:tc>
          <w:tcPr>
            <w:tcW w:w="860" w:type="dxa"/>
            <w:vAlign w:val="bottom"/>
          </w:tcPr>
          <w:p>
            <w:pPr>
              <w:jc w:val="right"/>
              <w:ind w:right="200"/>
              <w:spacing w:after="0" w:line="189"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3,662.9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195"/>
        </w:trPr>
        <w:tc>
          <w:tcPr>
            <w:tcW w:w="420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14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14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28.9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15"/>
        </w:trPr>
        <w:tc>
          <w:tcPr>
            <w:tcW w:w="4200" w:type="dxa"/>
            <w:vAlign w:val="bottom"/>
          </w:tcPr>
          <w:p>
            <w:pPr>
              <w:ind w:left="140"/>
              <w:spacing w:after="0"/>
              <w:rPr>
                <w:sz w:val="20"/>
                <w:szCs w:val="20"/>
                <w:color w:val="auto"/>
              </w:rPr>
            </w:pPr>
            <w:r>
              <w:rPr>
                <w:rFonts w:ascii="Arial" w:cs="Arial" w:eastAsia="Arial" w:hAnsi="Arial"/>
                <w:sz w:val="16"/>
                <w:szCs w:val="16"/>
                <w:color w:val="auto"/>
              </w:rPr>
              <w:t>and related costs)</w:t>
            </w: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00" w:type="dxa"/>
            <w:vAlign w:val="bottom"/>
            <w:shd w:val="clear" w:color="auto" w:fill="CCEEFF"/>
          </w:tcPr>
          <w:p>
            <w:pPr>
              <w:ind w:left="14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 and related costs)</w:t>
            </w: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4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142"/>
        </w:trPr>
        <w:tc>
          <w:tcPr>
            <w:tcW w:w="4200" w:type="dxa"/>
            <w:vAlign w:val="bottom"/>
          </w:tcPr>
          <w:p>
            <w:pPr>
              <w:ind w:left="20"/>
              <w:spacing w:after="0" w:line="142"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(112.8)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Restructuring charge</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line="216"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Adjusted Basis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3,416.7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2,029.1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514.1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1,647.8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40" w:right="200" w:hanging="332"/>
        <w:spacing w:after="0" w:line="283" w:lineRule="auto"/>
        <w:tabs>
          <w:tab w:leader="none" w:pos="287" w:val="left"/>
        </w:tabs>
        <w:numPr>
          <w:ilvl w:val="0"/>
          <w:numId w:val="17"/>
        </w:numPr>
        <w:rPr>
          <w:rFonts w:ascii="Arial" w:cs="Arial" w:eastAsia="Arial" w:hAnsi="Arial"/>
          <w:sz w:val="9"/>
          <w:szCs w:val="9"/>
          <w:color w:val="auto"/>
        </w:rPr>
      </w:pPr>
      <w:r>
        <w:rPr>
          <w:rFonts w:ascii="Arial" w:cs="Arial" w:eastAsia="Arial" w:hAnsi="Arial"/>
          <w:sz w:val="14"/>
          <w:szCs w:val="14"/>
          <w:color w:val="auto"/>
        </w:rPr>
        <w:t>These non-GAAP adjustments remove the impact of acquisition-related amortization of intangible assets, amortization of acquired investment and non-controlling interest basis differences and amortization of compensation-related arrangements. We believe adjusting for these charges helps the reader's ability to understand our core operating results and increases comparability period to period.</w:t>
      </w:r>
    </w:p>
    <w:p>
      <w:pPr>
        <w:spacing w:after="0" w:line="199" w:lineRule="exact"/>
        <w:rPr>
          <w:rFonts w:ascii="Arial" w:cs="Arial" w:eastAsia="Arial" w:hAnsi="Arial"/>
          <w:sz w:val="9"/>
          <w:szCs w:val="9"/>
          <w:color w:val="auto"/>
        </w:rPr>
      </w:pPr>
    </w:p>
    <w:p>
      <w:pPr>
        <w:ind w:left="340" w:right="60" w:hanging="332"/>
        <w:spacing w:after="0" w:line="248" w:lineRule="auto"/>
        <w:tabs>
          <w:tab w:leader="none" w:pos="287"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This non-GAAP adjustment eliminates the compensation expense impact from market valuation changes in deferred compensation liabilities, including the supplemental savings plan and restricted fund units, and the related net gains (losses) on investments used as economic hedges against the related liabilities. The liabilities are adjusted based on the performance of hypothetical investments selected by participants. We use investment products to economically hedge the market risk associated with the supplemental saving plan liability and the expected settlement value of unvested restricted fund units. We believe it is useful to offset the non-operating investment income (loss) of the hedges against the related compensation expense and remove the net impact to help the reader's ability to understand our core operating results and to increase comparability period to period.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37" w:name="page38"/>
    <w:bookmarkEnd w:id="37"/>
    <w:p>
      <w:pPr>
        <w:ind w:left="340" w:right="40" w:hanging="332"/>
        <w:spacing w:after="0" w:line="231" w:lineRule="auto"/>
        <w:tabs>
          <w:tab w:leader="none" w:pos="287"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This non-GAAP adjustment removes the impact of actions taken as part of our broad and ongoing plan to reduce expense growth and realign resources to invest in existing and future capabilities. We believe this adjustment helps the reader’s ability to understand our core operating results and increases comparability period to period.</w:t>
      </w:r>
    </w:p>
    <w:p>
      <w:pPr>
        <w:spacing w:after="0" w:line="228" w:lineRule="exact"/>
        <w:rPr>
          <w:rFonts w:ascii="Arial" w:cs="Arial" w:eastAsia="Arial" w:hAnsi="Arial"/>
          <w:sz w:val="19"/>
          <w:szCs w:val="19"/>
          <w:color w:val="auto"/>
          <w:vertAlign w:val="superscript"/>
        </w:rPr>
      </w:pPr>
    </w:p>
    <w:p>
      <w:pPr>
        <w:ind w:left="340" w:right="80" w:hanging="332"/>
        <w:spacing w:after="0"/>
        <w:tabs>
          <w:tab w:leader="none" w:pos="287"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This non-GAAP adjustment removes the impact of the consolidated investment products by adding back their operating expenses and subtracting their investment income. The operating expense adjustment represents their operating expenses net of related investment advisory and administrative fees. The adjustment to net income attributable to T. Rowe Price Group, Inc. represents the consolidated investment products' net income, net of redeemable non-controlling interests. We believe this adjustment helps the reader’s ability to understand our core operating results and increases comparability period to period.</w:t>
      </w:r>
    </w:p>
    <w:p>
      <w:pPr>
        <w:spacing w:after="0" w:line="230" w:lineRule="exact"/>
        <w:rPr>
          <w:rFonts w:ascii="Arial" w:cs="Arial" w:eastAsia="Arial" w:hAnsi="Arial"/>
          <w:sz w:val="19"/>
          <w:szCs w:val="19"/>
          <w:color w:val="auto"/>
          <w:vertAlign w:val="superscript"/>
        </w:rPr>
      </w:pPr>
    </w:p>
    <w:p>
      <w:pPr>
        <w:ind w:left="340" w:right="140" w:hanging="332"/>
        <w:spacing w:after="0"/>
        <w:tabs>
          <w:tab w:leader="none" w:pos="287"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This non-GAAP adjustment removes non-operating income (loss) earned on those investments that are not economic hedges for the deferred compensation liabilities and are not part of the cash and discretionary investment portfolio. We retain gains from cash and discretionary investments in our non-GAAP measures, as they are considered part of our core operations. We believe adjusting for the remaining non-operating income (loss) helps the reader’s ability to understand our core operating results and increases comparability period to period. Additionally, we do not emphasize this portion of non-operating income (loss) when assessing our performance.</w:t>
      </w:r>
    </w:p>
    <w:p>
      <w:pPr>
        <w:spacing w:after="0" w:line="230" w:lineRule="exact"/>
        <w:rPr>
          <w:rFonts w:ascii="Arial" w:cs="Arial" w:eastAsia="Arial" w:hAnsi="Arial"/>
          <w:sz w:val="19"/>
          <w:szCs w:val="19"/>
          <w:color w:val="auto"/>
          <w:vertAlign w:val="superscript"/>
        </w:rPr>
      </w:pPr>
    </w:p>
    <w:p>
      <w:pPr>
        <w:ind w:left="340" w:right="120" w:hanging="332"/>
        <w:spacing w:after="0" w:line="231" w:lineRule="auto"/>
        <w:tabs>
          <w:tab w:leader="none" w:pos="287"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The income tax impacts were calculated in order to achieve an overall year-to-date non-GAAP effective income tax rate of 24.0% in 2026 and 23.8% in 2025. As such, the non-GAAP effective income tax rate for the third quarter was 23.9% in 2026 and 23.4% in 2025.</w:t>
      </w:r>
    </w:p>
    <w:p>
      <w:pPr>
        <w:spacing w:after="0" w:line="228" w:lineRule="exact"/>
        <w:rPr>
          <w:rFonts w:ascii="Arial" w:cs="Arial" w:eastAsia="Arial" w:hAnsi="Arial"/>
          <w:sz w:val="19"/>
          <w:szCs w:val="19"/>
          <w:color w:val="auto"/>
          <w:vertAlign w:val="superscript"/>
        </w:rPr>
      </w:pPr>
    </w:p>
    <w:p>
      <w:pPr>
        <w:ind w:left="340" w:hanging="332"/>
        <w:spacing w:after="0" w:line="222" w:lineRule="auto"/>
        <w:tabs>
          <w:tab w:leader="none" w:pos="287"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This non-GAAP measure was calculated by applying the two-class method to adjusted net income attributable to T. Rowe Price Group, Inc. divided by the weighted-average common shares outstanding assuming dilution. The calculation of adjusted net income allocated to common stockholders is as follows:</w:t>
      </w:r>
    </w:p>
    <w:p>
      <w:pPr>
        <w:spacing w:after="0" w:line="266"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5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440" w:type="dxa"/>
            <w:vAlign w:val="bottom"/>
            <w:gridSpan w:val="3"/>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9/30/2026</w:t>
            </w: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9/30/2025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9/30/2026</w:t>
            </w: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9/30/2025</w:t>
            </w:r>
          </w:p>
        </w:tc>
        <w:tc>
          <w:tcPr>
            <w:tcW w:w="0" w:type="dxa"/>
            <w:vAlign w:val="bottom"/>
          </w:tcPr>
          <w:p>
            <w:pPr>
              <w:spacing w:after="0"/>
              <w:rPr>
                <w:sz w:val="1"/>
                <w:szCs w:val="1"/>
                <w:color w:val="auto"/>
              </w:rPr>
            </w:pPr>
          </w:p>
        </w:tc>
      </w:tr>
      <w:tr>
        <w:trPr>
          <w:trHeight w:val="19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attributable to T. Rowe Price Group, Inc.</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629.5</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1,756.5</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1,647.8</w:t>
            </w:r>
          </w:p>
        </w:tc>
        <w:tc>
          <w:tcPr>
            <w:tcW w:w="0" w:type="dxa"/>
            <w:vAlign w:val="bottom"/>
          </w:tcPr>
          <w:p>
            <w:pPr>
              <w:spacing w:after="0"/>
              <w:rPr>
                <w:sz w:val="1"/>
                <w:szCs w:val="1"/>
                <w:color w:val="auto"/>
              </w:rPr>
            </w:pPr>
          </w:p>
        </w:tc>
      </w:tr>
      <w:tr>
        <w:trPr>
          <w:trHeight w:val="153"/>
        </w:trPr>
        <w:tc>
          <w:tcPr>
            <w:tcW w:w="5000" w:type="dxa"/>
            <w:vAlign w:val="bottom"/>
          </w:tcPr>
          <w:p>
            <w:pPr>
              <w:ind w:left="20"/>
              <w:spacing w:after="0" w:line="153" w:lineRule="exact"/>
              <w:rPr>
                <w:sz w:val="20"/>
                <w:szCs w:val="20"/>
                <w:color w:val="auto"/>
              </w:rPr>
            </w:pPr>
            <w:r>
              <w:rPr>
                <w:rFonts w:ascii="Arial" w:cs="Arial" w:eastAsia="Arial" w:hAnsi="Arial"/>
                <w:sz w:val="14"/>
                <w:szCs w:val="14"/>
                <w:color w:val="auto"/>
              </w:rPr>
              <w:t>Less: adjusted net income allocated to outstanding restricted stock and stock</w:t>
            </w:r>
          </w:p>
        </w:tc>
        <w:tc>
          <w:tcPr>
            <w:tcW w:w="2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260" w:type="dxa"/>
            <w:vAlign w:val="bottom"/>
          </w:tcPr>
          <w:p>
            <w:pPr>
              <w:spacing w:after="0"/>
              <w:rPr>
                <w:sz w:val="13"/>
                <w:szCs w:val="1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45.9</w:t>
            </w:r>
          </w:p>
        </w:tc>
        <w:tc>
          <w:tcPr>
            <w:tcW w:w="260" w:type="dxa"/>
            <w:vAlign w:val="bottom"/>
          </w:tcPr>
          <w:p>
            <w:pPr>
              <w:spacing w:after="0"/>
              <w:rPr>
                <w:sz w:val="13"/>
                <w:szCs w:val="1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85"/>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unit holders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income allocated to common stockholders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611.9</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1,710.6</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1,608.1</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ample liquidity, including cash and investments in T. Rowe Price products,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9/30/2026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12/31/2025</w:t>
            </w: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3,774.3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3,378.2</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3,841.9</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1,144.1</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deferred compensation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1,317.3</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 attributable to T. Rowe Price Group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Our discretionary investment portfolio is primarily comprised of short-duration bond funds, which typically offer yields above money market rates. Our subsidiaries outside the United States held cash and discretionary investments of $1,000.5 million at September 30, 2026 and $730.6 million at December 31, 2025. Given the availability of our financial resources and cash expected to be generated through future operations, we do not maintain an available external source of additional liquidity.</w:t>
      </w:r>
    </w:p>
    <w:p>
      <w:pPr>
        <w:spacing w:after="0" w:line="20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18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cash and investment presentation on the unaudited consolidated balance sheet is based on the accounting treatment for the cash equivalent or investment item. The following table details how T. Rowe Price Group, Inc.’s interests in cash and investments relate to where they are presented on the unaudited consolidated balance sheet at September 30, 2026.</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5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assets of</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line="139" w:lineRule="exact"/>
              <w:rPr>
                <w:sz w:val="20"/>
                <w:szCs w:val="20"/>
                <w:color w:val="auto"/>
              </w:rPr>
            </w:pPr>
            <w:r>
              <w:rPr>
                <w:rFonts w:ascii="Arial" w:cs="Arial" w:eastAsia="Arial" w:hAnsi="Arial"/>
                <w:sz w:val="14"/>
                <w:szCs w:val="14"/>
                <w:b w:val="1"/>
                <w:bCs w:val="1"/>
                <w:color w:val="auto"/>
              </w:rPr>
              <w:t>consolidated</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20"/>
              <w:spacing w:after="0" w:line="158" w:lineRule="exact"/>
              <w:rPr>
                <w:sz w:val="20"/>
                <w:szCs w:val="20"/>
                <w:color w:val="auto"/>
              </w:rPr>
            </w:pPr>
            <w:r>
              <w:rPr>
                <w:rFonts w:ascii="Arial" w:cs="Arial" w:eastAsia="Arial" w:hAnsi="Arial"/>
                <w:sz w:val="14"/>
                <w:szCs w:val="14"/>
                <w:b w:val="1"/>
                <w:bCs w:val="1"/>
                <w:color w:val="auto"/>
              </w:rPr>
              <w:t>Cash and cash</w:t>
            </w:r>
          </w:p>
        </w:tc>
        <w:tc>
          <w:tcPr>
            <w:tcW w:w="18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center"/>
              <w:ind w:right="260"/>
              <w:spacing w:after="0" w:line="158" w:lineRule="exact"/>
              <w:rPr>
                <w:sz w:val="20"/>
                <w:szCs w:val="20"/>
                <w:color w:val="auto"/>
              </w:rPr>
            </w:pPr>
            <w:r>
              <w:rPr>
                <w:rFonts w:ascii="Arial" w:cs="Arial" w:eastAsia="Arial" w:hAnsi="Arial"/>
                <w:sz w:val="14"/>
                <w:szCs w:val="14"/>
                <w:b w:val="1"/>
                <w:bCs w:val="1"/>
                <w:color w:val="auto"/>
              </w:rPr>
              <w:t>investment</w:t>
            </w: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equivalents</w:t>
            </w:r>
          </w:p>
        </w:tc>
        <w:tc>
          <w:tcPr>
            <w:tcW w:w="18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60"/>
              <w:spacing w:after="0" w:line="189" w:lineRule="exact"/>
              <w:rPr>
                <w:sz w:val="20"/>
                <w:szCs w:val="20"/>
                <w:color w:val="auto"/>
              </w:rPr>
            </w:pPr>
            <w:r>
              <w:rPr>
                <w:rFonts w:ascii="Arial" w:cs="Arial" w:eastAsia="Arial" w:hAnsi="Arial"/>
                <w:sz w:val="14"/>
                <w:szCs w:val="14"/>
                <w:b w:val="1"/>
                <w:bCs w:val="1"/>
                <w:color w:val="auto"/>
                <w:w w:val="96"/>
              </w:rPr>
              <w:t>products</w:t>
            </w:r>
            <w:r>
              <w:rPr>
                <w:rFonts w:ascii="Arial" w:cs="Arial" w:eastAsia="Arial" w:hAnsi="Arial"/>
                <w:sz w:val="18"/>
                <w:szCs w:val="18"/>
                <w:b w:val="1"/>
                <w:bCs w:val="1"/>
                <w:color w:val="auto"/>
                <w:w w:val="96"/>
                <w:vertAlign w:val="superscript"/>
              </w:rPr>
              <w:t>(1)</w:t>
            </w:r>
          </w:p>
        </w:tc>
        <w:tc>
          <w:tcPr>
            <w:tcW w:w="3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3,774.3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4,926.0</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seed capital investments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1,245.2</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Investments used to hedge the deferred compensation liabilities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1,350.1</w:t>
            </w:r>
          </w:p>
        </w:tc>
        <w:tc>
          <w:tcPr>
            <w:tcW w:w="0" w:type="dxa"/>
            <w:vAlign w:val="bottom"/>
          </w:tcPr>
          <w:p>
            <w:pPr>
              <w:spacing w:after="0"/>
              <w:rPr>
                <w:sz w:val="1"/>
                <w:szCs w:val="1"/>
                <w:color w:val="auto"/>
              </w:rPr>
            </w:pPr>
          </w:p>
        </w:tc>
      </w:tr>
      <w:tr>
        <w:trPr>
          <w:trHeight w:val="156"/>
        </w:trPr>
        <w:tc>
          <w:tcPr>
            <w:tcW w:w="58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cash and investments in T. Rowe Price products attributable to T.</w:t>
            </w:r>
          </w:p>
        </w:tc>
        <w:tc>
          <w:tcPr>
            <w:tcW w:w="1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3,774.3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2,773.2</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7,521.3</w:t>
            </w: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Rowe Price Group</w:t>
            </w:r>
          </w:p>
        </w:tc>
        <w:tc>
          <w:tcPr>
            <w:tcW w:w="1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Investments in affiliated private investment funds</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817.6</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573.2</w:t>
            </w: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w:t>
            </w: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8,971.7</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48"/>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reported on the consolidated balance sheet at September 30,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10,029.1</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80" w:right="140" w:hanging="172"/>
        <w:spacing w:after="0" w:line="276" w:lineRule="auto"/>
        <w:tabs>
          <w:tab w:leader="none" w:pos="158" w:val="left"/>
        </w:tabs>
        <w:numPr>
          <w:ilvl w:val="0"/>
          <w:numId w:val="19"/>
        </w:numPr>
        <w:rPr>
          <w:rFonts w:ascii="Arial" w:cs="Arial" w:eastAsia="Arial" w:hAnsi="Arial"/>
          <w:sz w:val="9"/>
          <w:szCs w:val="9"/>
          <w:i w:val="1"/>
          <w:iCs w:val="1"/>
          <w:color w:val="auto"/>
        </w:rPr>
      </w:pPr>
      <w:r>
        <w:rPr>
          <w:rFonts w:ascii="Arial" w:cs="Arial" w:eastAsia="Arial" w:hAnsi="Arial"/>
          <w:sz w:val="14"/>
          <w:szCs w:val="14"/>
          <w:i w:val="1"/>
          <w:iCs w:val="1"/>
          <w:color w:val="auto"/>
        </w:rPr>
        <w:t>The consolidated T. Rowe Price investment products are generally those products we provided seed capital at the time of their formation and we have a controlling interest. These products generally represent U.S. mutual funds, ETFs, and funds regulated outside the U.S. The $1,012.2 million represents the total value at September 30, 2026 of our interest in the consolidated T. Rowe Price investment products. The total net assets of the T. Rowe Price investment products at September 30, 2026 of $2,069.6 million include assets of $2,624.0 million, less liabilities of $554.4 million as reflected in our unaudited consolidated balance sheet.</w:t>
      </w:r>
    </w:p>
    <w:p>
      <w:pPr>
        <w:spacing w:after="0" w:line="1" w:lineRule="exact"/>
        <w:rPr>
          <w:rFonts w:ascii="Arial" w:cs="Arial" w:eastAsia="Arial" w:hAnsi="Arial"/>
          <w:sz w:val="9"/>
          <w:szCs w:val="9"/>
          <w:i w:val="1"/>
          <w:iCs w:val="1"/>
          <w:color w:val="auto"/>
        </w:rPr>
      </w:pPr>
    </w:p>
    <w:p>
      <w:pPr>
        <w:ind w:left="180" w:right="20" w:hanging="172"/>
        <w:spacing w:after="0" w:line="230" w:lineRule="auto"/>
        <w:tabs>
          <w:tab w:leader="none" w:pos="172" w:val="left"/>
        </w:tabs>
        <w:numPr>
          <w:ilvl w:val="0"/>
          <w:numId w:val="1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$184.7 million of non-controlling interests in consolidated entities and represents the portion of these investments, held by related parties, that we cannot sell in order to obtain cash for general operations.</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unaudited consolidated balance sheet reflects the cash and cash equivalents, investments, other assets and liabilities of those investment products we consolidate, as well as redeemable non-controlling interests for the portion of these investment products that are held by unrelated third-party investors. Although we can generally redeem our net interest in these investment products at any time, we cannot directly access or sell the assets held by the products to obtain cash for general operations. Additionally, the assets of these investment products are not available to our general creditors. Our interest in these consolidated investment products is generally used as initial seed capital and is recategorized as discretionary when it is determined by management that the seed capital is no longer needed. We assess the discretionary investment products and, when we decide to liquidate our interest, we seek to do so in a way so as to not impact the product and, ultimately, the unrelated third-party investors.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increased our quarterly recurring dividend per common share in February 2026 by 2.4% to $1.30 per common share from $1.27 per common share. Further, we expended $497.5 million in the first nine months of 2026 to repurchase 5.3 million shares of our outstanding common stock, at an average price of $94.44 per share. These dividends and repurchases were funded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Since the end of 2023, we have returned $4.6 billion to stockholders through stock repurchases and regular quarterly dividends, as follows:</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Recurring</w:t>
            </w:r>
          </w:p>
        </w:tc>
        <w:tc>
          <w:tcPr>
            <w:tcW w:w="144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Stock repurchases</w:t>
            </w:r>
          </w:p>
        </w:tc>
        <w:tc>
          <w:tcPr>
            <w:tcW w:w="134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b w:val="1"/>
                <w:bCs w:val="1"/>
                <w:color w:val="auto"/>
              </w:rPr>
              <w:t>Total returned to</w:t>
            </w:r>
          </w:p>
        </w:tc>
        <w:tc>
          <w:tcPr>
            <w:tcW w:w="0" w:type="dxa"/>
            <w:vAlign w:val="bottom"/>
          </w:tcPr>
          <w:p>
            <w:pPr>
              <w:spacing w:after="0"/>
              <w:rPr>
                <w:sz w:val="1"/>
                <w:szCs w:val="1"/>
                <w:color w:val="auto"/>
              </w:rPr>
            </w:pPr>
          </w:p>
        </w:tc>
      </w:tr>
      <w:tr>
        <w:trPr>
          <w:trHeight w:val="185"/>
        </w:trPr>
        <w:tc>
          <w:tcPr>
            <w:tcW w:w="69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dividend</w:t>
            </w:r>
          </w:p>
        </w:tc>
        <w:tc>
          <w:tcPr>
            <w:tcW w:w="144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1,135.2</w:t>
            </w:r>
          </w:p>
        </w:tc>
        <w:tc>
          <w:tcPr>
            <w:tcW w:w="100" w:type="dxa"/>
            <w:vAlign w:val="bottom"/>
          </w:tcPr>
          <w:p>
            <w:pPr>
              <w:spacing w:after="0"/>
              <w:rPr>
                <w:sz w:val="19"/>
                <w:szCs w:val="19"/>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1,469.7</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1,768.0</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Nine months ended September 30, 2026</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1,355.1</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4,592.8</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39" w:name="page40"/>
    <w:bookmarkEnd w:id="39"/>
    <w:p>
      <w:pPr>
        <w:spacing w:after="0" w:line="268" w:lineRule="auto"/>
        <w:rPr>
          <w:sz w:val="20"/>
          <w:szCs w:val="20"/>
          <w:color w:val="auto"/>
        </w:rPr>
      </w:pPr>
      <w:r>
        <w:rPr>
          <w:rFonts w:ascii="Arial" w:cs="Arial" w:eastAsia="Arial" w:hAnsi="Arial"/>
          <w:sz w:val="18"/>
          <w:szCs w:val="18"/>
          <w:color w:val="auto"/>
        </w:rPr>
        <w:t>We anticipate property, equipment, software and other capital expenditures, including internal labor capitalization, for the full-year 2026 to be about $290 million, of which nearly all is planned for technology initiatives. We expect to fund our anticipated capital expenditures with operating cash flows and other available resources.</w:t>
      </w:r>
    </w:p>
    <w:p>
      <w:pPr>
        <w:spacing w:after="0" w:line="198"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In August 2026, we entered into an agreement to acquire F/m Investments, LLC for about $75 million plus up to $50 million in contingent consideration that may be due as part of an earnout payment. The transaction is expected to close in the first quarter of 2027, subject to receipt of required regulatory approvals and satisfaction of other customary closing conditions, and is expected to be funded with existing cash balances.</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5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summarizes the cash flows for the nine months ended September 30, 2026 and 2025, that are attributable to T. Rowe Price Group, Inc., our consolidated investment products, and the related eliminations required in preparing the statement.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gridSpan w:val="3"/>
            <w:shd w:val="clear" w:color="auto" w:fill="CCEEFF"/>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9/30/2026</w:t>
            </w: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9/30/2025</w:t>
            </w: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86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b w:val="1"/>
                <w:bCs w:val="1"/>
                <w:color w:val="auto"/>
              </w:rPr>
              <w:t>Cash flow</w:t>
            </w:r>
          </w:p>
        </w:tc>
        <w:tc>
          <w:tcPr>
            <w:tcW w:w="1240" w:type="dxa"/>
            <w:vAlign w:val="bottom"/>
            <w:shd w:val="clear" w:color="auto" w:fill="CCEEFF"/>
          </w:tcPr>
          <w:p>
            <w:pPr>
              <w:jc w:val="center"/>
              <w:ind w:right="88"/>
              <w:spacing w:after="0" w:line="143" w:lineRule="exact"/>
              <w:rPr>
                <w:sz w:val="20"/>
                <w:szCs w:val="20"/>
                <w:color w:val="auto"/>
              </w:rPr>
            </w:pPr>
            <w:r>
              <w:rPr>
                <w:rFonts w:ascii="Arial" w:cs="Arial" w:eastAsia="Arial" w:hAnsi="Arial"/>
                <w:sz w:val="14"/>
                <w:szCs w:val="14"/>
                <w:b w:val="1"/>
                <w:bCs w:val="1"/>
                <w:color w:val="auto"/>
              </w:rPr>
              <w:t>Cash flow</w:t>
            </w: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b w:val="1"/>
                <w:bCs w:val="1"/>
                <w:color w:val="auto"/>
              </w:rPr>
              <w:t>Cash flow</w:t>
            </w:r>
          </w:p>
        </w:tc>
        <w:tc>
          <w:tcPr>
            <w:tcW w:w="1240" w:type="dxa"/>
            <w:vAlign w:val="bottom"/>
            <w:shd w:val="clear" w:color="auto" w:fill="CCEEFF"/>
          </w:tcPr>
          <w:p>
            <w:pPr>
              <w:jc w:val="center"/>
              <w:ind w:right="48"/>
              <w:spacing w:after="0" w:line="143" w:lineRule="exact"/>
              <w:rPr>
                <w:sz w:val="20"/>
                <w:szCs w:val="20"/>
                <w:color w:val="auto"/>
              </w:rPr>
            </w:pPr>
            <w:r>
              <w:rPr>
                <w:rFonts w:ascii="Arial" w:cs="Arial" w:eastAsia="Arial" w:hAnsi="Arial"/>
                <w:sz w:val="14"/>
                <w:szCs w:val="14"/>
                <w:b w:val="1"/>
                <w:bCs w:val="1"/>
                <w:color w:val="auto"/>
              </w:rPr>
              <w:t>Cash flow</w:t>
            </w: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6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b w:val="1"/>
                <w:bCs w:val="1"/>
                <w:color w:val="auto"/>
              </w:rPr>
              <w:t>attributable</w:t>
            </w:r>
          </w:p>
        </w:tc>
        <w:tc>
          <w:tcPr>
            <w:tcW w:w="1240" w:type="dxa"/>
            <w:vAlign w:val="bottom"/>
            <w:shd w:val="clear" w:color="auto" w:fill="CCEEFF"/>
          </w:tcPr>
          <w:p>
            <w:pPr>
              <w:jc w:val="center"/>
              <w:ind w:right="88"/>
              <w:spacing w:after="0" w:line="139" w:lineRule="exact"/>
              <w:rPr>
                <w:sz w:val="20"/>
                <w:szCs w:val="20"/>
                <w:color w:val="auto"/>
              </w:rPr>
            </w:pPr>
            <w:r>
              <w:rPr>
                <w:rFonts w:ascii="Arial" w:cs="Arial" w:eastAsia="Arial" w:hAnsi="Arial"/>
                <w:sz w:val="14"/>
                <w:szCs w:val="14"/>
                <w:b w:val="1"/>
                <w:bCs w:val="1"/>
                <w:color w:val="auto"/>
              </w:rPr>
              <w:t>attributable to</w:t>
            </w: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b w:val="1"/>
                <w:bCs w:val="1"/>
                <w:color w:val="auto"/>
              </w:rPr>
              <w:t>attributable</w:t>
            </w:r>
          </w:p>
        </w:tc>
        <w:tc>
          <w:tcPr>
            <w:tcW w:w="1240" w:type="dxa"/>
            <w:vAlign w:val="bottom"/>
            <w:shd w:val="clear" w:color="auto" w:fill="CCEEFF"/>
          </w:tcPr>
          <w:p>
            <w:pPr>
              <w:jc w:val="center"/>
              <w:ind w:right="48"/>
              <w:spacing w:after="0" w:line="139" w:lineRule="exact"/>
              <w:rPr>
                <w:sz w:val="20"/>
                <w:szCs w:val="20"/>
                <w:color w:val="auto"/>
              </w:rPr>
            </w:pPr>
            <w:r>
              <w:rPr>
                <w:rFonts w:ascii="Arial" w:cs="Arial" w:eastAsia="Arial" w:hAnsi="Arial"/>
                <w:sz w:val="14"/>
                <w:szCs w:val="14"/>
                <w:b w:val="1"/>
                <w:bCs w:val="1"/>
                <w:color w:val="auto"/>
              </w:rPr>
              <w:t>attributable to</w:t>
            </w:r>
          </w:p>
        </w:tc>
        <w:tc>
          <w:tcPr>
            <w:tcW w:w="6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to T. Rowe</w:t>
            </w:r>
          </w:p>
        </w:tc>
        <w:tc>
          <w:tcPr>
            <w:tcW w:w="124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b w:val="1"/>
                <w:bCs w:val="1"/>
                <w:color w:val="auto"/>
              </w:rPr>
              <w:t>consolidated</w:t>
            </w:r>
          </w:p>
        </w:tc>
        <w:tc>
          <w:tcPr>
            <w:tcW w:w="6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14"/>
                <w:szCs w:val="14"/>
                <w:b w:val="1"/>
                <w:bCs w:val="1"/>
                <w:color w:val="auto"/>
              </w:rPr>
              <w:t>As</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8"/>
              </w:rPr>
              <w:t>to T. Rowe</w:t>
            </w:r>
          </w:p>
        </w:tc>
        <w:tc>
          <w:tcPr>
            <w:tcW w:w="124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b w:val="1"/>
                <w:bCs w:val="1"/>
                <w:color w:val="auto"/>
              </w:rPr>
              <w:t>consolidated</w:t>
            </w:r>
          </w:p>
        </w:tc>
        <w:tc>
          <w:tcPr>
            <w:tcW w:w="6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4"/>
        </w:trPr>
        <w:tc>
          <w:tcPr>
            <w:tcW w:w="38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Price Group,</w:t>
            </w:r>
          </w:p>
        </w:tc>
        <w:tc>
          <w:tcPr>
            <w:tcW w:w="1240" w:type="dxa"/>
            <w:vAlign w:val="bottom"/>
            <w:shd w:val="clear" w:color="auto" w:fill="CCEEFF"/>
          </w:tcPr>
          <w:p>
            <w:pPr>
              <w:jc w:val="center"/>
              <w:ind w:right="88"/>
              <w:spacing w:after="0" w:line="145" w:lineRule="exact"/>
              <w:rPr>
                <w:sz w:val="20"/>
                <w:szCs w:val="20"/>
                <w:color w:val="auto"/>
              </w:rPr>
            </w:pPr>
            <w:r>
              <w:rPr>
                <w:rFonts w:ascii="Arial" w:cs="Arial" w:eastAsia="Arial" w:hAnsi="Arial"/>
                <w:sz w:val="14"/>
                <w:szCs w:val="14"/>
                <w:b w:val="1"/>
                <w:bCs w:val="1"/>
                <w:color w:val="auto"/>
              </w:rPr>
              <w:t>investment</w:t>
            </w:r>
          </w:p>
        </w:tc>
        <w:tc>
          <w:tcPr>
            <w:tcW w:w="60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Elims</w:t>
            </w:r>
          </w:p>
        </w:tc>
        <w:tc>
          <w:tcPr>
            <w:tcW w:w="940" w:type="dxa"/>
            <w:vAlign w:val="bottom"/>
            <w:gridSpan w:val="2"/>
            <w:vMerge w:val="continue"/>
            <w:shd w:val="clear" w:color="auto" w:fill="CCEEFF"/>
          </w:tcPr>
          <w:p>
            <w:pPr>
              <w:spacing w:after="0"/>
              <w:rPr>
                <w:sz w:val="12"/>
                <w:szCs w:val="12"/>
                <w:color w:val="auto"/>
              </w:rPr>
            </w:pPr>
          </w:p>
        </w:tc>
        <w:tc>
          <w:tcPr>
            <w:tcW w:w="94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Price Group,</w:t>
            </w:r>
          </w:p>
        </w:tc>
        <w:tc>
          <w:tcPr>
            <w:tcW w:w="1240" w:type="dxa"/>
            <w:vAlign w:val="bottom"/>
            <w:shd w:val="clear" w:color="auto" w:fill="CCEEFF"/>
          </w:tcPr>
          <w:p>
            <w:pPr>
              <w:jc w:val="center"/>
              <w:ind w:right="48"/>
              <w:spacing w:after="0" w:line="145" w:lineRule="exact"/>
              <w:rPr>
                <w:sz w:val="20"/>
                <w:szCs w:val="20"/>
                <w:color w:val="auto"/>
              </w:rPr>
            </w:pPr>
            <w:r>
              <w:rPr>
                <w:rFonts w:ascii="Arial" w:cs="Arial" w:eastAsia="Arial" w:hAnsi="Arial"/>
                <w:sz w:val="14"/>
                <w:szCs w:val="14"/>
                <w:b w:val="1"/>
                <w:bCs w:val="1"/>
                <w:color w:val="auto"/>
              </w:rPr>
              <w:t>investment</w:t>
            </w:r>
          </w:p>
        </w:tc>
        <w:tc>
          <w:tcPr>
            <w:tcW w:w="60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Elims</w:t>
            </w: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60" w:type="dxa"/>
            <w:vAlign w:val="bottom"/>
            <w:vMerge w:val="continue"/>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Inc.</w:t>
            </w:r>
          </w:p>
        </w:tc>
        <w:tc>
          <w:tcPr>
            <w:tcW w:w="1240" w:type="dxa"/>
            <w:vAlign w:val="bottom"/>
            <w:shd w:val="clear" w:color="auto" w:fill="CCEEFF"/>
          </w:tcPr>
          <w:p>
            <w:pPr>
              <w:jc w:val="center"/>
              <w:ind w:right="68"/>
              <w:spacing w:after="0"/>
              <w:rPr>
                <w:sz w:val="20"/>
                <w:szCs w:val="20"/>
                <w:color w:val="auto"/>
              </w:rPr>
            </w:pPr>
            <w:r>
              <w:rPr>
                <w:rFonts w:ascii="Arial" w:cs="Arial" w:eastAsia="Arial" w:hAnsi="Arial"/>
                <w:sz w:val="14"/>
                <w:szCs w:val="14"/>
                <w:b w:val="1"/>
                <w:bCs w:val="1"/>
                <w:color w:val="auto"/>
              </w:rPr>
              <w:t>products</w:t>
            </w:r>
          </w:p>
        </w:tc>
        <w:tc>
          <w:tcPr>
            <w:tcW w:w="600" w:type="dxa"/>
            <w:vAlign w:val="bottom"/>
            <w:vMerge w:val="continue"/>
            <w:shd w:val="clear" w:color="auto" w:fill="CCEEFF"/>
          </w:tcPr>
          <w:p>
            <w:pPr>
              <w:spacing w:after="0"/>
              <w:rPr>
                <w:sz w:val="16"/>
                <w:szCs w:val="16"/>
                <w:color w:val="auto"/>
              </w:rPr>
            </w:pPr>
          </w:p>
        </w:tc>
        <w:tc>
          <w:tcPr>
            <w:tcW w:w="9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b w:val="1"/>
                <w:bCs w:val="1"/>
                <w:color w:val="auto"/>
              </w:rPr>
              <w:t>reported</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Inc.</w:t>
            </w:r>
          </w:p>
        </w:tc>
        <w:tc>
          <w:tcPr>
            <w:tcW w:w="1240" w:type="dxa"/>
            <w:vAlign w:val="bottom"/>
            <w:shd w:val="clear" w:color="auto" w:fill="CCEEFF"/>
          </w:tcPr>
          <w:p>
            <w:pPr>
              <w:jc w:val="center"/>
              <w:ind w:right="68"/>
              <w:spacing w:after="0"/>
              <w:rPr>
                <w:sz w:val="20"/>
                <w:szCs w:val="20"/>
                <w:color w:val="auto"/>
              </w:rPr>
            </w:pPr>
            <w:r>
              <w:rPr>
                <w:rFonts w:ascii="Arial" w:cs="Arial" w:eastAsia="Arial" w:hAnsi="Arial"/>
                <w:sz w:val="14"/>
                <w:szCs w:val="14"/>
                <w:b w:val="1"/>
                <w:bCs w:val="1"/>
                <w:color w:val="auto"/>
              </w:rPr>
              <w:t>products</w:t>
            </w:r>
          </w:p>
        </w:tc>
        <w:tc>
          <w:tcPr>
            <w:tcW w:w="600" w:type="dxa"/>
            <w:vAlign w:val="bottom"/>
            <w:vMerge w:val="continue"/>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0</wp:posOffset>
            </wp:positionV>
            <wp:extent cx="46805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ind w:left="20"/>
        <w:spacing w:after="0"/>
        <w:rPr>
          <w:sz w:val="20"/>
          <w:szCs w:val="20"/>
          <w:color w:val="auto"/>
        </w:rPr>
      </w:pPr>
      <w:r>
        <w:rPr>
          <w:rFonts w:ascii="Arial" w:cs="Arial" w:eastAsia="Arial" w:hAnsi="Arial"/>
          <w:sz w:val="18"/>
          <w:szCs w:val="18"/>
          <w:color w:val="auto"/>
        </w:rPr>
        <w:t>Cash flows from operating activities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income (loss)</w:t>
      </w:r>
    </w:p>
    <w:p>
      <w:pPr>
        <w:spacing w:after="0" w:line="23" w:lineRule="exact"/>
        <w:rPr>
          <w:sz w:val="20"/>
          <w:szCs w:val="20"/>
          <w:color w:val="auto"/>
        </w:rPr>
      </w:pPr>
    </w:p>
    <w:p>
      <w:pPr>
        <w:ind w:left="140" w:right="100"/>
        <w:spacing w:after="0" w:line="224" w:lineRule="auto"/>
        <w:rPr>
          <w:sz w:val="20"/>
          <w:szCs w:val="20"/>
          <w:color w:val="auto"/>
        </w:rPr>
      </w:pPr>
      <w:r>
        <w:rPr>
          <w:rFonts w:ascii="Arial" w:cs="Arial" w:eastAsia="Arial" w:hAnsi="Arial"/>
          <w:sz w:val="18"/>
          <w:szCs w:val="18"/>
          <w:color w:val="auto"/>
        </w:rPr>
        <w:t>Adjustments to reconcile net income (loss) to net cash provided by (used in) operating activities</w:t>
      </w:r>
    </w:p>
    <w:p>
      <w:pPr>
        <w:spacing w:after="0" w:line="5" w:lineRule="exact"/>
        <w:rPr>
          <w:sz w:val="20"/>
          <w:szCs w:val="20"/>
          <w:color w:val="auto"/>
        </w:rPr>
      </w:pPr>
    </w:p>
    <w:p>
      <w:pPr>
        <w:ind w:left="220" w:right="120"/>
        <w:spacing w:after="0"/>
        <w:rPr>
          <w:sz w:val="20"/>
          <w:szCs w:val="20"/>
          <w:color w:val="auto"/>
        </w:rPr>
      </w:pPr>
      <w:r>
        <w:rPr>
          <w:rFonts w:ascii="Arial" w:cs="Arial" w:eastAsia="Arial" w:hAnsi="Arial"/>
          <w:sz w:val="18"/>
          <w:szCs w:val="18"/>
          <w:color w:val="auto"/>
        </w:rPr>
        <w:t>Depreciation, amortization and impairments of property, equipment and software</w:t>
      </w:r>
    </w:p>
    <w:p>
      <w:pPr>
        <w:spacing w:after="0" w:line="5" w:lineRule="exact"/>
        <w:rPr>
          <w:sz w:val="20"/>
          <w:szCs w:val="20"/>
          <w:color w:val="auto"/>
        </w:rPr>
      </w:pPr>
    </w:p>
    <w:p>
      <w:pPr>
        <w:ind w:left="220" w:right="60"/>
        <w:spacing w:after="0" w:line="256" w:lineRule="auto"/>
        <w:rPr>
          <w:sz w:val="20"/>
          <w:szCs w:val="20"/>
          <w:color w:val="auto"/>
        </w:rPr>
      </w:pPr>
      <w:r>
        <w:rPr>
          <w:rFonts w:ascii="Arial" w:cs="Arial" w:eastAsia="Arial" w:hAnsi="Arial"/>
          <w:sz w:val="17"/>
          <w:szCs w:val="17"/>
          <w:color w:val="auto"/>
        </w:rPr>
        <w:t>Amortization and impairments of acquisition-related assets and retention arrangements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Stock-based compensation expense</w:t>
      </w:r>
    </w:p>
    <w:p>
      <w:pPr>
        <w:spacing w:after="0" w:line="32" w:lineRule="exact"/>
        <w:rPr>
          <w:sz w:val="20"/>
          <w:szCs w:val="20"/>
          <w:color w:val="auto"/>
        </w:rPr>
      </w:pPr>
    </w:p>
    <w:p>
      <w:pPr>
        <w:ind w:left="220" w:right="980"/>
        <w:spacing w:after="0" w:line="234" w:lineRule="auto"/>
        <w:rPr>
          <w:sz w:val="20"/>
          <w:szCs w:val="20"/>
          <w:color w:val="auto"/>
        </w:rPr>
      </w:pPr>
      <w:r>
        <w:rPr>
          <w:rFonts w:ascii="Arial" w:cs="Arial" w:eastAsia="Arial" w:hAnsi="Arial"/>
          <w:sz w:val="18"/>
          <w:szCs w:val="18"/>
          <w:color w:val="auto"/>
        </w:rPr>
        <w:t>Net (gains) losses recognized on investments</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non-cash adjustments</w:t>
      </w:r>
    </w:p>
    <w:p>
      <w:pPr>
        <w:spacing w:after="0" w:line="32" w:lineRule="exact"/>
        <w:rPr>
          <w:sz w:val="20"/>
          <w:szCs w:val="20"/>
          <w:color w:val="auto"/>
        </w:rPr>
      </w:pPr>
    </w:p>
    <w:p>
      <w:pPr>
        <w:ind w:left="220" w:right="200"/>
        <w:spacing w:after="0" w:line="224" w:lineRule="auto"/>
        <w:rPr>
          <w:sz w:val="20"/>
          <w:szCs w:val="20"/>
          <w:color w:val="auto"/>
        </w:rPr>
      </w:pPr>
      <w:r>
        <w:rPr>
          <w:rFonts w:ascii="Arial" w:cs="Arial" w:eastAsia="Arial" w:hAnsi="Arial"/>
          <w:sz w:val="18"/>
          <w:szCs w:val="18"/>
          <w:color w:val="auto"/>
        </w:rPr>
        <w:t>Net redemptions from investment products used to economically hedge deferred compensation liabilities</w:t>
      </w:r>
    </w:p>
    <w:p>
      <w:pPr>
        <w:spacing w:after="0" w:line="5" w:lineRule="exact"/>
        <w:rPr>
          <w:sz w:val="20"/>
          <w:szCs w:val="20"/>
          <w:color w:val="auto"/>
        </w:rPr>
      </w:pPr>
    </w:p>
    <w:p>
      <w:pPr>
        <w:ind w:left="220" w:right="440"/>
        <w:spacing w:after="0"/>
        <w:rPr>
          <w:sz w:val="20"/>
          <w:szCs w:val="20"/>
          <w:color w:val="auto"/>
        </w:rPr>
      </w:pPr>
      <w:r>
        <w:rPr>
          <w:rFonts w:ascii="Arial" w:cs="Arial" w:eastAsia="Arial" w:hAnsi="Arial"/>
          <w:sz w:val="18"/>
          <w:szCs w:val="18"/>
          <w:color w:val="auto"/>
        </w:rPr>
        <w:t>Net change in trading securities held by consolidated investment products</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changes</w:t>
      </w:r>
    </w:p>
    <w:p>
      <w:pPr>
        <w:spacing w:after="0" w:line="32" w:lineRule="exact"/>
        <w:rPr>
          <w:sz w:val="20"/>
          <w:szCs w:val="20"/>
          <w:color w:val="auto"/>
        </w:rPr>
      </w:pPr>
    </w:p>
    <w:p>
      <w:pPr>
        <w:ind w:left="20" w:right="560"/>
        <w:spacing w:after="0" w:line="234" w:lineRule="auto"/>
        <w:rPr>
          <w:sz w:val="20"/>
          <w:szCs w:val="20"/>
          <w:color w:val="auto"/>
        </w:rPr>
      </w:pPr>
      <w:r>
        <w:rPr>
          <w:rFonts w:ascii="Arial" w:cs="Arial" w:eastAsia="Arial" w:hAnsi="Arial"/>
          <w:sz w:val="18"/>
          <w:szCs w:val="18"/>
          <w:color w:val="auto"/>
        </w:rPr>
        <w:t>Net cash provided by (used in) operating activities</w:t>
      </w:r>
    </w:p>
    <w:p>
      <w:pPr>
        <w:spacing w:after="0" w:line="6" w:lineRule="exact"/>
        <w:rPr>
          <w:sz w:val="20"/>
          <w:szCs w:val="20"/>
          <w:color w:val="auto"/>
        </w:rPr>
      </w:pPr>
    </w:p>
    <w:p>
      <w:pPr>
        <w:ind w:left="20" w:right="600"/>
        <w:spacing w:after="0"/>
        <w:rPr>
          <w:sz w:val="20"/>
          <w:szCs w:val="20"/>
          <w:color w:val="auto"/>
        </w:rPr>
      </w:pPr>
      <w:r>
        <w:rPr>
          <w:rFonts w:ascii="Arial" w:cs="Arial" w:eastAsia="Arial" w:hAnsi="Arial"/>
          <w:sz w:val="18"/>
          <w:szCs w:val="18"/>
          <w:color w:val="auto"/>
        </w:rPr>
        <w:t>Net cash provided by (used in) investing activities</w:t>
      </w:r>
    </w:p>
    <w:p>
      <w:pPr>
        <w:spacing w:after="0" w:line="5" w:lineRule="exact"/>
        <w:rPr>
          <w:sz w:val="20"/>
          <w:szCs w:val="20"/>
          <w:color w:val="auto"/>
        </w:rPr>
      </w:pPr>
    </w:p>
    <w:p>
      <w:pPr>
        <w:ind w:left="20" w:right="580"/>
        <w:spacing w:after="0"/>
        <w:rPr>
          <w:sz w:val="20"/>
          <w:szCs w:val="20"/>
          <w:color w:val="auto"/>
        </w:rPr>
      </w:pPr>
      <w:r>
        <w:rPr>
          <w:rFonts w:ascii="Arial" w:cs="Arial" w:eastAsia="Arial" w:hAnsi="Arial"/>
          <w:sz w:val="18"/>
          <w:szCs w:val="18"/>
          <w:color w:val="auto"/>
        </w:rPr>
        <w:t>Net cash provided by (used in) financing activities</w:t>
      </w:r>
    </w:p>
    <w:p>
      <w:pPr>
        <w:spacing w:after="0" w:line="5" w:lineRule="exact"/>
        <w:rPr>
          <w:sz w:val="20"/>
          <w:szCs w:val="20"/>
          <w:color w:val="auto"/>
        </w:rPr>
      </w:pPr>
    </w:p>
    <w:p>
      <w:pPr>
        <w:jc w:val="both"/>
        <w:ind w:left="20" w:right="180"/>
        <w:spacing w:after="0" w:line="227" w:lineRule="auto"/>
        <w:rPr>
          <w:sz w:val="20"/>
          <w:szCs w:val="20"/>
          <w:color w:val="auto"/>
        </w:rPr>
      </w:pPr>
      <w:r>
        <w:rPr>
          <w:rFonts w:ascii="Arial" w:cs="Arial" w:eastAsia="Arial" w:hAnsi="Arial"/>
          <w:sz w:val="18"/>
          <w:szCs w:val="18"/>
          <w:color w:val="auto"/>
        </w:rPr>
        <w:t>Effect of exchange rate changes on cash and cash equivalents of consolidated investment products</w:t>
      </w:r>
    </w:p>
    <w:p>
      <w:pPr>
        <w:spacing w:after="0" w:line="7" w:lineRule="exact"/>
        <w:rPr>
          <w:sz w:val="20"/>
          <w:szCs w:val="20"/>
          <w:color w:val="auto"/>
        </w:rPr>
      </w:pPr>
    </w:p>
    <w:p>
      <w:pPr>
        <w:ind w:left="20" w:right="520"/>
        <w:spacing w:after="0"/>
        <w:rPr>
          <w:sz w:val="20"/>
          <w:szCs w:val="20"/>
          <w:color w:val="auto"/>
        </w:rPr>
      </w:pPr>
      <w:r>
        <w:rPr>
          <w:rFonts w:ascii="Arial" w:cs="Arial" w:eastAsia="Arial" w:hAnsi="Arial"/>
          <w:sz w:val="18"/>
          <w:szCs w:val="18"/>
          <w:color w:val="auto"/>
        </w:rPr>
        <w:t>Net change in cash and cash equivalents during period</w:t>
      </w:r>
    </w:p>
    <w:p>
      <w:pPr>
        <w:spacing w:after="0" w:line="5" w:lineRule="exact"/>
        <w:rPr>
          <w:sz w:val="20"/>
          <w:szCs w:val="20"/>
          <w:color w:val="auto"/>
        </w:rPr>
      </w:pPr>
    </w:p>
    <w:p>
      <w:pPr>
        <w:ind w:left="20"/>
        <w:spacing w:after="0" w:line="350" w:lineRule="auto"/>
        <w:rPr>
          <w:sz w:val="20"/>
          <w:szCs w:val="20"/>
          <w:color w:val="auto"/>
        </w:rPr>
      </w:pPr>
      <w:r>
        <w:rPr>
          <w:rFonts w:ascii="Arial" w:cs="Arial" w:eastAsia="Arial" w:hAnsi="Arial"/>
          <w:sz w:val="18"/>
          <w:szCs w:val="18"/>
          <w:color w:val="auto"/>
        </w:rPr>
        <w:t>Cash and cash equivalents at beginning of year Cash and cash equivalents at end of period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0"/>
        <w:spacing w:after="0"/>
        <w:tabs>
          <w:tab w:leader="none" w:pos="1000" w:val="left"/>
          <w:tab w:leader="none" w:pos="1580" w:val="left"/>
          <w:tab w:leader="none" w:pos="2100" w:val="left"/>
          <w:tab w:leader="none" w:pos="3740" w:val="left"/>
          <w:tab w:leader="none" w:pos="4720" w:val="left"/>
          <w:tab w:leader="none" w:pos="5200" w:val="left"/>
          <w:tab w:leader="none" w:pos="5820" w:val="left"/>
        </w:tabs>
        <w:rPr>
          <w:sz w:val="20"/>
          <w:szCs w:val="20"/>
          <w:color w:val="auto"/>
        </w:rPr>
      </w:pPr>
      <w:r>
        <w:rPr>
          <w:rFonts w:ascii="Arial" w:cs="Arial" w:eastAsia="Arial" w:hAnsi="Arial"/>
          <w:sz w:val="18"/>
          <w:szCs w:val="18"/>
          <w:color w:val="auto"/>
        </w:rPr>
        <w:t>$ 1,742.5</w:t>
        <w:tab/>
        <w:t>$</w:t>
      </w:r>
      <w:r>
        <w:rPr>
          <w:sz w:val="20"/>
          <w:szCs w:val="20"/>
          <w:color w:val="auto"/>
        </w:rPr>
        <w:tab/>
      </w:r>
      <w:r>
        <w:rPr>
          <w:rFonts w:ascii="Arial" w:cs="Arial" w:eastAsia="Arial" w:hAnsi="Arial"/>
          <w:sz w:val="18"/>
          <w:szCs w:val="18"/>
          <w:color w:val="auto"/>
        </w:rPr>
        <w:t>64.6</w:t>
        <w:tab/>
        <w:t xml:space="preserve">$ (30.5)  </w:t>
      </w:r>
      <w:r>
        <w:rPr>
          <w:rFonts w:ascii="Arial" w:cs="Arial" w:eastAsia="Arial" w:hAnsi="Arial"/>
          <w:sz w:val="18"/>
          <w:szCs w:val="18"/>
          <w:u w:val="single" w:color="auto"/>
          <w:color w:val="auto"/>
        </w:rPr>
        <w:t>$1,776.6</w:t>
      </w:r>
      <w:r>
        <w:rPr>
          <w:rFonts w:ascii="Arial" w:cs="Arial" w:eastAsia="Arial" w:hAnsi="Arial"/>
          <w:sz w:val="18"/>
          <w:szCs w:val="18"/>
          <w:color w:val="auto"/>
        </w:rPr>
        <w:tab/>
        <w:t>$ 1,641.8</w:t>
        <w:tab/>
        <w:t>$</w:t>
      </w:r>
      <w:r>
        <w:rPr>
          <w:sz w:val="20"/>
          <w:szCs w:val="20"/>
          <w:color w:val="auto"/>
        </w:rPr>
        <w:tab/>
      </w:r>
      <w:r>
        <w:rPr>
          <w:rFonts w:ascii="Arial" w:cs="Arial" w:eastAsia="Arial" w:hAnsi="Arial"/>
          <w:sz w:val="18"/>
          <w:szCs w:val="18"/>
          <w:color w:val="auto"/>
        </w:rPr>
        <w:t>176.0</w:t>
        <w:tab/>
        <w:t>$ (70.1)  $1,747.7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-127635</wp:posOffset>
            </wp:positionV>
            <wp:extent cx="7132320" cy="7886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0" w:type="dxa"/>
            <w:vAlign w:val="bottom"/>
          </w:tcPr>
          <w:p>
            <w:pPr>
              <w:jc w:val="right"/>
              <w:spacing w:after="0"/>
              <w:rPr>
                <w:sz w:val="20"/>
                <w:szCs w:val="20"/>
                <w:color w:val="auto"/>
              </w:rPr>
            </w:pPr>
            <w:r>
              <w:rPr>
                <w:rFonts w:ascii="Arial" w:cs="Arial" w:eastAsia="Arial" w:hAnsi="Arial"/>
                <w:sz w:val="18"/>
                <w:szCs w:val="18"/>
                <w:color w:val="auto"/>
              </w:rPr>
              <w:t>213.6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213.6</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203.7</w:t>
            </w:r>
          </w:p>
        </w:tc>
      </w:tr>
      <w:tr>
        <w:trPr>
          <w:trHeight w:val="409"/>
        </w:trPr>
        <w:tc>
          <w:tcPr>
            <w:tcW w:w="920" w:type="dxa"/>
            <w:vAlign w:val="bottom"/>
          </w:tcPr>
          <w:p>
            <w:pPr>
              <w:jc w:val="right"/>
              <w:spacing w:after="0"/>
              <w:rPr>
                <w:sz w:val="20"/>
                <w:szCs w:val="20"/>
                <w:color w:val="auto"/>
              </w:rPr>
            </w:pPr>
            <w:r>
              <w:rPr>
                <w:rFonts w:ascii="Arial" w:cs="Arial" w:eastAsia="Arial" w:hAnsi="Arial"/>
                <w:sz w:val="18"/>
                <w:szCs w:val="18"/>
                <w:color w:val="auto"/>
              </w:rPr>
              <w:t>97.3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97.3</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165.8</w:t>
            </w:r>
          </w:p>
        </w:tc>
      </w:tr>
      <w:tr>
        <w:trPr>
          <w:trHeight w:val="239"/>
        </w:trPr>
        <w:tc>
          <w:tcPr>
            <w:tcW w:w="920" w:type="dxa"/>
            <w:vAlign w:val="bottom"/>
          </w:tcPr>
          <w:p>
            <w:pPr>
              <w:jc w:val="right"/>
              <w:spacing w:after="0"/>
              <w:rPr>
                <w:sz w:val="20"/>
                <w:szCs w:val="20"/>
                <w:color w:val="auto"/>
              </w:rPr>
            </w:pPr>
            <w:r>
              <w:rPr>
                <w:rFonts w:ascii="Arial" w:cs="Arial" w:eastAsia="Arial" w:hAnsi="Arial"/>
                <w:sz w:val="18"/>
                <w:szCs w:val="18"/>
                <w:color w:val="auto"/>
              </w:rPr>
              <w:t>135.5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135.5</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414"/>
        </w:trPr>
        <w:tc>
          <w:tcPr>
            <w:tcW w:w="920" w:type="dxa"/>
            <w:vAlign w:val="bottom"/>
          </w:tcPr>
          <w:p>
            <w:pPr>
              <w:jc w:val="right"/>
              <w:spacing w:after="0"/>
              <w:rPr>
                <w:sz w:val="20"/>
                <w:szCs w:val="20"/>
                <w:color w:val="auto"/>
              </w:rPr>
            </w:pPr>
            <w:r>
              <w:rPr>
                <w:rFonts w:ascii="Arial" w:cs="Arial" w:eastAsia="Arial" w:hAnsi="Arial"/>
                <w:sz w:val="18"/>
                <w:szCs w:val="18"/>
                <w:color w:val="auto"/>
              </w:rPr>
              <w:t>(269.6)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(239.1)</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(347.5)</w:t>
            </w:r>
          </w:p>
        </w:tc>
      </w:tr>
      <w:tr>
        <w:trPr>
          <w:trHeight w:val="232"/>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w:t>
            </w:r>
          </w:p>
        </w:tc>
      </w:tr>
      <w:tr>
        <w:trPr>
          <w:trHeight w:val="589"/>
        </w:trPr>
        <w:tc>
          <w:tcPr>
            <w:tcW w:w="920" w:type="dxa"/>
            <w:vAlign w:val="bottom"/>
          </w:tcPr>
          <w:p>
            <w:pPr>
              <w:jc w:val="right"/>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76.2</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409"/>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(982.4)</w:t>
            </w: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(982.4)</w:t>
            </w:r>
          </w:p>
        </w:tc>
        <w:tc>
          <w:tcPr>
            <w:tcW w:w="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(821.4)</w:t>
            </w:r>
          </w:p>
        </w:tc>
        <w:tc>
          <w:tcPr>
            <w:tcW w:w="8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(821.4)</w:t>
            </w:r>
          </w:p>
        </w:tc>
      </w:tr>
      <w:tr>
        <w:trPr>
          <w:trHeight w:val="235"/>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772.6</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w:t>
            </w: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579.6</w:t>
            </w:r>
          </w:p>
        </w:tc>
      </w:tr>
      <w:tr>
        <w:trPr>
          <w:trHeight w:val="403"/>
        </w:trPr>
        <w:tc>
          <w:tcPr>
            <w:tcW w:w="920" w:type="dxa"/>
            <w:vAlign w:val="bottom"/>
          </w:tcPr>
          <w:p>
            <w:pPr>
              <w:jc w:val="right"/>
              <w:spacing w:after="0"/>
              <w:rPr>
                <w:sz w:val="20"/>
                <w:szCs w:val="20"/>
                <w:color w:val="auto"/>
              </w:rPr>
            </w:pPr>
            <w:r>
              <w:rPr>
                <w:rFonts w:ascii="Arial" w:cs="Arial" w:eastAsia="Arial" w:hAnsi="Arial"/>
                <w:sz w:val="18"/>
                <w:szCs w:val="18"/>
                <w:color w:val="auto"/>
              </w:rPr>
              <w:t>2,752.7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(874.3)</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1,884.9</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(646.5)</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1,772.1</w:t>
            </w:r>
          </w:p>
        </w:tc>
      </w:tr>
      <w:tr>
        <w:trPr>
          <w:trHeight w:val="418"/>
        </w:trPr>
        <w:tc>
          <w:tcPr>
            <w:tcW w:w="920" w:type="dxa"/>
            <w:vAlign w:val="bottom"/>
          </w:tcPr>
          <w:p>
            <w:pPr>
              <w:jc w:val="right"/>
              <w:spacing w:after="0"/>
              <w:rPr>
                <w:sz w:val="20"/>
                <w:szCs w:val="20"/>
                <w:color w:val="auto"/>
              </w:rPr>
            </w:pPr>
            <w:r>
              <w:rPr>
                <w:rFonts w:ascii="Arial" w:cs="Arial" w:eastAsia="Arial" w:hAnsi="Arial"/>
                <w:sz w:val="18"/>
                <w:szCs w:val="18"/>
                <w:color w:val="auto"/>
              </w:rPr>
              <w:t>(985.0)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271.5</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(714.9)</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418"/>
        </w:trPr>
        <w:tc>
          <w:tcPr>
            <w:tcW w:w="920" w:type="dxa"/>
            <w:vAlign w:val="bottom"/>
          </w:tcPr>
          <w:p>
            <w:pPr>
              <w:jc w:val="right"/>
              <w:spacing w:after="0"/>
              <w:rPr>
                <w:sz w:val="20"/>
                <w:szCs w:val="20"/>
                <w:color w:val="auto"/>
              </w:rPr>
            </w:pPr>
            <w:r>
              <w:rPr>
                <w:rFonts w:ascii="Arial" w:cs="Arial" w:eastAsia="Arial" w:hAnsi="Arial"/>
                <w:sz w:val="18"/>
                <w:szCs w:val="18"/>
                <w:color w:val="auto"/>
              </w:rPr>
              <w:t>(1,371.6)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948.8</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(278.0)</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(700.8)</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(1,315.7)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664.9</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(134.8)</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(785.6)</w:t>
            </w:r>
          </w:p>
        </w:tc>
      </w:tr>
      <w:tr>
        <w:trPr>
          <w:trHeight w:val="590"/>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393"/>
        </w:trPr>
        <w:tc>
          <w:tcPr>
            <w:tcW w:w="920" w:type="dxa"/>
            <w:vAlign w:val="bottom"/>
          </w:tcPr>
          <w:p>
            <w:pPr>
              <w:jc w:val="right"/>
              <w:spacing w:after="0"/>
              <w:rPr>
                <w:sz w:val="20"/>
                <w:szCs w:val="20"/>
                <w:color w:val="auto"/>
              </w:rPr>
            </w:pPr>
            <w:r>
              <w:rPr>
                <w:rFonts w:ascii="Arial" w:cs="Arial" w:eastAsia="Arial" w:hAnsi="Arial"/>
                <w:sz w:val="18"/>
                <w:szCs w:val="18"/>
                <w:color w:val="auto"/>
              </w:rPr>
              <w:t>396.1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466.3</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985.0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971.0</w:t>
            </w:r>
          </w:p>
        </w:tc>
      </w:tr>
      <w:tr>
        <w:trPr>
          <w:trHeight w:val="235"/>
        </w:trPr>
        <w:tc>
          <w:tcPr>
            <w:tcW w:w="920" w:type="dxa"/>
            <w:vAlign w:val="bottom"/>
          </w:tcPr>
          <w:p>
            <w:pPr>
              <w:jc w:val="right"/>
              <w:spacing w:after="0"/>
              <w:rPr>
                <w:sz w:val="20"/>
                <w:szCs w:val="20"/>
                <w:color w:val="auto"/>
              </w:rPr>
            </w:pPr>
            <w:r>
              <w:rPr>
                <w:rFonts w:ascii="Arial" w:cs="Arial" w:eastAsia="Arial" w:hAnsi="Arial"/>
                <w:sz w:val="18"/>
                <w:szCs w:val="18"/>
                <w:color w:val="auto"/>
              </w:rPr>
              <w:t>3,378.2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3,417.3</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2,649.8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2,712.9</w:t>
            </w:r>
          </w:p>
        </w:tc>
      </w:tr>
      <w:tr>
        <w:trPr>
          <w:trHeight w:val="223"/>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$ 3,774.3</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3,883.6</w:t>
            </w: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$ 3,634.8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$3,683.9</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-3128010</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-2716530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-2185035</wp:posOffset>
            </wp:positionV>
            <wp:extent cx="7132320" cy="265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-1773555</wp:posOffset>
            </wp:positionV>
            <wp:extent cx="7132320" cy="265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-1242060</wp:posOffset>
            </wp:positionV>
            <wp:extent cx="7132320" cy="265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-599440</wp:posOffset>
            </wp:positionV>
            <wp:extent cx="7132320" cy="266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-187960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3820" w:space="40"/>
            <w:col w:w="7380"/>
          </w:cols>
          <w:pgMar w:left="320" w:top="890" w:right="339" w:bottom="1440" w:gutter="0" w:footer="0" w:header="0"/>
          <w:type w:val="continuous"/>
        </w:sectPr>
      </w:pP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Operating activities attributable to T. Rowe Price Group during the first nine months of 2026 provided cash flows of $2,752.7 million, an increase of $372.7 million from $ 2,380.0 million provided during the 2025 period. The increase was primarily driven by a $183.8 million increase in cash flows related to timing differences associated with the cash settlement of our assets and liabilities, a $100.7 million increase in net income, and a $90.7 million increase in the add-back for non-cash items as detailed in the table above. These increases were partially offset by a $2.5 million decrease in proceeds received from net redemptions of investments that economically hedge our deferred compensation liabilities compared to the 2025 period. The remaining change in reported cash flows from operating activities was attributable to the net change in trading securities held in our consolidated investment products’ underlying portfolios.</w:t>
      </w:r>
    </w:p>
    <w:p>
      <w:pPr>
        <w:spacing w:after="0" w:line="210"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Our interim operating cash flows do not include the cash impact of variable incentive compensation that is accrued throughout the year before being substantially paid out in December.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used in investing activities attributable to T. Rowe Price Group during the first nine months of 2026 totaled $ 985.0 million, compared to $79.3 million during the 2025 period. The increase was primarily driven by net purchases of investments of $739.5 million in 2026 compared to net proceeds from the sale of investments of $241.9 million in 2025. Net cash used in other investing activities during 2026 decreased $69.3 million compared to the 2025 period. The 2026 amount reflects proceeds from the sale of certain buildings in our real estate portfolio. Additionally, our property and equipment expenditures decreased by $6.4 million compared to the 2025 period primarily driven by the completion of our corporate headquarters build out in 2025. We eliminate our capital in those investment products we consolidate in preparing our consolidated statements of cash flows. The remaining change in reported cash flows from investing activities of $34.4 million is primarily related to a reduction in the net cash removed from our unaudited consolidated balance sheet from consolidating and deconsolidating investment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cash used in financing activities attributable to T. Rowe Price Group during the first nine months of 2026 totaled $1,371.6 million compared to $1,315.7 million during the 2025 period. During the 2026 period, we used $500.9 million to repurchase 5.3 million shares compared to $481.8 million to repurchase 4.8 million shares during the 2025 period. Cash flows generated from common stock issued under stock compensation plans decreased by $30.7 million during the 2026 period compared to the 2025 period. Additionally, the $2.0 million decrease in dividends paid in 2026 was driven by a reduction in outstanding shares due to repurchases over the last 12 months, partially offset by a 2.4% increase in our quarterly dividend per share over prior year. The remaining change in reported cash flows from financing activities was primarily attributable to borrowings of debt of consolidated products of $403.9 million and a $263.2 million decrease in net subscriptions from redeemable non-controlling interest holders of our consolidated investment products during 2026.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 AND ESTIMATES.</w:t>
      </w:r>
    </w:p>
    <w:p>
      <w:pPr>
        <w:spacing w:after="0" w:line="25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consolidated balance sheets, the revenues and expenses in our unaudited consolidated statements of income, and the information that is contained in our significant accounting policies and notes to the unaudited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consolidated financial statements, significant accounting policies, and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2025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Basis of Preparation and Summary of Significant Accounting Policies</w:t>
      </w:r>
      <w:r>
        <w:rPr>
          <w:rFonts w:ascii="Arial" w:cs="Arial" w:eastAsia="Arial" w:hAnsi="Arial"/>
          <w:sz w:val="18"/>
          <w:szCs w:val="18"/>
          <w:color w:val="auto"/>
        </w:rPr>
        <w:t xml:space="preserve"> within Item 1. Financial Statements for a discussion of newly issued but not yet adopted accounting guidance.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our effective income tax rate; legal or regulatory developments; geopolitical instability; interest rates and currency fluctuations; and our expectations regarding financial markets, future transactions, dividends, stock repurchases, investments, new products and services, capital expenditures, changes in our effective fee rate, and other industry or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included in our Form 10-K Annual Report for 2025.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future revenues and results of operations will fluctuate primarily driven by changes in the total value and composition of assets under our management. Such changes result from many factors, including, among other things: client-related cash inflows and outflows in our products, performance fees, capital allocation-based income, fluctuations in global financial markets that result in appreciation or depreciation of the assets under our management, our introduction of new investment products, and changes in retirement savings trends relative to participant-directed investments and defined contribution plans.</w:t>
      </w:r>
    </w:p>
    <w:p>
      <w:pPr>
        <w:spacing w:after="0" w:line="19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ability to attract and retain investors’ assets under our management is dependent on investor sentiment and confidence; the relative investment performance of the T. Rowe Price mutual funds and other managed investment products compared to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and our ability to attract and retain key personnel. Our revenues are substantially dependent on fees earned under contracts with the T. Rowe Price funds and could be adversely affected if the independent</w:t>
      </w:r>
    </w:p>
    <w:p>
      <w:pPr>
        <w:spacing w:after="0" w:line="1"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directors of one or more of the T. Rowe Price funds terminated or significantly altered the terms of the investment management or related administrative services agreements. Non-operating investment income will also fluctuate primarily driven by the size of our investments,</w:t>
      </w:r>
    </w:p>
    <w:p>
      <w:pPr>
        <w:spacing w:after="0" w:line="1" w:lineRule="exact"/>
        <w:rPr>
          <w:sz w:val="20"/>
          <w:szCs w:val="20"/>
          <w:color w:val="auto"/>
        </w:rPr>
      </w:pPr>
    </w:p>
    <w:p>
      <w:pPr>
        <w:ind w:right="960"/>
        <w:spacing w:after="0" w:line="250" w:lineRule="auto"/>
        <w:rPr>
          <w:sz w:val="20"/>
          <w:szCs w:val="20"/>
          <w:color w:val="auto"/>
        </w:rPr>
      </w:pPr>
      <w:r>
        <w:rPr>
          <w:rFonts w:ascii="Arial" w:cs="Arial" w:eastAsia="Arial" w:hAnsi="Arial"/>
          <w:sz w:val="18"/>
          <w:szCs w:val="18"/>
          <w:color w:val="auto"/>
        </w:rPr>
        <w:t>changes in their market valuations, and any other-than-temporary impairments that may arise or, in the case of our equity method investments, our proportionate share of the investees’ net income.</w:t>
      </w:r>
    </w:p>
    <w:p>
      <w:pPr>
        <w:spacing w:after="0" w:line="19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driven by, among other things, bonuses, restricted stock units and other equity grants, other incentive awards, our supplemental savings plan, changes in our employee count and mix, and competitive factors; any goodwill, intangible asset or other asset impairments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products</w:t>
      </w:r>
    </w:p>
    <w:p>
      <w:pPr>
        <w:ind w:right="80"/>
        <w:spacing w:after="0" w:line="260" w:lineRule="auto"/>
        <w:rPr>
          <w:sz w:val="20"/>
          <w:szCs w:val="20"/>
          <w:color w:val="auto"/>
        </w:rPr>
      </w:pPr>
      <w:r>
        <w:rPr>
          <w:rFonts w:ascii="Arial" w:cs="Arial" w:eastAsia="Arial" w:hAnsi="Arial"/>
          <w:sz w:val="18"/>
          <w:szCs w:val="18"/>
          <w:color w:val="auto"/>
        </w:rPr>
        <w:t>recordkeeping, facilities, communications, power, and the mutual fund transfer agent and accounting systems, as a result of extreme events, cyberattacks or otherwise.</w:t>
      </w:r>
    </w:p>
    <w:p>
      <w:pPr>
        <w:spacing w:after="0" w:line="190"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investment products and investing in general or in particular classes of mutual funds or other investments.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our market risks from those provided in Item 7A of the Form 10-K Annual Report for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have evaluated the effectiveness of our disclosure controls and procedures at September 30, 2026. Based on that evaluation, our principal executive and principal financial officers have concluded that our disclosure controls and procedures at September 30, 2026,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12"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Our management, including our principal executive and principal financial officers, have evaluated any change in our internal control over financial reporting that occurred during the third quarter of 2026, and has concluded that there was no change during the third quarter of 2026 that has materially affected, or is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unaudited consolidated financial statements in Part I of this Form 10-Q.</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was no repurchase activity during the third quarter of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Maximum Number of Shares</w:t>
            </w:r>
          </w:p>
        </w:tc>
        <w:tc>
          <w:tcPr>
            <w:tcW w:w="2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4540" w:type="dxa"/>
            <w:vAlign w:val="bottom"/>
            <w:gridSpan w:val="2"/>
            <w:vMerge w:val="restart"/>
            <w:shd w:val="clear" w:color="auto" w:fill="CCEEFF"/>
          </w:tcPr>
          <w:p>
            <w:pPr>
              <w:ind w:left="1540"/>
              <w:spacing w:after="0"/>
              <w:rPr>
                <w:sz w:val="20"/>
                <w:szCs w:val="20"/>
                <w:color w:val="auto"/>
              </w:rPr>
            </w:pPr>
            <w:r>
              <w:rPr>
                <w:rFonts w:ascii="Arial" w:cs="Arial" w:eastAsia="Arial" w:hAnsi="Arial"/>
                <w:sz w:val="14"/>
                <w:szCs w:val="14"/>
                <w:b w:val="1"/>
                <w:bCs w:val="1"/>
                <w:color w:val="auto"/>
              </w:rPr>
              <w:t>Authorization Dates</w:t>
            </w:r>
          </w:p>
        </w:tc>
        <w:tc>
          <w:tcPr>
            <w:tcW w:w="22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rPr>
              <w:t>that May Yet Be Purchased at</w:t>
            </w:r>
          </w:p>
        </w:tc>
        <w:tc>
          <w:tcPr>
            <w:tcW w:w="2280" w:type="dxa"/>
            <w:vAlign w:val="bottom"/>
            <w:gridSpan w:val="2"/>
            <w:vMerge w:val="continue"/>
            <w:shd w:val="clear" w:color="auto" w:fill="CCEEFF"/>
          </w:tcPr>
          <w:p>
            <w:pPr>
              <w:spacing w:after="0"/>
              <w:rPr>
                <w:sz w:val="12"/>
                <w:szCs w:val="12"/>
                <w:color w:val="auto"/>
              </w:rPr>
            </w:pP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that May Yet Be Purchased at</w:t>
            </w:r>
          </w:p>
        </w:tc>
        <w:tc>
          <w:tcPr>
            <w:tcW w:w="0" w:type="dxa"/>
            <w:vAlign w:val="bottom"/>
          </w:tcPr>
          <w:p>
            <w:pPr>
              <w:spacing w:after="0"/>
              <w:rPr>
                <w:sz w:val="1"/>
                <w:szCs w:val="1"/>
                <w:color w:val="auto"/>
              </w:rPr>
            </w:pPr>
          </w:p>
        </w:tc>
      </w:tr>
      <w:tr>
        <w:trPr>
          <w:trHeight w:val="185"/>
        </w:trPr>
        <w:tc>
          <w:tcPr>
            <w:tcW w:w="4540" w:type="dxa"/>
            <w:vAlign w:val="bottom"/>
            <w:gridSpan w:val="2"/>
            <w:vMerge w:val="continue"/>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7/1/2026</w:t>
            </w:r>
          </w:p>
        </w:tc>
        <w:tc>
          <w:tcPr>
            <w:tcW w:w="100" w:type="dxa"/>
            <w:vAlign w:val="bottom"/>
            <w:shd w:val="clear" w:color="auto" w:fill="CCEEFF"/>
          </w:tcPr>
          <w:p>
            <w:pPr>
              <w:spacing w:after="0"/>
              <w:rPr>
                <w:sz w:val="16"/>
                <w:szCs w:val="16"/>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9/30/2026</w:t>
            </w:r>
          </w:p>
        </w:tc>
        <w:tc>
          <w:tcPr>
            <w:tcW w:w="0" w:type="dxa"/>
            <w:vAlign w:val="bottom"/>
          </w:tcPr>
          <w:p>
            <w:pPr>
              <w:spacing w:after="0"/>
              <w:rPr>
                <w:sz w:val="1"/>
                <w:szCs w:val="1"/>
                <w:color w:val="auto"/>
              </w:rPr>
            </w:pPr>
          </w:p>
        </w:tc>
      </w:tr>
      <w:tr>
        <w:trPr>
          <w:trHeight w:val="232"/>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December 2024</w:t>
            </w:r>
          </w:p>
        </w:tc>
        <w:tc>
          <w:tcPr>
            <w:tcW w:w="120" w:type="dxa"/>
            <w:vAlign w:val="bottom"/>
          </w:tcPr>
          <w:p>
            <w:pPr>
              <w:spacing w:after="0"/>
              <w:rPr>
                <w:sz w:val="20"/>
                <w:szCs w:val="20"/>
                <w:color w:val="auto"/>
              </w:rPr>
            </w:pPr>
          </w:p>
        </w:tc>
        <w:tc>
          <w:tcPr>
            <w:tcW w:w="21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6,934,990</w:t>
            </w:r>
          </w:p>
        </w:tc>
        <w:tc>
          <w:tcPr>
            <w:tcW w:w="100" w:type="dxa"/>
            <w:vAlign w:val="bottom"/>
          </w:tcPr>
          <w:p>
            <w:pPr>
              <w:spacing w:after="0"/>
              <w:rPr>
                <w:sz w:val="20"/>
                <w:szCs w:val="20"/>
                <w:color w:val="auto"/>
              </w:rPr>
            </w:pPr>
          </w:p>
        </w:tc>
        <w:tc>
          <w:tcPr>
            <w:tcW w:w="2180" w:type="dxa"/>
            <w:vAlign w:val="bottom"/>
            <w:tcBorders>
              <w:top w:val="single" w:sz="8" w:color="auto"/>
            </w:tcBorders>
          </w:tcPr>
          <w:p>
            <w:pPr>
              <w:ind w:left="1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6,934,990</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filed herewith, except for Exhibit 32 that is furnished herewith.</w:t>
      </w:r>
    </w:p>
    <w:p>
      <w:pPr>
        <w:sectPr>
          <w:pgSz w:w="11900" w:h="16838" w:orient="portrait"/>
          <w:cols w:equalWidth="0" w:num="1">
            <w:col w:w="11200"/>
          </w:cols>
          <w:pgMar w:left="320" w:top="890" w:right="379" w:bottom="1440" w:gutter="0" w:footer="0" w:header="0"/>
        </w:sectPr>
      </w:pP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3(ii)</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620"/>
        <w:spacing w:after="0"/>
        <w:rPr>
          <w:rFonts w:ascii="Arial" w:cs="Arial" w:eastAsia="Arial" w:hAnsi="Arial"/>
          <w:sz w:val="18"/>
          <w:szCs w:val="18"/>
          <w:color w:val="auto"/>
        </w:rPr>
      </w:pPr>
      <w:hyperlink r:id="rId80">
        <w:r>
          <w:rPr>
            <w:rFonts w:ascii="Arial" w:cs="Arial" w:eastAsia="Arial" w:hAnsi="Arial"/>
            <w:sz w:val="18"/>
            <w:szCs w:val="18"/>
            <w:color w:val="auto"/>
          </w:rPr>
          <w:t>Charter of T. Rowe Price Group, Inc., as reflected by Articles of Restatement dated June 20, 2018. (Incorporated by</w:t>
        </w:r>
      </w:hyperlink>
      <w:r>
        <w:rPr>
          <w:rFonts w:ascii="Arial" w:cs="Arial" w:eastAsia="Arial" w:hAnsi="Arial"/>
          <w:sz w:val="18"/>
          <w:szCs w:val="18"/>
          <w:color w:val="auto"/>
        </w:rPr>
        <w:t xml:space="preserve"> </w:t>
      </w:r>
      <w:hyperlink r:id="rId80">
        <w:r>
          <w:rPr>
            <w:rFonts w:ascii="Arial" w:cs="Arial" w:eastAsia="Arial" w:hAnsi="Arial"/>
            <w:sz w:val="18"/>
            <w:szCs w:val="18"/>
            <w:color w:val="auto"/>
          </w:rPr>
          <w:t>reference from Form 10-Q Quarterly Report filed on July 25, 2018.)</w:t>
        </w:r>
      </w:hyperlink>
    </w:p>
    <w:p>
      <w:pPr>
        <w:spacing w:after="0" w:line="59" w:lineRule="exact"/>
        <w:rPr>
          <w:sz w:val="20"/>
          <w:szCs w:val="20"/>
          <w:color w:val="auto"/>
        </w:rPr>
      </w:pPr>
    </w:p>
    <w:p>
      <w:pPr>
        <w:ind w:right="380"/>
        <w:spacing w:after="0"/>
        <w:rPr>
          <w:rFonts w:ascii="Arial" w:cs="Arial" w:eastAsia="Arial" w:hAnsi="Arial"/>
          <w:sz w:val="18"/>
          <w:szCs w:val="18"/>
          <w:color w:val="auto"/>
        </w:rPr>
      </w:pPr>
      <w:hyperlink r:id="rId81">
        <w:r>
          <w:rPr>
            <w:rFonts w:ascii="Arial" w:cs="Arial" w:eastAsia="Arial" w:hAnsi="Arial"/>
            <w:sz w:val="18"/>
            <w:szCs w:val="18"/>
            <w:color w:val="auto"/>
          </w:rPr>
          <w:t>Amended and Restated By-Laws of T. Rowe Price Group, Inc. as of February 9, 2021. (Incorporated by reference from</w:t>
        </w:r>
      </w:hyperlink>
      <w:r>
        <w:rPr>
          <w:rFonts w:ascii="Arial" w:cs="Arial" w:eastAsia="Arial" w:hAnsi="Arial"/>
          <w:sz w:val="18"/>
          <w:szCs w:val="18"/>
          <w:color w:val="auto"/>
        </w:rPr>
        <w:t xml:space="preserve"> </w:t>
      </w:r>
      <w:hyperlink r:id="rId81">
        <w:r>
          <w:rPr>
            <w:rFonts w:ascii="Arial" w:cs="Arial" w:eastAsia="Arial" w:hAnsi="Arial"/>
            <w:sz w:val="18"/>
            <w:szCs w:val="18"/>
            <w:color w:val="auto"/>
          </w:rPr>
          <w:t>Form 10-K Annual Report filed on February 11, 2021.)</w:t>
        </w:r>
      </w:hyperlink>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Report from KPMG LLP, independent registered public accounting firm, re unaudited interim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consolidated interim financial statements and notes that are included in this Form 10-Q Quarterly Report.</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760" w:space="640"/>
            <w:col w:w="9800"/>
          </w:cols>
          <w:pgMar w:left="320" w:top="890" w:right="37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46" w:name="page47"/>
    <w:bookmarkEnd w:id="46"/>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29, 2026.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120"/>
          </w:cols>
          <w:pgMar w:left="320" w:top="890"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EXHIBIT 15</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October 29,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MD</w:t>
      </w:r>
    </w:p>
    <w:p>
      <w:pPr>
        <w:spacing w:after="0" w:line="200" w:lineRule="exact"/>
        <w:rPr>
          <w:sz w:val="20"/>
          <w:szCs w:val="20"/>
          <w:color w:val="auto"/>
        </w:rPr>
      </w:pPr>
    </w:p>
    <w:p>
      <w:pPr>
        <w:spacing w:after="0" w:line="27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Re: Registration Statements No. 033-7012, No. 333-59714, No. 333-120882, No. 333-120883, No. 333-142092, No. 333-167317, No. 333-180904, No. 333-199560, No. 333-212705, No. 333-217483, No. 333-238319, and No. 333-273601</w:t>
      </w:r>
    </w:p>
    <w:p>
      <w:pPr>
        <w:spacing w:after="0" w:line="18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29, 2026 related to our review of interim financial information.</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890" w:right="339" w:bottom="1440" w:gutter="0" w:footer="0" w:header="0"/>
        </w:sectPr>
      </w:pPr>
    </w:p>
    <w:bookmarkStart w:id="48" w:name="page49"/>
    <w:bookmarkEnd w:id="48"/>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Robert W. Sharps,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September 30, 2026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October 29,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Chair and Chief Executive Officer</w:t>
      </w:r>
    </w:p>
    <w:p>
      <w:pPr>
        <w:sectPr>
          <w:pgSz w:w="11900" w:h="16838" w:orient="portrait"/>
          <w:cols w:equalWidth="0" w:num="1">
            <w:col w:w="11220"/>
          </w:cols>
          <w:pgMar w:left="320" w:top="985" w:right="359" w:bottom="1440" w:gutter="0" w:footer="0" w:header="0"/>
        </w:sectPr>
      </w:pPr>
    </w:p>
    <w:bookmarkStart w:id="49" w:name="page50"/>
    <w:bookmarkEnd w:id="49"/>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September 30, 2026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October 29,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985" w:right="359" w:bottom="1440" w:gutter="0" w:footer="0" w:header="0"/>
        </w:sectPr>
      </w:pPr>
    </w:p>
    <w:bookmarkStart w:id="50" w:name="page51"/>
    <w:bookmarkEnd w:id="50"/>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of T. Rowe Price Group, Inc., that:</w:t>
      </w:r>
    </w:p>
    <w:p>
      <w:pPr>
        <w:spacing w:after="0" w:line="86" w:lineRule="exact"/>
        <w:rPr>
          <w:sz w:val="20"/>
          <w:szCs w:val="20"/>
          <w:color w:val="auto"/>
        </w:rPr>
      </w:pPr>
    </w:p>
    <w:p>
      <w:pPr>
        <w:ind w:right="620" w:firstLine="8"/>
        <w:spacing w:after="0" w:line="287"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7" w:lineRule="exact"/>
        <w:rPr>
          <w:rFonts w:ascii="Arial" w:cs="Arial" w:eastAsia="Arial" w:hAnsi="Arial"/>
          <w:sz w:val="18"/>
          <w:szCs w:val="18"/>
          <w:color w:val="auto"/>
        </w:rPr>
      </w:pPr>
    </w:p>
    <w:p>
      <w:pPr>
        <w:ind w:firstLine="8"/>
        <w:spacing w:after="0" w:line="287"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October 29, 2026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Chair and 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160"/>
      </w:cols>
      <w:pgMar w:left="320" w:top="98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lvl w:ilvl="1">
      <w:lvlJc w:val="left"/>
      <w:lvlText w:val="%2"/>
      <w:numFmt w:val="upperLetter"/>
      <w:start w:val="1"/>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3"/>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2" Type="http://schemas.openxmlformats.org/officeDocument/2006/relationships/image" Target="media/image73.png"/><Relationship Id="rId80" Type="http://schemas.openxmlformats.org/officeDocument/2006/relationships/hyperlink" Target="https://www.sec.gov/Archives/edgar/data/1113169/000111316918000018/articlesofrestatementfin.htm" TargetMode="External"/><Relationship Id="rId81" Type="http://schemas.openxmlformats.org/officeDocument/2006/relationships/hyperlink" Target="https://www.sec.gov/Archives/edgar/data/1113169/000111316921000006/exhibit3-1trpg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2026-10-29T13:01:20Z</dcterms:created>
  <dcterms:modified xsi:type="dcterms:W3CDTF">2026-10-29T13:01:20Z</dcterms:modified>
</cp:coreProperties>
</file>