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ANNUAL REPORT PURSUANT TO SECTION 13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000-32191</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25"/>
                <w:szCs w:val="25"/>
                <w:b w:val="1"/>
                <w:bCs w:val="1"/>
                <w:color w:val="auto"/>
                <w:w w:val="99"/>
              </w:rPr>
              <w:t>T. ROWE PRICE GROUP, INC.</w:t>
            </w:r>
          </w:p>
        </w:tc>
        <w:tc>
          <w:tcPr>
            <w:tcW w:w="114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20" w:type="dxa"/>
            <w:vAlign w:val="bottom"/>
            <w:gridSpan w:val="9"/>
          </w:tcPr>
          <w:p>
            <w:pPr>
              <w:jc w:val="center"/>
              <w:ind w:right="980"/>
              <w:spacing w:after="0"/>
              <w:rPr>
                <w:sz w:val="20"/>
                <w:szCs w:val="20"/>
                <w:color w:val="auto"/>
              </w:rPr>
            </w:pPr>
            <w:r>
              <w:rPr>
                <w:rFonts w:ascii="Arial" w:cs="Arial" w:eastAsia="Arial" w:hAnsi="Arial"/>
                <w:sz w:val="18"/>
                <w:szCs w:val="18"/>
                <w:color w:val="auto"/>
                <w:w w:val="90"/>
              </w:rPr>
              <w:t>(Exact name of registrant as specified in its charter)</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392"/>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2020" w:type="dxa"/>
            <w:vAlign w:val="bottom"/>
            <w:gridSpan w:val="4"/>
          </w:tcPr>
          <w:p>
            <w:pPr>
              <w:spacing w:after="0"/>
              <w:rPr>
                <w:sz w:val="24"/>
                <w:szCs w:val="24"/>
                <w:color w:val="auto"/>
              </w:rPr>
            </w:pPr>
          </w:p>
        </w:tc>
        <w:tc>
          <w:tcPr>
            <w:tcW w:w="436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52-2264646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2"/>
              </w:rPr>
              <w:t>State of incorporation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jc w:val="center"/>
              <w:ind w:right="320"/>
              <w:spacing w:after="0"/>
              <w:rPr>
                <w:sz w:val="20"/>
                <w:szCs w:val="20"/>
                <w:color w:val="auto"/>
              </w:rPr>
            </w:pPr>
            <w:r>
              <w:rPr>
                <w:rFonts w:ascii="Arial" w:cs="Arial" w:eastAsia="Arial" w:hAnsi="Arial"/>
                <w:sz w:val="18"/>
                <w:szCs w:val="18"/>
                <w:color w:val="auto"/>
                <w:w w:val="94"/>
              </w:rPr>
              <w:t>IRS Employer Identification No.</w:t>
            </w:r>
          </w:p>
        </w:tc>
      </w:tr>
      <w:tr>
        <w:trPr>
          <w:trHeight w:val="257"/>
        </w:trPr>
        <w:tc>
          <w:tcPr>
            <w:tcW w:w="1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92"/>
              </w:rPr>
              <w:t>100 East Pratt Street, Baltimore, Maryland 21202</w:t>
            </w: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
        </w:trPr>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80" w:type="dxa"/>
            <w:vAlign w:val="bottom"/>
            <w:gridSpan w:val="10"/>
          </w:tcPr>
          <w:p>
            <w:pPr>
              <w:jc w:val="center"/>
              <w:ind w:right="320"/>
              <w:spacing w:after="0"/>
              <w:rPr>
                <w:sz w:val="20"/>
                <w:szCs w:val="20"/>
                <w:color w:val="auto"/>
              </w:rPr>
            </w:pPr>
            <w:r>
              <w:rPr>
                <w:rFonts w:ascii="Arial" w:cs="Arial" w:eastAsia="Arial" w:hAnsi="Arial"/>
                <w:sz w:val="18"/>
                <w:szCs w:val="18"/>
                <w:color w:val="auto"/>
                <w:w w:val="92"/>
              </w:rPr>
              <w:t>Address, including zip code, of principal executive offices</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(410) 345-2000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20" w:type="dxa"/>
            <w:vAlign w:val="bottom"/>
            <w:gridSpan w:val="9"/>
          </w:tcPr>
          <w:p>
            <w:pPr>
              <w:jc w:val="center"/>
              <w:ind w:right="1000"/>
              <w:spacing w:after="0"/>
              <w:rPr>
                <w:sz w:val="20"/>
                <w:szCs w:val="20"/>
                <w:color w:val="auto"/>
              </w:rPr>
            </w:pPr>
            <w:r>
              <w:rPr>
                <w:rFonts w:ascii="Arial" w:cs="Arial" w:eastAsia="Arial" w:hAnsi="Arial"/>
                <w:sz w:val="18"/>
                <w:szCs w:val="18"/>
                <w:color w:val="auto"/>
                <w:w w:val="89"/>
              </w:rPr>
              <w:t>Registrant’s telephone number, including area code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92"/>
        </w:trPr>
        <w:tc>
          <w:tcPr>
            <w:tcW w:w="1200" w:type="dxa"/>
            <w:vAlign w:val="bottom"/>
          </w:tcPr>
          <w:p>
            <w:pPr>
              <w:spacing w:after="0"/>
              <w:rPr>
                <w:sz w:val="24"/>
                <w:szCs w:val="2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Common stock, $.20 par value per share</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160" w:type="dxa"/>
            <w:vAlign w:val="bottom"/>
          </w:tcPr>
          <w:p>
            <w:pPr>
              <w:spacing w:after="0"/>
              <w:rPr>
                <w:sz w:val="24"/>
                <w:szCs w:val="24"/>
                <w:color w:val="auto"/>
              </w:rPr>
            </w:pPr>
          </w:p>
        </w:tc>
      </w:tr>
      <w:tr>
        <w:trPr>
          <w:trHeight w:val="291"/>
        </w:trPr>
        <w:tc>
          <w:tcPr>
            <w:tcW w:w="1200" w:type="dxa"/>
            <w:vAlign w:val="bottom"/>
          </w:tcPr>
          <w:p>
            <w:pPr>
              <w:spacing w:after="0"/>
              <w:rPr>
                <w:sz w:val="24"/>
                <w:szCs w:val="24"/>
                <w:color w:val="auto"/>
              </w:rPr>
            </w:pPr>
          </w:p>
        </w:tc>
        <w:tc>
          <w:tcPr>
            <w:tcW w:w="3960" w:type="dxa"/>
            <w:vAlign w:val="bottom"/>
            <w:gridSpan w:val="6"/>
          </w:tcPr>
          <w:p>
            <w:pPr>
              <w:jc w:val="center"/>
              <w:ind w:right="860"/>
              <w:spacing w:after="0"/>
              <w:rPr>
                <w:sz w:val="20"/>
                <w:szCs w:val="20"/>
                <w:color w:val="auto"/>
              </w:rPr>
            </w:pPr>
            <w:r>
              <w:rPr>
                <w:rFonts w:ascii="Arial" w:cs="Arial" w:eastAsia="Arial" w:hAnsi="Arial"/>
                <w:sz w:val="18"/>
                <w:szCs w:val="18"/>
                <w:color w:val="auto"/>
                <w:w w:val="94"/>
              </w:rPr>
              <w:t>(Title of class)</w:t>
            </w:r>
          </w:p>
        </w:tc>
        <w:tc>
          <w:tcPr>
            <w:tcW w:w="1120" w:type="dxa"/>
            <w:vAlign w:val="bottom"/>
          </w:tcPr>
          <w:p>
            <w:pPr>
              <w:spacing w:after="0"/>
              <w:rPr>
                <w:sz w:val="24"/>
                <w:szCs w:val="24"/>
                <w:color w:val="auto"/>
              </w:rPr>
            </w:pPr>
          </w:p>
        </w:tc>
        <w:tc>
          <w:tcPr>
            <w:tcW w:w="3880" w:type="dxa"/>
            <w:vAlign w:val="bottom"/>
            <w:gridSpan w:val="9"/>
          </w:tcPr>
          <w:p>
            <w:pPr>
              <w:jc w:val="center"/>
              <w:ind w:left="850"/>
              <w:spacing w:after="0"/>
              <w:rPr>
                <w:sz w:val="20"/>
                <w:szCs w:val="20"/>
                <w:color w:val="auto"/>
              </w:rPr>
            </w:pPr>
            <w:r>
              <w:rPr>
                <w:rFonts w:ascii="Arial" w:cs="Arial" w:eastAsia="Arial" w:hAnsi="Arial"/>
                <w:sz w:val="18"/>
                <w:szCs w:val="18"/>
                <w:color w:val="auto"/>
                <w:w w:val="90"/>
              </w:rPr>
              <w:t>(Name of exchange on which registered)</w:t>
            </w:r>
          </w:p>
        </w:tc>
      </w:tr>
      <w:tr>
        <w:trPr>
          <w:trHeight w:val="297"/>
        </w:trPr>
        <w:tc>
          <w:tcPr>
            <w:tcW w:w="8620" w:type="dxa"/>
            <w:vAlign w:val="bottom"/>
            <w:gridSpan w:val="13"/>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[X] Yes  </w:t>
            </w:r>
            <w:r>
              <w:rPr>
                <w:rFonts w:ascii="Arial" w:cs="Arial" w:eastAsia="Arial" w:hAnsi="Arial"/>
                <w:sz w:val="18"/>
                <w:szCs w:val="18"/>
                <w:color w:val="auto"/>
              </w:rPr>
              <w:t>[</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 No</w:t>
            </w:r>
          </w:p>
        </w:tc>
      </w:tr>
      <w:tr>
        <w:trPr>
          <w:trHeight w:val="324"/>
        </w:trPr>
        <w:tc>
          <w:tcPr>
            <w:tcW w:w="8620" w:type="dxa"/>
            <w:vAlign w:val="bottom"/>
            <w:gridSpan w:val="1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  ] Yes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[X] No</w:t>
            </w:r>
          </w:p>
        </w:tc>
      </w:tr>
    </w:tbl>
    <w:p>
      <w:pPr>
        <w:spacing w:after="0" w:line="94"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8"/>
          <w:szCs w:val="18"/>
          <w:b w:val="1"/>
          <w:bCs w:val="1"/>
          <w:color w:val="auto"/>
        </w:rPr>
        <w:t>[X] Yes</w:t>
      </w:r>
      <w:r>
        <w:rPr>
          <w:rFonts w:ascii="Arial" w:cs="Arial" w:eastAsia="Arial" w:hAnsi="Arial"/>
          <w:sz w:val="18"/>
          <w:szCs w:val="18"/>
          <w:color w:val="auto"/>
        </w:rPr>
        <w:t xml:space="preserve"> [ ] No</w:t>
      </w:r>
    </w:p>
    <w:p>
      <w:pPr>
        <w:spacing w:after="0" w:line="6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sectPr>
      </w:pPr>
    </w:p>
    <w:p>
      <w:pPr>
        <w:spacing w:after="0" w:line="8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63" w:lineRule="exact"/>
        <w:rPr>
          <w:sz w:val="24"/>
          <w:szCs w:val="24"/>
          <w:color w:val="auto"/>
        </w:rPr>
      </w:pPr>
    </w:p>
    <w:p>
      <w:pPr>
        <w:sectPr>
          <w:pgSz w:w="11900" w:h="16838" w:orient="portrait"/>
          <w:cols w:equalWidth="0" w:num="4">
            <w:col w:w="2700" w:space="720"/>
            <w:col w:w="3200" w:space="720"/>
            <w:col w:w="2520" w:space="720"/>
            <w:col w:w="780"/>
          </w:cols>
          <w:pgMar w:left="240" w:top="233"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16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86" w:lineRule="exact"/>
        <w:rPr>
          <w:sz w:val="24"/>
          <w:szCs w:val="24"/>
          <w:color w:val="auto"/>
        </w:rPr>
      </w:pPr>
    </w:p>
    <w:p>
      <w:pPr>
        <w:sectPr>
          <w:pgSz w:w="11900" w:h="16838" w:orient="portrait"/>
          <w:cols w:equalWidth="0" w:num="4">
            <w:col w:w="2700" w:space="720"/>
            <w:col w:w="3200" w:space="720"/>
            <w:col w:w="2520" w:space="720"/>
            <w:col w:w="780"/>
          </w:cols>
          <w:pgMar w:left="240" w:top="233" w:right="29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tabs>
          <w:tab w:leader="none" w:pos="100" w:val="left"/>
        </w:tabs>
        <w:rPr>
          <w:sz w:val="20"/>
          <w:szCs w:val="20"/>
          <w:color w:val="auto"/>
        </w:rPr>
      </w:pPr>
      <w:r>
        <w:rPr>
          <w:rFonts w:ascii="Arial" w:cs="Arial" w:eastAsia="Arial" w:hAnsi="Arial"/>
          <w:sz w:val="18"/>
          <w:szCs w:val="18"/>
          <w:color w:val="auto"/>
        </w:rPr>
        <w:t>[</w:t>
        <w:tab/>
        <w:t>]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[X] No</w:t>
      </w:r>
    </w:p>
    <w:p>
      <w:pPr>
        <w:spacing w:after="0" w:line="121" w:lineRule="exact"/>
        <w:rPr>
          <w:sz w:val="24"/>
          <w:szCs w:val="24"/>
          <w:color w:val="auto"/>
        </w:rPr>
      </w:pPr>
    </w:p>
    <w:p>
      <w:pPr>
        <w:sectPr>
          <w:pgSz w:w="11900" w:h="16838" w:orient="portrait"/>
          <w:cols w:equalWidth="0" w:num="3">
            <w:col w:w="7440" w:space="180"/>
            <w:col w:w="600" w:space="180"/>
            <w:col w:w="2960"/>
          </w:cols>
          <w:pgMar w:left="240" w:top="233" w:right="299" w:bottom="1440" w:gutter="0" w:footer="0" w:header="0"/>
          <w:type w:val="continuous"/>
        </w:sectPr>
      </w:pPr>
    </w:p>
    <w:p>
      <w:pPr>
        <w:jc w:val="both"/>
        <w:ind w:right="440"/>
        <w:spacing w:after="0" w:line="264" w:lineRule="auto"/>
        <w:rPr>
          <w:sz w:val="20"/>
          <w:szCs w:val="20"/>
          <w:color w:val="auto"/>
        </w:rPr>
      </w:pPr>
      <w:r>
        <w:rPr>
          <w:rFonts w:ascii="Arial" w:cs="Arial" w:eastAsia="Arial" w:hAnsi="Arial"/>
          <w:sz w:val="18"/>
          <w:szCs w:val="18"/>
          <w:color w:val="auto"/>
        </w:rPr>
        <w:t>The aggregate market value of the common equity (all voting) held by non-affiliates (excludes current executive officers and directors) computed using $84.41 per share (the NASDAQ Official Closing Price on June 30, 2014, the last business day of the registrant’s most recently completed second fiscal quarter) was $21.6 billion.</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the latest practicable date, February 3, 2015, is 260,726,853.</w:t>
      </w:r>
    </w:p>
    <w:p>
      <w:pPr>
        <w:spacing w:after="0" w:line="11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2015 Annual Meeting of Stockholders to be filed pursuant to Regulation 14A.</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57.</w:t>
      </w:r>
    </w:p>
    <w:p>
      <w:pPr>
        <w:sectPr>
          <w:pgSz w:w="11900" w:h="16838" w:orient="portrait"/>
          <w:cols w:equalWidth="0" w:num="1">
            <w:col w:w="11360"/>
          </w:cols>
          <w:pgMar w:left="240" w:top="23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00" w:type="dxa"/>
            <w:vAlign w:val="bottom"/>
            <w:gridSpan w:val="31"/>
          </w:tcPr>
          <w:p>
            <w:pPr>
              <w:spacing w:after="0"/>
              <w:rPr>
                <w:rFonts w:ascii="Arial" w:cs="Arial" w:eastAsia="Arial" w:hAnsi="Arial"/>
                <w:sz w:val="18"/>
                <w:szCs w:val="18"/>
                <w:color w:val="661DE8"/>
              </w:rPr>
            </w:pPr>
            <w:hyperlink w:anchor="page1">
              <w:r>
                <w:rPr>
                  <w:rFonts w:ascii="Arial" w:cs="Arial" w:eastAsia="Arial" w:hAnsi="Arial"/>
                  <w:sz w:val="18"/>
                  <w:szCs w:val="18"/>
                  <w:color w:val="661DE8"/>
                </w:rPr>
                <w:t>Table of Contents</w:t>
              </w:r>
            </w:hyperlink>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1"/>
        </w:trPr>
        <w:tc>
          <w:tcPr>
            <w:tcW w:w="40" w:type="dxa"/>
            <w:vAlign w:val="bottom"/>
            <w:tcBorders>
              <w:top w:val="single" w:sz="8" w:color="661DE8"/>
            </w:tcBorders>
          </w:tcPr>
          <w:p>
            <w:pPr>
              <w:spacing w:after="0"/>
              <w:rPr>
                <w:sz w:val="24"/>
                <w:szCs w:val="24"/>
                <w:color w:val="auto"/>
              </w:rPr>
            </w:pPr>
          </w:p>
        </w:tc>
        <w:tc>
          <w:tcPr>
            <w:tcW w:w="1100" w:type="dxa"/>
            <w:vAlign w:val="bottom"/>
            <w:tcBorders>
              <w:top w:val="single" w:sz="8" w:color="661DE8"/>
            </w:tcBorders>
          </w:tcPr>
          <w:p>
            <w:pPr>
              <w:spacing w:after="0"/>
              <w:rPr>
                <w:sz w:val="24"/>
                <w:szCs w:val="24"/>
                <w:color w:val="auto"/>
              </w:rPr>
            </w:pPr>
          </w:p>
        </w:tc>
        <w:tc>
          <w:tcPr>
            <w:tcW w:w="40" w:type="dxa"/>
            <w:vAlign w:val="bottom"/>
            <w:tcBorders>
              <w:top w:val="single" w:sz="8" w:color="661DE8"/>
            </w:tcBorders>
          </w:tcPr>
          <w:p>
            <w:pPr>
              <w:spacing w:after="0"/>
              <w:rPr>
                <w:sz w:val="24"/>
                <w:szCs w:val="24"/>
                <w:color w:val="auto"/>
              </w:rPr>
            </w:pPr>
          </w:p>
        </w:tc>
        <w:tc>
          <w:tcPr>
            <w:tcW w:w="100" w:type="dxa"/>
            <w:vAlign w:val="bottom"/>
            <w:tcBorders>
              <w:top w:val="single" w:sz="8" w:color="661DE8"/>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gridSpan w:val="11"/>
          </w:tcPr>
          <w:p>
            <w:pPr>
              <w:jc w:val="center"/>
              <w:ind w:right="4120"/>
              <w:spacing w:after="0"/>
              <w:rPr>
                <w:rFonts w:ascii="Arial" w:cs="Arial" w:eastAsia="Arial" w:hAnsi="Arial"/>
                <w:sz w:val="18"/>
                <w:szCs w:val="18"/>
                <w:color w:val="auto"/>
                <w:w w:val="92"/>
              </w:rPr>
            </w:pPr>
            <w:hyperlink w:anchor="page2">
              <w:r>
                <w:rPr>
                  <w:rFonts w:ascii="Arial" w:cs="Arial" w:eastAsia="Arial" w:hAnsi="Arial"/>
                  <w:sz w:val="18"/>
                  <w:szCs w:val="18"/>
                  <w:color w:val="auto"/>
                  <w:w w:val="92"/>
                </w:rPr>
                <w:t>PART I</w:t>
              </w:r>
            </w:hyperlink>
          </w:p>
        </w:tc>
        <w:tc>
          <w:tcPr>
            <w:tcW w:w="840" w:type="dxa"/>
            <w:vAlign w:val="bottom"/>
          </w:tcPr>
          <w:p>
            <w:pPr>
              <w:spacing w:after="0"/>
              <w:rPr>
                <w:sz w:val="21"/>
                <w:szCs w:val="21"/>
                <w:color w:val="auto"/>
              </w:rPr>
            </w:pPr>
          </w:p>
        </w:tc>
        <w:tc>
          <w:tcPr>
            <w:tcW w:w="460" w:type="dxa"/>
            <w:vAlign w:val="bottom"/>
            <w:tcBorders>
              <w:top w:val="single" w:sz="8" w:color="auto"/>
            </w:tcBorders>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2</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gridSpan w:val="18"/>
          </w:tcPr>
          <w:p>
            <w:pPr>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540" w:type="dxa"/>
            <w:vAlign w:val="bottom"/>
            <w:tcBorders>
              <w:top w:val="single" w:sz="8" w:color="auto"/>
            </w:tcBorders>
            <w:gridSpan w:val="2"/>
          </w:tcPr>
          <w:p>
            <w:pPr>
              <w:spacing w:after="0"/>
              <w:rPr>
                <w:sz w:val="21"/>
                <w:szCs w:val="21"/>
                <w:color w:val="auto"/>
              </w:rPr>
            </w:pPr>
          </w:p>
        </w:tc>
        <w:tc>
          <w:tcPr>
            <w:tcW w:w="4160" w:type="dxa"/>
            <w:vAlign w:val="bottom"/>
            <w:gridSpan w:val="8"/>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28"/>
          </w:tcPr>
          <w:p>
            <w:pPr>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1300" w:type="dxa"/>
            <w:vAlign w:val="bottom"/>
            <w:gridSpan w:val="2"/>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8"/>
          </w:tcPr>
          <w:p>
            <w:pPr>
              <w:spacing w:after="0"/>
              <w:rPr>
                <w:rFonts w:ascii="Arial" w:cs="Arial" w:eastAsia="Arial" w:hAnsi="Arial"/>
                <w:sz w:val="18"/>
                <w:szCs w:val="18"/>
                <w:color w:val="auto"/>
              </w:rPr>
            </w:pPr>
            <w:hyperlink w:anchor="page19">
              <w:r>
                <w:rPr>
                  <w:rFonts w:ascii="Arial" w:cs="Arial" w:eastAsia="Arial" w:hAnsi="Arial"/>
                  <w:sz w:val="18"/>
                  <w:szCs w:val="18"/>
                  <w:color w:val="auto"/>
                </w:rPr>
                <w:t>Unresolved Staff Comments</w:t>
              </w:r>
            </w:hyperlink>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auto"/>
              <w:bottom w:val="single" w:sz="8" w:color="auto"/>
            </w:tcBorders>
            <w:gridSpan w:val="3"/>
          </w:tcPr>
          <w:p>
            <w:pPr>
              <w:spacing w:after="0"/>
              <w:rPr>
                <w:rFonts w:ascii="Arial" w:cs="Arial" w:eastAsia="Arial" w:hAnsi="Arial"/>
                <w:sz w:val="18"/>
                <w:szCs w:val="18"/>
                <w:color w:val="auto"/>
                <w:w w:val="87"/>
              </w:rPr>
            </w:pPr>
            <w:hyperlink w:anchor="page19">
              <w:r>
                <w:rPr>
                  <w:rFonts w:ascii="Arial" w:cs="Arial" w:eastAsia="Arial" w:hAnsi="Arial"/>
                  <w:sz w:val="18"/>
                  <w:szCs w:val="18"/>
                  <w:color w:val="auto"/>
                  <w:w w:val="87"/>
                </w:rPr>
                <w:t>Properties</w:t>
              </w:r>
            </w:hyperlink>
          </w:p>
        </w:tc>
        <w:tc>
          <w:tcPr>
            <w:tcW w:w="1300" w:type="dxa"/>
            <w:vAlign w:val="bottom"/>
            <w:tcBorders>
              <w:top w:val="single" w:sz="8" w:color="auto"/>
            </w:tcBorders>
            <w:gridSpan w:val="7"/>
          </w:tcPr>
          <w:p>
            <w:pPr>
              <w:spacing w:after="0"/>
              <w:rPr>
                <w:sz w:val="21"/>
                <w:szCs w:val="21"/>
                <w:color w:val="auto"/>
              </w:rPr>
            </w:pPr>
          </w:p>
        </w:tc>
        <w:tc>
          <w:tcPr>
            <w:tcW w:w="6880" w:type="dxa"/>
            <w:vAlign w:val="bottom"/>
            <w:gridSpan w:val="18"/>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6"/>
          </w:tcPr>
          <w:p>
            <w:pPr>
              <w:spacing w:after="0"/>
              <w:rPr>
                <w:rFonts w:ascii="Arial" w:cs="Arial" w:eastAsia="Arial" w:hAnsi="Arial"/>
                <w:sz w:val="18"/>
                <w:szCs w:val="18"/>
                <w:color w:val="auto"/>
                <w:w w:val="88"/>
              </w:rPr>
            </w:pPr>
            <w:hyperlink w:anchor="page19">
              <w:r>
                <w:rPr>
                  <w:rFonts w:ascii="Arial" w:cs="Arial" w:eastAsia="Arial" w:hAnsi="Arial"/>
                  <w:sz w:val="18"/>
                  <w:szCs w:val="18"/>
                  <w:color w:val="auto"/>
                  <w:w w:val="88"/>
                </w:rPr>
                <w:t>Legal Proceedings</w:t>
              </w:r>
            </w:hyperlink>
          </w:p>
        </w:tc>
        <w:tc>
          <w:tcPr>
            <w:tcW w:w="7580" w:type="dxa"/>
            <w:vAlign w:val="bottom"/>
            <w:gridSpan w:val="2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auto"/>
            </w:tcBorders>
            <w:gridSpan w:val="8"/>
          </w:tcPr>
          <w:p>
            <w:pPr>
              <w:spacing w:after="0"/>
              <w:rPr>
                <w:rFonts w:ascii="Arial" w:cs="Arial" w:eastAsia="Arial" w:hAnsi="Arial"/>
                <w:sz w:val="18"/>
                <w:szCs w:val="18"/>
                <w:color w:val="auto"/>
                <w:w w:val="91"/>
              </w:rPr>
            </w:pPr>
            <w:hyperlink w:anchor="page19">
              <w:r>
                <w:rPr>
                  <w:rFonts w:ascii="Arial" w:cs="Arial" w:eastAsia="Arial" w:hAnsi="Arial"/>
                  <w:sz w:val="18"/>
                  <w:szCs w:val="18"/>
                  <w:color w:val="auto"/>
                  <w:w w:val="91"/>
                </w:rPr>
                <w:t>Mine Safety Disclosures</w:t>
              </w:r>
            </w:hyperlink>
          </w:p>
        </w:tc>
        <w:tc>
          <w:tcPr>
            <w:tcW w:w="7140" w:type="dxa"/>
            <w:vAlign w:val="bottom"/>
            <w:gridSpan w:val="20"/>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w:t>
            </w:r>
          </w:p>
        </w:tc>
        <w:tc>
          <w:tcPr>
            <w:tcW w:w="8920" w:type="dxa"/>
            <w:vAlign w:val="bottom"/>
            <w:gridSpan w:val="28"/>
          </w:tcPr>
          <w:p>
            <w:pPr>
              <w:spacing w:after="0"/>
              <w:rPr>
                <w:rFonts w:ascii="Arial" w:cs="Arial" w:eastAsia="Arial" w:hAnsi="Arial"/>
                <w:sz w:val="18"/>
                <w:szCs w:val="18"/>
                <w:color w:val="auto"/>
              </w:rPr>
            </w:pPr>
            <w:hyperlink w:anchor="page19">
              <w:r>
                <w:rPr>
                  <w:rFonts w:ascii="Arial" w:cs="Arial" w:eastAsia="Arial" w:hAnsi="Arial"/>
                  <w:sz w:val="18"/>
                  <w:szCs w:val="18"/>
                  <w:color w:val="auto"/>
                </w:rPr>
                <w:t>Executive Officers of the Registrant</w:t>
              </w:r>
            </w:hyperlink>
          </w:p>
        </w:tc>
        <w:tc>
          <w:tcPr>
            <w:tcW w:w="130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57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1"/>
          </w:tcPr>
          <w:p>
            <w:pPr>
              <w:jc w:val="center"/>
              <w:ind w:right="4140"/>
              <w:spacing w:after="0"/>
              <w:rPr>
                <w:rFonts w:ascii="Arial" w:cs="Arial" w:eastAsia="Arial" w:hAnsi="Arial"/>
                <w:sz w:val="18"/>
                <w:szCs w:val="18"/>
                <w:color w:val="auto"/>
                <w:w w:val="95"/>
              </w:rPr>
            </w:pPr>
            <w:hyperlink w:anchor="page20">
              <w:r>
                <w:rPr>
                  <w:rFonts w:ascii="Arial" w:cs="Arial" w:eastAsia="Arial" w:hAnsi="Arial"/>
                  <w:sz w:val="18"/>
                  <w:szCs w:val="18"/>
                  <w:color w:val="auto"/>
                  <w:w w:val="95"/>
                </w:rPr>
                <w:t>PART II</w:t>
              </w:r>
            </w:hyperlink>
          </w:p>
        </w:tc>
        <w:tc>
          <w:tcPr>
            <w:tcW w:w="1300" w:type="dxa"/>
            <w:vAlign w:val="bottom"/>
            <w:gridSpan w:val="2"/>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auto"/>
            </w:tcBorders>
            <w:gridSpan w:val="27"/>
          </w:tcPr>
          <w:p>
            <w:pPr>
              <w:spacing w:after="0"/>
              <w:rPr>
                <w:rFonts w:ascii="Arial" w:cs="Arial" w:eastAsia="Arial" w:hAnsi="Arial"/>
                <w:sz w:val="18"/>
                <w:szCs w:val="18"/>
                <w:color w:val="auto"/>
                <w:w w:val="90"/>
              </w:rPr>
            </w:pPr>
            <w:hyperlink w:anchor="page21">
              <w:r>
                <w:rPr>
                  <w:rFonts w:ascii="Arial" w:cs="Arial" w:eastAsia="Arial" w:hAnsi="Arial"/>
                  <w:sz w:val="18"/>
                  <w:szCs w:val="18"/>
                  <w:color w:val="auto"/>
                  <w:w w:val="90"/>
                </w:rPr>
                <w:t>Market for Registrant’s Common Equity, Related Stockholder Matters and Issuer Purchases of Equity Securities</w:t>
              </w:r>
            </w:hyperlink>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auto"/>
            </w:tcBorders>
            <w:gridSpan w:val="7"/>
          </w:tcPr>
          <w:p>
            <w:pPr>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Selected Financial Data</w:t>
              </w:r>
            </w:hyperlink>
          </w:p>
        </w:tc>
        <w:tc>
          <w:tcPr>
            <w:tcW w:w="7200" w:type="dxa"/>
            <w:vAlign w:val="bottom"/>
            <w:gridSpan w:val="21"/>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28"/>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auto"/>
              <w:bottom w:val="single" w:sz="8" w:color="auto"/>
            </w:tcBorders>
            <w:gridSpan w:val="19"/>
          </w:tcPr>
          <w:p>
            <w:pPr>
              <w:spacing w:after="0"/>
              <w:rPr>
                <w:rFonts w:ascii="Arial" w:cs="Arial" w:eastAsia="Arial" w:hAnsi="Arial"/>
                <w:sz w:val="18"/>
                <w:szCs w:val="18"/>
                <w:color w:val="auto"/>
                <w:w w:val="91"/>
              </w:rPr>
            </w:pPr>
            <w:hyperlink w:anchor="page32">
              <w:r>
                <w:rPr>
                  <w:rFonts w:ascii="Arial" w:cs="Arial" w:eastAsia="Arial" w:hAnsi="Arial"/>
                  <w:sz w:val="18"/>
                  <w:szCs w:val="18"/>
                  <w:color w:val="auto"/>
                  <w:w w:val="91"/>
                </w:rPr>
                <w:t>Quantitative and Qualitative Disclosures about Market Risk</w:t>
              </w:r>
            </w:hyperlink>
          </w:p>
        </w:tc>
        <w:tc>
          <w:tcPr>
            <w:tcW w:w="2140" w:type="dxa"/>
            <w:vAlign w:val="bottom"/>
            <w:tcBorders>
              <w:top w:val="single" w:sz="8" w:color="auto"/>
            </w:tcBorders>
            <w:gridSpan w:val="5"/>
          </w:tcPr>
          <w:p>
            <w:pPr>
              <w:spacing w:after="0"/>
              <w:rPr>
                <w:sz w:val="21"/>
                <w:szCs w:val="21"/>
                <w:color w:val="auto"/>
              </w:rPr>
            </w:pPr>
          </w:p>
        </w:tc>
        <w:tc>
          <w:tcPr>
            <w:tcW w:w="2460" w:type="dxa"/>
            <w:vAlign w:val="bottom"/>
            <w:gridSpan w:val="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auto"/>
            </w:tcBorders>
            <w:gridSpan w:val="14"/>
          </w:tcPr>
          <w:p>
            <w:pPr>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Financial Statements and Supplementary Data</w:t>
              </w:r>
            </w:hyperlink>
          </w:p>
        </w:tc>
        <w:tc>
          <w:tcPr>
            <w:tcW w:w="5580" w:type="dxa"/>
            <w:vAlign w:val="bottom"/>
            <w:gridSpan w:val="1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28"/>
          </w:tcPr>
          <w:p>
            <w:pPr>
              <w:spacing w:after="0"/>
              <w:rPr>
                <w:rFonts w:ascii="Arial" w:cs="Arial" w:eastAsia="Arial" w:hAnsi="Arial"/>
                <w:sz w:val="18"/>
                <w:szCs w:val="18"/>
                <w:color w:val="auto"/>
              </w:rPr>
            </w:pPr>
            <w:hyperlink w:anchor="page54">
              <w:r>
                <w:rPr>
                  <w:rFonts w:ascii="Arial" w:cs="Arial" w:eastAsia="Arial" w:hAnsi="Arial"/>
                  <w:sz w:val="18"/>
                  <w:szCs w:val="18"/>
                  <w:color w:val="auto"/>
                </w:rPr>
                <w:t>Changes in and Disagreements with Accountants on Accounting and Financial Disclosure</w:t>
              </w:r>
            </w:hyperlink>
          </w:p>
        </w:tc>
        <w:tc>
          <w:tcPr>
            <w:tcW w:w="130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88"/>
              </w:rPr>
              <w:t>Controls and Procedures</w:t>
            </w:r>
          </w:p>
        </w:tc>
        <w:tc>
          <w:tcPr>
            <w:tcW w:w="4700" w:type="dxa"/>
            <w:vAlign w:val="bottom"/>
            <w:tcBorders>
              <w:top w:val="single" w:sz="8" w:color="auto"/>
            </w:tcBorders>
            <w:gridSpan w:val="17"/>
          </w:tcPr>
          <w:p>
            <w:pPr>
              <w:spacing w:after="0"/>
              <w:rPr>
                <w:sz w:val="21"/>
                <w:szCs w:val="21"/>
                <w:color w:val="auto"/>
              </w:rPr>
            </w:pPr>
          </w:p>
        </w:tc>
        <w:tc>
          <w:tcPr>
            <w:tcW w:w="2440" w:type="dxa"/>
            <w:vAlign w:val="bottom"/>
            <w:gridSpan w:val="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20" w:type="dxa"/>
            <w:vAlign w:val="bottom"/>
            <w:gridSpan w:val="28"/>
          </w:tcPr>
          <w:p>
            <w:pPr>
              <w:spacing w:after="0"/>
              <w:rPr>
                <w:sz w:val="20"/>
                <w:szCs w:val="20"/>
                <w:color w:val="auto"/>
              </w:rPr>
            </w:pPr>
            <w:r>
              <w:rPr>
                <w:rFonts w:ascii="Arial" w:cs="Arial" w:eastAsia="Arial" w:hAnsi="Arial"/>
                <w:sz w:val="18"/>
                <w:szCs w:val="18"/>
                <w:color w:val="auto"/>
              </w:rPr>
              <w:t>Other Information</w:t>
            </w:r>
          </w:p>
        </w:tc>
        <w:tc>
          <w:tcPr>
            <w:tcW w:w="1300" w:type="dxa"/>
            <w:vAlign w:val="bottom"/>
            <w:gridSpan w:val="2"/>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57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auto"/>
            </w:tcBorders>
            <w:gridSpan w:val="6"/>
          </w:tcPr>
          <w:p>
            <w:pPr>
              <w:jc w:val="center"/>
              <w:spacing w:after="0"/>
              <w:rPr>
                <w:rFonts w:ascii="Arial" w:cs="Arial" w:eastAsia="Arial" w:hAnsi="Arial"/>
                <w:sz w:val="18"/>
                <w:szCs w:val="18"/>
                <w:color w:val="auto"/>
                <w:w w:val="96"/>
              </w:rPr>
            </w:pPr>
            <w:hyperlink w:anchor="page57">
              <w:r>
                <w:rPr>
                  <w:rFonts w:ascii="Arial" w:cs="Arial" w:eastAsia="Arial" w:hAnsi="Arial"/>
                  <w:sz w:val="18"/>
                  <w:szCs w:val="18"/>
                  <w:color w:val="auto"/>
                  <w:w w:val="96"/>
                </w:rPr>
                <w:t>PART III</w:t>
              </w:r>
            </w:hyperlink>
          </w:p>
        </w:tc>
        <w:tc>
          <w:tcPr>
            <w:tcW w:w="4100" w:type="dxa"/>
            <w:vAlign w:val="bottom"/>
            <w:gridSpan w:val="6"/>
          </w:tcPr>
          <w:p>
            <w:pPr>
              <w:spacing w:after="0"/>
              <w:rPr>
                <w:sz w:val="24"/>
                <w:szCs w:val="24"/>
                <w:color w:val="auto"/>
              </w:rPr>
            </w:pPr>
          </w:p>
        </w:tc>
        <w:tc>
          <w:tcPr>
            <w:tcW w:w="1300" w:type="dxa"/>
            <w:vAlign w:val="bottom"/>
            <w:gridSpan w:val="2"/>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auto"/>
            </w:tcBorders>
            <w:gridSpan w:val="15"/>
          </w:tcPr>
          <w:p>
            <w:pPr>
              <w:spacing w:after="0"/>
              <w:rPr>
                <w:rFonts w:ascii="Arial" w:cs="Arial" w:eastAsia="Arial" w:hAnsi="Arial"/>
                <w:sz w:val="18"/>
                <w:szCs w:val="18"/>
                <w:color w:val="auto"/>
                <w:w w:val="90"/>
              </w:rPr>
            </w:pPr>
            <w:hyperlink w:anchor="page58">
              <w:r>
                <w:rPr>
                  <w:rFonts w:ascii="Arial" w:cs="Arial" w:eastAsia="Arial" w:hAnsi="Arial"/>
                  <w:sz w:val="18"/>
                  <w:szCs w:val="18"/>
                  <w:color w:val="auto"/>
                  <w:w w:val="90"/>
                </w:rPr>
                <w:t>Directors, Executive Officers and Corporate Governance</w:t>
              </w:r>
            </w:hyperlink>
          </w:p>
        </w:tc>
        <w:tc>
          <w:tcPr>
            <w:tcW w:w="4820" w:type="dxa"/>
            <w:vAlign w:val="bottom"/>
            <w:gridSpan w:val="1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920" w:type="dxa"/>
            <w:vAlign w:val="bottom"/>
            <w:gridSpan w:val="28"/>
          </w:tcPr>
          <w:p>
            <w:pPr>
              <w:spacing w:after="0"/>
              <w:rPr>
                <w:rFonts w:ascii="Arial" w:cs="Arial" w:eastAsia="Arial" w:hAnsi="Arial"/>
                <w:sz w:val="18"/>
                <w:szCs w:val="18"/>
                <w:color w:val="auto"/>
              </w:rPr>
            </w:pPr>
            <w:hyperlink w:anchor="page58">
              <w:r>
                <w:rPr>
                  <w:rFonts w:ascii="Arial" w:cs="Arial" w:eastAsia="Arial" w:hAnsi="Arial"/>
                  <w:sz w:val="18"/>
                  <w:szCs w:val="18"/>
                  <w:color w:val="auto"/>
                </w:rPr>
                <w:t>Executive Compensation</w:t>
              </w:r>
            </w:hyperlink>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9"/>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auto"/>
            </w:tcBorders>
            <w:gridSpan w:val="26"/>
          </w:tcPr>
          <w:p>
            <w:pPr>
              <w:spacing w:after="0"/>
              <w:rPr>
                <w:rFonts w:ascii="Arial" w:cs="Arial" w:eastAsia="Arial" w:hAnsi="Arial"/>
                <w:sz w:val="18"/>
                <w:szCs w:val="18"/>
                <w:color w:val="auto"/>
                <w:w w:val="90"/>
              </w:rPr>
            </w:pPr>
            <w:hyperlink w:anchor="page58">
              <w:r>
                <w:rPr>
                  <w:rFonts w:ascii="Arial" w:cs="Arial" w:eastAsia="Arial" w:hAnsi="Arial"/>
                  <w:sz w:val="18"/>
                  <w:szCs w:val="18"/>
                  <w:color w:val="auto"/>
                  <w:w w:val="90"/>
                </w:rPr>
                <w:t>Security Ownership of Certain Beneficial Owners and Management and Related Stockholder Matters</w:t>
              </w:r>
            </w:hyperlink>
          </w:p>
        </w:tc>
        <w:tc>
          <w:tcPr>
            <w:tcW w:w="1620" w:type="dxa"/>
            <w:vAlign w:val="bottom"/>
            <w:gridSpan w:val="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auto"/>
            </w:tcBorders>
            <w:gridSpan w:val="23"/>
          </w:tcPr>
          <w:p>
            <w:pP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Certain Relationships and Related Transactions, and Director Independence</w:t>
              </w:r>
            </w:hyperlink>
          </w:p>
        </w:tc>
        <w:tc>
          <w:tcPr>
            <w:tcW w:w="3460" w:type="dxa"/>
            <w:vAlign w:val="bottom"/>
            <w:gridSpan w:val="5"/>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20" w:type="dxa"/>
            <w:vAlign w:val="bottom"/>
            <w:gridSpan w:val="28"/>
          </w:tcPr>
          <w:p>
            <w:pPr>
              <w:spacing w:after="0"/>
              <w:rPr>
                <w:rFonts w:ascii="Arial" w:cs="Arial" w:eastAsia="Arial" w:hAnsi="Arial"/>
                <w:sz w:val="18"/>
                <w:szCs w:val="18"/>
                <w:color w:val="auto"/>
              </w:rPr>
            </w:pPr>
            <w:hyperlink w:anchor="page58">
              <w:r>
                <w:rPr>
                  <w:rFonts w:ascii="Arial" w:cs="Arial" w:eastAsia="Arial" w:hAnsi="Arial"/>
                  <w:sz w:val="18"/>
                  <w:szCs w:val="18"/>
                  <w:color w:val="auto"/>
                </w:rPr>
                <w:t>Principal Accountant Fees and Services</w:t>
              </w:r>
            </w:hyperlink>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574"/>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13"/>
          </w:tcPr>
          <w:p>
            <w:pPr>
              <w:jc w:val="center"/>
              <w:ind w:right="4040"/>
              <w:spacing w:after="0"/>
              <w:rPr>
                <w:rFonts w:ascii="Arial" w:cs="Arial" w:eastAsia="Arial" w:hAnsi="Arial"/>
                <w:sz w:val="18"/>
                <w:szCs w:val="18"/>
                <w:color w:val="auto"/>
                <w:w w:val="94"/>
              </w:rPr>
            </w:pPr>
            <w:hyperlink w:anchor="page58">
              <w:r>
                <w:rPr>
                  <w:rFonts w:ascii="Arial" w:cs="Arial" w:eastAsia="Arial" w:hAnsi="Arial"/>
                  <w:sz w:val="18"/>
                  <w:szCs w:val="18"/>
                  <w:color w:val="auto"/>
                  <w:w w:val="94"/>
                </w:rPr>
                <w:t>PART IV</w:t>
              </w:r>
            </w:hyperlink>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6"/>
          </w:tcPr>
          <w:p>
            <w:pPr>
              <w:spacing w:after="0"/>
              <w:rPr>
                <w:rFonts w:ascii="Arial" w:cs="Arial" w:eastAsia="Arial" w:hAnsi="Arial"/>
                <w:sz w:val="18"/>
                <w:szCs w:val="18"/>
                <w:color w:val="auto"/>
              </w:rPr>
            </w:pPr>
            <w:hyperlink w:anchor="page58">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6"/>
          </w:tcPr>
          <w:p>
            <w:pPr>
              <w:spacing w:after="0"/>
              <w:rPr>
                <w:sz w:val="21"/>
                <w:szCs w:val="21"/>
                <w:color w:val="auto"/>
              </w:rPr>
            </w:pPr>
          </w:p>
        </w:tc>
        <w:tc>
          <w:tcPr>
            <w:tcW w:w="4100" w:type="dxa"/>
            <w:vAlign w:val="bottom"/>
            <w:gridSpan w:val="6"/>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40" w:type="dxa"/>
            <w:vAlign w:val="bottom"/>
          </w:tcPr>
          <w:p>
            <w:pPr>
              <w:spacing w:after="0"/>
              <w:rPr>
                <w:sz w:val="21"/>
                <w:szCs w:val="21"/>
                <w:color w:val="auto"/>
              </w:rPr>
            </w:pPr>
          </w:p>
        </w:tc>
        <w:tc>
          <w:tcPr>
            <w:tcW w:w="1100" w:type="dxa"/>
            <w:vAlign w:val="bottom"/>
            <w:tcBorders>
              <w:bottom w:val="single" w:sz="8" w:color="auto"/>
            </w:tcBorders>
          </w:tcPr>
          <w:p>
            <w:pPr>
              <w:spacing w:after="0"/>
              <w:rPr>
                <w:rFonts w:ascii="Arial" w:cs="Arial" w:eastAsia="Arial" w:hAnsi="Arial"/>
                <w:sz w:val="18"/>
                <w:szCs w:val="18"/>
                <w:color w:val="auto"/>
                <w:w w:val="92"/>
              </w:rPr>
            </w:pPr>
            <w:hyperlink w:anchor="page60">
              <w:r>
                <w:rPr>
                  <w:rFonts w:ascii="Arial" w:cs="Arial" w:eastAsia="Arial" w:hAnsi="Arial"/>
                  <w:sz w:val="18"/>
                  <w:szCs w:val="18"/>
                  <w:color w:val="auto"/>
                  <w:w w:val="92"/>
                </w:rPr>
                <w:t>SIGNATURES</w:t>
              </w:r>
            </w:hyperlink>
          </w:p>
        </w:tc>
        <w:tc>
          <w:tcPr>
            <w:tcW w:w="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 Rowe Price Group, Inc. is a financial services holding company that provides global investment management services through its subsidiaries to individual and institutional investors in the sponsored T. Rowe Price mutual funds distributed in the United States and other investment portfolios. These other investment portfolios include separately managed accounts, subadvised funds, and other sponsored investment portfolios, including collective investment trusts, target-date retirement trusts, Luxembourg-based funds offered to investors outside the United States, and portfolios offered through variable annuity life insurance plans in the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Inc. was first offered to the public in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 Rowe Price Group corporate holding company structure was established in 2000.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derive the vast majority of our consolidated net revenue and net income from investment advisory services provided by our subsidiaries, primarily T. Rowe Price Associates and T. Rowe Price International Ltd. Our revenues depend largely on the total value and composition of assets under our management. Accordingly, fluctuations in financial markets and in the composition of assets under management impact our revenues and results of operations. At December 31, 2014, we had $746.8 billion in assets under management, including $477.6 billion in the Price funds and $269.2 billion in other investment portfolios.</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globally. As of December 31, 2014, nearly forty-five percent of our assets under management are sourced from our third-party financial intermediary distribution channel with the remaining three distribution channels comprising the balance. We have taken steps to broaden and deepen our distribution reach in overseas markets and with financial intermediaries. These initiatives are part of multi-year plans designed to further diversify our assets under management and client base. In 2014, we made key hires and continued to make investments in infrastructure to support these initiatives over the long-term.</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assets we manage are a broad range of U.S. and international stock, blended asset, bond, and money market mutual funds and other investment portfolios that are designed to meet the varied and changing needs and objectives of individual and institutional investors. Investors select mutual funds based on the distinct objective that is described in each fund’s prospectus and can exchange balances among the funds as permitted when economic and market conditions and their investment needs change. The investment objectives and investment management approaches employed in our other investment portfolios are similar to those in the Price funds. We also offer specialized advisory services, including management of stable value investment contracts and a distribution management service for the disposition of equity securities our clients receive from third-party venture capital investment pools.</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Investment objectives for our managed investment portfolios, including the Price funds, accommodate a variety of strategies. Equity investment strategies may emphasize large-cap, mid-cap or small-cap investing; growth, value or core investing; and U.S., global, multi-regional and regional international, emerging market, and sector investing. Our fixed income strategies may focus on high yield, U.S. taxable bond, taxable low-duration, international, and municipal tax-free investing. We also combine strategies across asset classes to create solutions that help our clients achieve a single investment objective. To this end, we offer systematic, tax-efficient, blended equity, and asset allocation investment strategies, including target-date retirement investment portfolios.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U.S. and England with additional staff based in Australia, Hong Kong, Japan, and Singapore.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introduce a new investment strategy if we believe that we have the appropriate investment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management expertise and that its objective will be useful for investors over a long period. Since the beginning of 2014, we have launched three new equity products—Asia Opportunities, Frontier Markets, and International Concentrated Equity—and three new fixed income products—Dynamic Global Bond, Credit Opportunities, and Intermediate Tax Free High Yield. Two additional fixed income products were opened in January 2015. We typically provide seed capital for the new investment portfolio to enable the portfolio manager to begin building an investment performance history in advance of the portfolio receiving sustainable client assets. The length of time we hold our seed capital investment will vary for each new investment portfolio as it is highly dependent on how long it takes to generate cash flows into the portfolio from unrelated investors. We attempt to ensure that the new investment portfolio has a sustainable level of assets from unrelated shareholders before we consider redemption of our seed capital investment in order to not negatively impact the new investment portfolio's net asset value or its investment performance record. At December 31, 2014, approximately 39% of our investments in sponsored portfolios and other investments is considered seed investments.</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Conversely, we may also limit new investments into a mutual fund or investment strategy in order to maintain the integrity of the investment strategy and to protect the interests of its existing fund shareholders and investors. At present, the following mutual funds and affiliated other investment portfolios are closed to new investors.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6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Fund</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Date Closed</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Institutional Mid-Cap Equity Growth Fund</w:t>
            </w:r>
          </w:p>
        </w:tc>
        <w:tc>
          <w:tcPr>
            <w:tcW w:w="4780" w:type="dxa"/>
            <w:vAlign w:val="bottom"/>
          </w:tcPr>
          <w:p>
            <w:pPr>
              <w:jc w:val="right"/>
              <w:spacing w:after="0"/>
              <w:rPr>
                <w:sz w:val="20"/>
                <w:szCs w:val="20"/>
                <w:color w:val="auto"/>
              </w:rPr>
            </w:pPr>
            <w:r>
              <w:rPr>
                <w:rFonts w:ascii="Arial" w:cs="Arial" w:eastAsia="Arial" w:hAnsi="Arial"/>
                <w:sz w:val="18"/>
                <w:szCs w:val="18"/>
                <w:color w:val="auto"/>
              </w:rPr>
              <w:t>December 8, 2003</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Mid-Cap Growth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31, 2010</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Mid-Cap Value Fund</w:t>
            </w:r>
          </w:p>
        </w:tc>
        <w:tc>
          <w:tcPr>
            <w:tcW w:w="4780" w:type="dxa"/>
            <w:vAlign w:val="bottom"/>
          </w:tcPr>
          <w:p>
            <w:pPr>
              <w:jc w:val="right"/>
              <w:spacing w:after="0"/>
              <w:rPr>
                <w:sz w:val="20"/>
                <w:szCs w:val="20"/>
                <w:color w:val="auto"/>
              </w:rPr>
            </w:pPr>
            <w:r>
              <w:rPr>
                <w:rFonts w:ascii="Arial" w:cs="Arial" w:eastAsia="Arial" w:hAnsi="Arial"/>
                <w:sz w:val="18"/>
                <w:szCs w:val="18"/>
                <w:color w:val="auto"/>
              </w:rPr>
              <w:t>May 31, 2010</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 Yield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27, 2012</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Institutional High Yield Fund</w:t>
            </w:r>
          </w:p>
        </w:tc>
        <w:tc>
          <w:tcPr>
            <w:tcW w:w="4780" w:type="dxa"/>
            <w:vAlign w:val="bottom"/>
          </w:tcPr>
          <w:p>
            <w:pPr>
              <w:jc w:val="right"/>
              <w:spacing w:after="0"/>
              <w:rPr>
                <w:sz w:val="20"/>
                <w:szCs w:val="20"/>
                <w:color w:val="auto"/>
              </w:rPr>
            </w:pPr>
            <w:r>
              <w:rPr>
                <w:rFonts w:ascii="Arial" w:cs="Arial" w:eastAsia="Arial" w:hAnsi="Arial"/>
                <w:sz w:val="18"/>
                <w:szCs w:val="18"/>
                <w:color w:val="auto"/>
              </w:rPr>
              <w:t>April 27, 2012</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 Small-Cap Stock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New Horizons Fund</w:t>
            </w:r>
          </w:p>
        </w:tc>
        <w:tc>
          <w:tcPr>
            <w:tcW w:w="4780" w:type="dxa"/>
            <w:vAlign w:val="bottom"/>
          </w:tcPr>
          <w:p>
            <w:pPr>
              <w:jc w:val="right"/>
              <w:spacing w:after="0"/>
              <w:rPr>
                <w:sz w:val="20"/>
                <w:szCs w:val="20"/>
                <w:color w:val="auto"/>
              </w:rPr>
            </w:pPr>
            <w:r>
              <w:rPr>
                <w:rFonts w:ascii="Arial" w:cs="Arial" w:eastAsia="Arial" w:hAnsi="Arial"/>
                <w:sz w:val="18"/>
                <w:szCs w:val="18"/>
                <w:color w:val="auto"/>
              </w:rPr>
              <w:t>December 31, 2013</w:t>
            </w:r>
          </w:p>
        </w:tc>
      </w:tr>
      <w:tr>
        <w:trPr>
          <w:trHeight w:val="27"/>
        </w:trPr>
        <w:tc>
          <w:tcPr>
            <w:tcW w:w="648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Small-Cap Stock Fund</w:t>
            </w:r>
          </w:p>
        </w:tc>
        <w:tc>
          <w:tcPr>
            <w:tcW w:w="4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Capital Appreciation Fund</w:t>
            </w:r>
          </w:p>
        </w:tc>
        <w:tc>
          <w:tcPr>
            <w:tcW w:w="4780" w:type="dxa"/>
            <w:vAlign w:val="bottom"/>
          </w:tcPr>
          <w:p>
            <w:pPr>
              <w:jc w:val="right"/>
              <w:spacing w:after="0"/>
              <w:rPr>
                <w:sz w:val="20"/>
                <w:szCs w:val="20"/>
                <w:color w:val="auto"/>
              </w:rPr>
            </w:pPr>
            <w:r>
              <w:rPr>
                <w:rFonts w:ascii="Arial" w:cs="Arial" w:eastAsia="Arial" w:hAnsi="Arial"/>
                <w:sz w:val="18"/>
                <w:szCs w:val="18"/>
                <w:color w:val="auto"/>
              </w:rPr>
              <w:t>June 30, 2014</w:t>
            </w:r>
          </w:p>
        </w:tc>
      </w:tr>
    </w:tbl>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our sponsored mutual funds; recordkeeping services for defined contribution retirement plans investing in mutual funds outside the T. Rowe Price complex; brokerage; and trust services. Substantially all of our administrative and distribution and servicing fee revenues in 2014 were determined based generally on the recovery of our related costs to provide these services. Therefore, changes in our administrative fees, distribution and servicing fees, and related expenses generally do not significantly affect our net operating income or net income.</w:t>
      </w:r>
    </w:p>
    <w:p>
      <w:pPr>
        <w:spacing w:after="0" w:line="16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2014, we made a long-term strategic decision to change our delivery of certain administrative services, including fund accounting and other investment recordkeeping operations. We are currently in negotiations with BNY Mellon to perform these services. If a formal agreement is reached, we do not expect that the impact on our future operating results will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2014 DEVELOPMENTS.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U.S. equities, as measured by the S&amp;P 500 Index, rose in 2014 for the sixth consecutive year. The S&amp;P 500 Index and the NASDAQ Composite Index, which is heavily weighted in technology companies, returned 13.7% and 13.4%, respectively, in 2014. Equities in developed non-U.S. markets declined in dollar terms in 2014, as a stronger U.S. dollar versus other currencies reduced overseas returns to U.S. investors. Emerging markets equities, in aggregate, declined in dollar terms but held up better than developed non-U.S. markets. Global bonds produced mostly positive returns in 2014.</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2014 results include net revenues of nearly $4.0 billion, net income of $1.2 billion, and diluted earnings per share of $4.55, an increase of 16.7% from the $3.90 per share earned in 2013. Investment advisory fees earned in 2014 are up 14.6% over 2013 as average assets under our management increased $90.9 billion, or 14.3%, to $724.7 billion. The average annualized fee rate earned on our assets under management was 47.8 basis points during 2014, virtually unchanged from the 47.7 basis points earned in 2013.</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Six Price funds - Growth Stock, Equity Income, Mid-Cap Growth, Blue-Chip Growth, Value, and Capital Appreciation - accounted for 27% of our investment advisory revenues in 2014, and 23% of our assets under management at December 31,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2014. Our largest client account relationship apart from the Price funds is with a third-party financial intermediary that accounted for about 4% of our investment advisory revenues in 2014.</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Assets under management ended 2014 at a record $746.8 billion, an increase of $54.4 billion from the end of 2013. Market appreciation and income, net of distributions not reinvested, added $50.7 billion and net cash inflows added $3.7 billion in assets under management during 2014. Net cash inflows of $11.8 billion into the Price funds were partially offset by net cash outflows of $8.1 billion from our other investment portfolios. These net cash outflows were primarily from a few institutional and subadvisory clients who redeemed significant amounts from a small number of equity and fixed income strategies. The mutual fund and other investment portfolio 2014 cash flow amounts are each presented net of $5.3 billion in assets clients transferred from the mutual funds to other sponsored investment portfolios during the year, primarily our target-date retirement trusts.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target-date retirement funds and trusts, which provide shareholders with single, diversified portfolios that invest in underlying T. Rowe Price funds and T. Rowe Price collective investment trusts, continue to be a significant source of our asset growth. In 2014, our net cash flows include $17.7 billion that originated in these portfolios, including $13.2 billion in our target-date retirement funds.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assets under management (in billions) at December 31,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4"/>
          </w:tcPr>
          <w:p>
            <w:pPr>
              <w:ind w:left="40"/>
              <w:spacing w:after="0"/>
              <w:rPr>
                <w:sz w:val="20"/>
                <w:szCs w:val="20"/>
                <w:color w:val="auto"/>
              </w:rPr>
            </w:pPr>
            <w:r>
              <w:rPr>
                <w:rFonts w:ascii="Arial" w:cs="Arial" w:eastAsia="Arial" w:hAnsi="Arial"/>
                <w:sz w:val="18"/>
                <w:szCs w:val="18"/>
                <w:color w:val="auto"/>
              </w:rPr>
              <w:t>Sponsored U.S. mutual funds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477.6</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r>
      <w:tr>
        <w:trPr>
          <w:trHeight w:val="297"/>
        </w:trPr>
        <w:tc>
          <w:tcPr>
            <w:tcW w:w="99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r>
      <w:tr>
        <w:trPr>
          <w:trHeight w:val="311"/>
        </w:trPr>
        <w:tc>
          <w:tcPr>
            <w:tcW w:w="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03"/>
        </w:trPr>
        <w:tc>
          <w:tcPr>
            <w:tcW w:w="9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Assets under management by mandate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7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U.S. stocks and blended asset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r>
      <w:tr>
        <w:trPr>
          <w:trHeight w:val="243"/>
        </w:trPr>
        <w:tc>
          <w:tcPr>
            <w:tcW w:w="40" w:type="dxa"/>
            <w:vAlign w:val="bottom"/>
          </w:tcPr>
          <w:p>
            <w:pPr>
              <w:spacing w:after="0"/>
              <w:rPr>
                <w:sz w:val="21"/>
                <w:szCs w:val="21"/>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International stocks and blended asset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stock and blended asset portfolios</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w:t>
            </w:r>
          </w:p>
        </w:tc>
      </w:tr>
      <w:tr>
        <w:trPr>
          <w:trHeight w:val="318"/>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U.S. fixed income</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43"/>
        </w:trPr>
        <w:tc>
          <w:tcPr>
            <w:tcW w:w="40" w:type="dxa"/>
            <w:vAlign w:val="bottom"/>
          </w:tcPr>
          <w:p>
            <w:pPr>
              <w:spacing w:after="0"/>
              <w:rPr>
                <w:sz w:val="21"/>
                <w:szCs w:val="21"/>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International fixed income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fixed income portfolios</w:t>
            </w: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r>
      <w:tr>
        <w:trPr>
          <w:trHeight w:val="67"/>
        </w:trPr>
        <w:tc>
          <w:tcPr>
            <w:tcW w:w="40" w:type="dxa"/>
            <w:vAlign w:val="bottom"/>
            <w:tcBorders>
              <w:bottom w:val="single" w:sz="8" w:color="CCEEFF"/>
            </w:tcBorders>
          </w:tcPr>
          <w:p>
            <w:pPr>
              <w:spacing w:after="0"/>
              <w:rPr>
                <w:sz w:val="5"/>
                <w:szCs w:val="5"/>
                <w:color w:val="auto"/>
              </w:rPr>
            </w:pPr>
          </w:p>
        </w:tc>
        <w:tc>
          <w:tcPr>
            <w:tcW w:w="276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83"/>
        </w:trPr>
        <w:tc>
          <w:tcPr>
            <w:tcW w:w="994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8"/>
                <w:szCs w:val="18"/>
                <w:color w:val="auto"/>
              </w:rPr>
              <w:t>Assets under management by account type</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7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68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900" w:type="dxa"/>
            <w:vAlign w:val="bottom"/>
            <w:gridSpan w:val="3"/>
          </w:tcPr>
          <w:p>
            <w:pPr>
              <w:ind w:left="140"/>
              <w:spacing w:after="0"/>
              <w:rPr>
                <w:sz w:val="20"/>
                <w:szCs w:val="20"/>
                <w:color w:val="auto"/>
              </w:rPr>
            </w:pPr>
            <w:r>
              <w:rPr>
                <w:rFonts w:ascii="Arial" w:cs="Arial" w:eastAsia="Arial" w:hAnsi="Arial"/>
                <w:sz w:val="18"/>
                <w:szCs w:val="18"/>
                <w:color w:val="auto"/>
              </w:rPr>
              <w:t>Retirement accounts and variable annuity portfolios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511.2</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w:t>
            </w:r>
          </w:p>
        </w:tc>
      </w:tr>
      <w:tr>
        <w:trPr>
          <w:trHeight w:val="237"/>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target-date retirement portfolios account for 19.9% of our managed assets at December 31, 2014, compared with 17.5% at the end of 2013. The assets under management in these portfolios totaled $148.5 billion at December 31, 2014, including $126.0 billion in target-date retirement funds and $22.5 billion in target-date retirement trusts.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Non-U.S. dollar denominated securities held in client accounts are $100.7 billion, or 13.5% of our total assets under management at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Investors domiciled outside the U.S. represent 5.6% of total assets under management at the end of 2014. We service clients in 36 countries around the world.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Performance.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Strong investment performance and brand awareness is a key driver to attracting assets and to our long-term success. As of the end of 2014, 74% of the T. Rowe Price U.S. mutual funds across their share classes outperformed their comparable Lipper averages on a total return basis for the three-year period, 80% outperformed for the five-year period, 88% outperformed for the 10-year period, and 73% outperformed for the one-year period. In addition, T. Rowe Price stock, bond and blended asset funds that were given an overall rating of four or five stars from Morningstar at December 31, 2014, account for 82% of the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 management in our rated funds. The performance of our institutional strategies against their benchmarks was substantially similar. Our target-date retirement funds continue to deliver very attractive long-term performance, with 100% of these funds outperforming their comparable Lipper averages on a total return basis for the three- and five-year periods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22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At December 31, 2014, we remain debt-free with substantial liquidity and resources, including cash and fund investment holdings of $3.4 billion. During the full year of 2014, we expended $415.5 million to repurchase 5.3 million shares of common stock. We generally repurchase shares of our common stock over time to offset the dilution created by our equity-based compensation plans. We presently plan to declare and pay quarterly cash dividends in 2015 that, taken together, will exceed the $1.76 per share in annual regular dividends declared and paid in 2014; however, there can be no assurance that we will continue to pay dividends at increasing rates or at all.</w:t>
      </w:r>
    </w:p>
    <w:p>
      <w:pPr>
        <w:spacing w:after="0" w:line="18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also invested $126 million during the year in capitalized technology and facilities from existing cash balances. We currently expect total capital expenditures for facilities, equipment, and technology development for 2015 to be up to $175 million, which will be funded from operating resources.</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substantial liquidity and resources also allow us to take advantage of attractive growth opportunities; invest in key capabilities, including investment professionals, technologies, and new investment strategy offerings; and, most importantly, provide our clients with strong investment management expertise and service both now and in the future. In the coming years, we expect to increase funding for long-term initiatives to sustain and deepen our investment talent, expand capabilities through enhanced technology, and broaden our distribution reach globally.</w:t>
      </w:r>
    </w:p>
    <w:p>
      <w:pPr>
        <w:spacing w:after="0" w:line="17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Additional information concerning our revenues, results of operations and total assets, and our assets under management during the past three years is contained in the Management’s Discussion and Analysis of Financial Condition and Results of Operations in Item 7 of this Form 10-K as well as our consolidated financial statements, which are included in Item 8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Advisory Services.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Investment advisory revenues earned from the Price funds are determined daily based on the net assets managed in each fund. The advisory fee paid monthly by each of the Price funds is computed on a daily basis by multiplying a fund’s net assets by its effective fee rate. Details of each fund's fee arrangement are available in its prospectus.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majority of the Price funds, the fee rate is equal to the sum of a tiered group fee rate plus an individual fund rate. The tiered group rate is based on the combined net assets of nearly all of the Price funds. If the combined net assets of these Price funds exceed $400 billion, the weighted-average fee across pricing tiers is 29.5 basis points for the first $400 billion of net assets plus 27.5 basis points for net assets in excess of $400 billion. To the extent that the combined net assets of the funds included in the group rate calculation increase, the group charge component of a fund's advisory fee rate and the resulting advisory fee rate paid by each fund will decrease.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20% on net assets in excess of $20 billion. The effective fee rates for the stock and bond funds on which we earned annual advisory fees of at least $6.0 million in 2014 varied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a low of 39 basis points for the Maryland Tax-Free Bond, Tax-Free Short-Intermediate, and Short-Term Bond funds to a high of 104 basis points for the Emerging Markets Stock, International Discovery, and Latin America funds.</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fee rate of several of the Price funds, including the Index and Summit funds as well as specific funds offered solely to institutional investors, do not include a group fee component but rather an individual fund fee or an all-inclusive fee. An all-inclusive fee covers both the investment management fee and ordinary operating expenses incurred by the fund. Each of the funds in the series of Spectrum Funds and in the series of target-date retirement funds that we offer invests in a diversified portfolio of other Price funds and has no separate investment advisory fee; rather, they indirectly bear the expenses of the funds in which they invest.</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these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 but such recovery is not assured.</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2014, we continued to voluntarily waive advisory fees and other fund expenses of all of our money market funds and trusts in order to maintain a positive yield for investors. Total fees waived in 2014 were $58.4 million, or about 2% of total investment advisory revenues earned during the year, compared to $51.2 million in 2013. We expect that these fee waivers will continue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2014, assets under our management in the Price funds aggregated $477.6 billion, an increase of 9.7% or $42.3 billion from the beginning of the year. The following table presents the net assets (in billions) and the year of formation of our largest Price funds (net assets in excess of $1.0 billion at December 31, 2014) at December 31.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Stock and blended asset funds: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Balanced (1991)</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Blue Chip Growth (1993)</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Appreciation (1986)</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Dividend Growth (1992)</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Emerging Markets Stock (1995)</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Income (1985)</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Index 500 (1990)</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European Stock (1990)</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Technology (2000)</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Growth &amp; Income (1982)</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Growth Stock (1950)</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Health Sciences (1995)</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Large-Cap Core Growth (2003)</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Large-Cap Growth (2001)</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Large-Cap Value (2000)</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Institutional Mid-Cap Equity Growth (1996)</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Small-Cap Stock (2000)</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International Discovery (1988)</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Growth &amp; Income (1998)</w:t>
            </w:r>
          </w:p>
        </w:tc>
        <w:tc>
          <w:tcPr>
            <w:tcW w:w="10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8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International Stock (1980)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Media &amp; Telecommunications (1993)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Mid-Cap Growth (1992)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Mid-Cap Value (1996)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New America Growth (1985)</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Asia (1990)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New Era (1969)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New Horizons (1960)</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Overseas Stock (2006)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Personal Strategy Balanced (1994)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Personal Strategy Growth (1994)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Personal Strategy Income (1994)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Real Assets (2010)</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(1997)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Science &amp; Technology (1987)</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Small-Cap Stock (1992)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Small-Cap Value (1988)</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 Market Index (1998)</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Value (1994)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stock and blended asset funds</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Bond and money market funds: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Emerging Markets Bond (1994)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GNMA (1985)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High Yield (1984)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Inflation Focused Bond (2006)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Institutional Floating Rate (2008)</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Institutional High Yield (2002)</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International Bond (1986)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Maryland Tax-Free Bond (1987)</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New Income (1973)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Prime Reserve (1976)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Short-Term Bond (1984)</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Summit Cash Reserves (1993)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Summit Municipal Intermediate (1993)</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Tax-Free High Yield (1985)</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Tax-Free Income (1976)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Tax-Free Short-Intermediate (1983)</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U.S. Treasury Money (1982)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bond and money market funds</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gridSpan w:val="2"/>
            <w:shd w:val="clear" w:color="auto" w:fill="CCEEFF"/>
          </w:tcPr>
          <w:p>
            <w:pPr>
              <w:ind w:left="83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Spectrum Funds, Target Retirement Funds, and Retirement Date Funds are not presented in the table above because their assets are already included in the assets of their underlying fund holdings.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subsidiaries invest in many of the T. Rowe Price funds.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subsidiaries provide advisory-related administrative services to the Price funds and their shareholders. T. Rowe Price Services provides mutual fund transfer agency and shareholder services, including maintenance of staff, facilities,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both the Price funds and funds outside the Price fund complex. Plan sponsors and participants compensate us for some of the administrative services while the Price funds compensate us for maintaining and administering the individual participant accounts for those plans that invest in the Price funds.</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provide trustee services through our subsidiary, T. Rowe Price Trust Company, a Maryland-chartered limited service trust company. Through this entity, we offer collective investment trusts for investment by qualified retirement plans and serve as trustee for employer sponsored retirement plans and other retirement products. T. Rowe Price Trust Company may not accept deposits and cannot make personal or commercial loans.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and Servicing.</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Investor class of all Price funds can be purchased in the U.S. on a no-load basis, without a sales commission or 12b-1 fee. No-load mutual fund shares offer investors a low-cost and relatively easy method of directly investing in a variety of stock and fixed income portfolios.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of the Price funds also offer Advisor Class and R Class shares that are distributed to mutual fund shareholders, and defined contribution retirement plans, respectively, through third-party financial intermediaries. These share classes pay 12b-1 fees of 25 and 50 basis points, respectively, for distribution, administration, and personal services. Our subsidiary, T. Rowe Price Investment Services, is the principal distributor of the Price funds and enters into a tri-party agreement with each intermediary and fund. Under the agreement, each fund is responsible to pay the distribution and service fees directly to the applicable intermediaries. In addition, those Price funds offered to investors through variable annuity life insurance plans have a share class that pays a 12b-1 fee of 25 basis points.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statements of income. We also recognize, as distribution and servicing costs in the consolidated statements of income, the corresponding cost paid to the third-party financial intermediaries who distribute these fund share classes. The fee revenue that we recognize from the funds and the expense that we recognize for the fees paid to third-party intermediaries are equal in amount and, therefore, do not impact our net operating income.</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the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print media, television, and the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PORTFOLIOS.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other client investment portfolios had assets under management of $269.2 billion at December 31, 2014, an increase of $12.1 billion from the beginning of the year. We provide investment advisory services to these clients through our subsidiaries on a separately managed or subadvised account basis and through sponsored investment portfolios, including collective investment trusts, target-date retirement trusts, Luxembourg-based funds offered to investors outside the U.S., and portfolios offered through variable annuity life insurance plans in the U.S. At December 31, the assets under management in these portfolios included the following investment mandates: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equities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171.5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equities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Stable value assets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 and money market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r>
      <w:tr>
        <w:trPr>
          <w:trHeight w:val="237"/>
        </w:trPr>
        <w:tc>
          <w:tcPr>
            <w:tcW w:w="834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257.1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at a contracted annual fee rate. The value of assets under management billed is generally based on daily valuations, month-end average valuations, or end of billing period valuations. In 2014, approximately 69% of advisory fees were recognized based on daily portfolio valuations, 13% were based on month-end averages, and 18% were based on end of billing period valuations.</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subsidiaries, T. Rowe Price (Luxembourg) Management Sàrl and T. Rowe Price International provide management company and investment management services, respectively, to our Luxembourg-based SICAVs (Société d'Investissement à Capital Variable) and FCPs (Fonds Commun de Placement). These funds are distributed outside the U.S. through distribution agents and other financial intermediaries. The fees earned for these distribution and marketing services are part of the overall investment management fees earned for managing the SICAV and FCP fund assets. We recognize any related distribution fees paid to financial intermediaries in other operating expenses. At December 31, 2014, assets under management in these funds were $11.2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 Rowe Price Associates, T. Rowe Price International, T. Rowe Price (Canada), Inc., T. Rowe Price Hong Kong Limited, T. Rowe Price Singapore Private Ltd. and T. Rowe Price Advisory Services, Inc. are registered with the Securities and Exchange Commission (SEC) as investment advisers under the Investment Advisers Act of 1940. T. Rowe Price International is also regulated by the Financial Conduct Authority (FCA) in the United Kingdom and, in certain cases, by other foreign regulators in countries in which we have a license to conduct business.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(Fonds Commun de Placement) and SICAV funds is regulated by the Commission de Surveillance du Secteur Financier (CSSF).</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subsidiaries providing transfer agent services are registered under the Securities Exchange Act of 1934, and our trust company is regulated by the State of Maryland, Commissioner of Financial Regulation.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introducing brokerage services through this subsidiary primarily to complement the other services provided to shareholders of the Price funds. Pershing, a third-party clearing broker and affiliate of the BNY Mellon, maintains our brokerage’s customer accounts and clears all transactions.</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Following the sale of 100% of the stock of T. Rowe Price Savings Bank in December 2013, T. Rowe Price Group received confirmation in early February 2014 from the Federal Reserve Bank of Richmond that T. Rowe Price Group and T. Rowe Price Associates were de-registered as savings and loan holding companies as defined in the Home Owners' Loan 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subsidiaries’ net capital, as defined, meets or exceeds all minimum requirements.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2014, we employed 5,870 associates, up 3.6% from the 5,668 associates employed at the end of 2013. We may add additional temporary and part-time personnel to our staff from time to time to meet periodic and special project demands, primarily for technology and mutual fund administrative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Internet address is troweprice.com. At our Investor Relations website, http://trow.client.shareholder.com, we make available free of charge a variety of information for investors. Our goal is to maintain our websites as a portal through which investors can easily find or navigate to pertinent information about us and as a channel of distribution for material company information, including but not limited to:</w:t>
      </w:r>
    </w:p>
    <w:p>
      <w:pPr>
        <w:spacing w:after="0" w:line="181" w:lineRule="exact"/>
        <w:rPr>
          <w:sz w:val="20"/>
          <w:szCs w:val="20"/>
          <w:color w:val="auto"/>
        </w:rPr>
      </w:pPr>
    </w:p>
    <w:p>
      <w:pPr>
        <w:ind w:left="500" w:right="60" w:hanging="330"/>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filed or furnished pursuant to Section 13(a) of the Exchange Act as soon as reasonably practicable after we electronically file that material with, or furnish them to the SEC;</w:t>
      </w:r>
    </w:p>
    <w:p>
      <w:pPr>
        <w:spacing w:after="0" w:line="181" w:lineRule="exact"/>
        <w:rPr>
          <w:rFonts w:ascii="Arial" w:cs="Arial" w:eastAsia="Arial" w:hAnsi="Arial"/>
          <w:sz w:val="18"/>
          <w:szCs w:val="18"/>
          <w:color w:val="auto"/>
        </w:rPr>
      </w:pPr>
    </w:p>
    <w:p>
      <w:pPr>
        <w:ind w:left="500" w:right="46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0"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corporate governance information including our charter, bylaws, governance guidelines, committee charters, senior officer code of ethics and conduct, and other governance-related policies;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found on our website is not part of this or any other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derive our revenues primarily from investment advisory services provided by our subsidiaries to individual and institutional investors in the T. Rowe Price mutual funds distributed in the U.S.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funds and portfolios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179" w:lineRule="exact"/>
        <w:rPr>
          <w:sz w:val="20"/>
          <w:szCs w:val="20"/>
          <w:color w:val="auto"/>
        </w:rPr>
      </w:pP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17"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240" w:hanging="330"/>
        <w:spacing w:after="0" w:line="297"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 Prolonged periods of strong relative investment performance may result in capacity constraints within certain portfolios, which in turn may negatively impact our ability to achieve strong investments results in subsequent periods.</w:t>
      </w:r>
    </w:p>
    <w:p>
      <w:pPr>
        <w:spacing w:after="0" w:line="50" w:lineRule="exact"/>
        <w:rPr>
          <w:rFonts w:ascii="Arial" w:cs="Arial" w:eastAsia="Arial" w:hAnsi="Arial"/>
          <w:sz w:val="16"/>
          <w:szCs w:val="16"/>
          <w:color w:val="auto"/>
        </w:rPr>
      </w:pPr>
    </w:p>
    <w:p>
      <w:pPr>
        <w:ind w:left="460" w:right="120" w:hanging="330"/>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investor preference for passive or alternative investment portfolios, retirement savings trends, including the prevalence of defined contribution retirement plans and target-date retirement products, may reduce interest in our funds and portfolios and may alter our mix of assets under management.</w:t>
      </w:r>
    </w:p>
    <w:p>
      <w:pPr>
        <w:spacing w:after="0" w:line="73" w:lineRule="exact"/>
        <w:rPr>
          <w:rFonts w:ascii="Arial" w:cs="Arial" w:eastAsia="Arial" w:hAnsi="Arial"/>
          <w:sz w:val="18"/>
          <w:szCs w:val="18"/>
          <w:color w:val="auto"/>
        </w:rPr>
      </w:pPr>
    </w:p>
    <w:p>
      <w:pPr>
        <w:ind w:left="460" w:right="360" w:hanging="330"/>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62" w:lineRule="exact"/>
        <w:rPr>
          <w:rFonts w:ascii="Arial" w:cs="Arial" w:eastAsia="Arial" w:hAnsi="Arial"/>
          <w:sz w:val="18"/>
          <w:szCs w:val="18"/>
          <w:color w:val="auto"/>
        </w:rPr>
      </w:pPr>
    </w:p>
    <w:p>
      <w:pPr>
        <w:ind w:left="460" w:right="120" w:hanging="330"/>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International Exposure. Our managed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78" w:lineRule="exact"/>
        <w:rPr>
          <w:rFonts w:ascii="Arial" w:cs="Arial" w:eastAsia="Arial" w:hAnsi="Arial"/>
          <w:sz w:val="18"/>
          <w:szCs w:val="18"/>
          <w:color w:val="auto"/>
        </w:rPr>
      </w:pPr>
    </w:p>
    <w:p>
      <w:pPr>
        <w:ind w:left="460" w:right="420" w:hanging="330"/>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performance of our money market funds and portfolios are impacted by the historically low interest rate environment.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money market funds' and portfolios' performance or yield is dependent on the income earned from the underlying securities exceeding the operating costs of the fund. When interest rates are at or near the historic lows, the operating costs of the funds will become a greater portion of the portfolio's net income, thereby reducing the yield of the funds to very low levels. Since the second half of 2009, such an environment has led us to voluntarily waive our advisory and other fees earned on our money market funds and trusts in order to maintain yields at or above 0% for fund investors. Such actions reduce our advisory fee income and net income. The actual amount of fees waived is dependent on a number of variables including, among others, changes in the net assets held by our money market funds, changes in market yields, changes in the expense levels of the funds, and our willingness to voluntarily continue such fee waivers. Also, bank deposits may become more attractive to investors and money market funds could experience significant redemptions, which could decrease our revenues and net income. For further discussion of the fees we waived in the current period, management's expectation as to future fee waivers, and the net cash flows of our money market funds and trusts, please see our Management's Discussion and Analysis of Financial Condition and Results of Operations in Item 7 of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60-days notice. If a Price fund seeks to lower the fees that we receive or terminate its contract with us, we would experience a decline in fees earned from the Price funds, which could have a material adverse effect on our revenues and net income.</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225" w:lineRule="exact"/>
        <w:rPr>
          <w:sz w:val="20"/>
          <w:szCs w:val="20"/>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mutual fund companies,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hedge funds,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traded funds,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brokerage and investment banking firms,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fees and related expenses, and the scope and quality of investment advice and other client services. Some institutions have proprietary products and distribution channels that make it more difficult for us to compete with them. Most of our investment portfolios are available without sales or redemption fees, which means that investors may be more willing to transfer assets to competing funds.</w:t>
      </w:r>
    </w:p>
    <w:p>
      <w:pPr>
        <w:spacing w:after="0" w:line="16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If current or potential customers decide to use one of our competitors, we could face a significant decline in market share, assets under management, revenues, and net income. In the event that we were to decide to reduce the fees we charge for investment advisory services in response to competitive pressures, revenues and operating margins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success depends on our highly skilled personnel, including our portfolio and fund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effect on our reputation and subject us to regulatory sanctions, fines, penalties, litigation, and a decrease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225" w:lineRule="exact"/>
        <w:rPr>
          <w:sz w:val="20"/>
          <w:szCs w:val="20"/>
          <w:color w:val="auto"/>
        </w:rPr>
      </w:pPr>
    </w:p>
    <w:p>
      <w:pPr>
        <w:ind w:left="460" w:right="60" w:hanging="330"/>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properly perform or oversee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color w:val="auto"/>
        </w:rPr>
      </w:pPr>
    </w:p>
    <w:p>
      <w:pPr>
        <w:ind w:left="460" w:right="440" w:hanging="330"/>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properly perform transfer agent and participant recordkeeping responsibilities, including transaction processing, supervision of staff, tax reporting, and record retention;</w:t>
      </w:r>
    </w:p>
    <w:p>
      <w:pPr>
        <w:spacing w:after="0" w:line="62" w:lineRule="exact"/>
        <w:rPr>
          <w:rFonts w:ascii="Arial" w:cs="Arial" w:eastAsia="Arial" w:hAnsi="Arial"/>
          <w:sz w:val="18"/>
          <w:szCs w:val="18"/>
          <w:color w:val="auto"/>
        </w:rPr>
      </w:pPr>
    </w:p>
    <w:p>
      <w:pPr>
        <w:jc w:val="both"/>
        <w:ind w:left="460" w:right="40" w:hanging="330"/>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 and</w:t>
      </w:r>
    </w:p>
    <w:p>
      <w:pPr>
        <w:spacing w:after="0" w:line="73" w:lineRule="exact"/>
        <w:rPr>
          <w:rFonts w:ascii="Arial" w:cs="Arial" w:eastAsia="Arial" w:hAnsi="Arial"/>
          <w:sz w:val="18"/>
          <w:szCs w:val="18"/>
          <w:color w:val="auto"/>
        </w:rPr>
      </w:pPr>
    </w:p>
    <w:p>
      <w:pPr>
        <w:ind w:left="460" w:right="60" w:hanging="330"/>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vendors who, now or in the future, may perform or support important parts of our operations as there can be no assurance that they will perform properly or that our processes and plans to transition or delegate these functions to others will be successful or that there will not be interruptions in services from these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225" w:lineRule="exact"/>
        <w:rPr>
          <w:sz w:val="20"/>
          <w:szCs w:val="20"/>
          <w:color w:val="auto"/>
        </w:rPr>
      </w:pPr>
    </w:p>
    <w:p>
      <w:pPr>
        <w:ind w:left="460" w:right="38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level of our advertising expenses, including the costs of expanding investment advisory services to investors outside of the U.S. and further penetrating U.S. distribution channels;</w:t>
      </w:r>
    </w:p>
    <w:p>
      <w:pPr>
        <w:spacing w:after="0" w:line="62" w:lineRule="exact"/>
        <w:rPr>
          <w:rFonts w:ascii="Arial" w:cs="Arial" w:eastAsia="Arial" w:hAnsi="Arial"/>
          <w:sz w:val="18"/>
          <w:szCs w:val="18"/>
          <w:color w:val="auto"/>
        </w:rPr>
      </w:pPr>
    </w:p>
    <w:p>
      <w:pPr>
        <w:ind w:left="460" w:right="40" w:hanging="330"/>
        <w:spacing w:after="0" w:line="34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15" w:lineRule="exact"/>
        <w:rPr>
          <w:rFonts w:ascii="Arial" w:cs="Arial" w:eastAsia="Arial" w:hAnsi="Arial"/>
          <w:sz w:val="16"/>
          <w:szCs w:val="16"/>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future impairment of investments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right="62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360" w:lineRule="exact"/>
        <w:rPr>
          <w:sz w:val="20"/>
          <w:szCs w:val="20"/>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23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of our sponsored investment products, any financial support provided would reduce capital available for other purposes and may have an adverse effect on revenues and net income</w:t>
      </w:r>
      <w:r>
        <w:rPr>
          <w:rFonts w:ascii="Arial" w:cs="Arial" w:eastAsia="Arial" w:hAnsi="Arial"/>
          <w:sz w:val="19"/>
          <w:szCs w:val="19"/>
          <w:color w:val="auto"/>
        </w:rPr>
        <w:t>.</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in the U.S. and abroad and such relationships may not be available or profitable to us in the future.</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These contracted third-party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Armed conflict, terrorist attacks, cyber-attacks, power failures, and natural disasters could adversely affect our revenues, expenses, and net income by:</w:t>
      </w:r>
    </w:p>
    <w:p>
      <w:pPr>
        <w:spacing w:after="0" w:line="237"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associates,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significant portion of our business operations are concentrated in the Baltimore, Maryland region and in London, England. 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currently have a substantial portion of our assets invested in sponsored stock, blended asset, and bond funds. All of these investments are subject to investment market risk and our non-operating investment income could be adversely affected by the realization of losses upon the disposition of our investments or the recognition of significant other-than-temporary impairments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the case of our available-for-sale portfolio and the recognition of unrealized losses related to our sponsored investment portfolios that are held as trading and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review and pursue acquisition and venture opportunities in order to maintain or enhance our competitive position.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strategic transaction can involve a number of risks, including additional demands on our staff; unanticipated problems regarding integration of investor account and investment security recordkeeping, additional or new regulatory requirements,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81"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 or impact our expenses and profitability. Additionally, some regulations may not directly apply to our business but may impact the capital markets, service providers or other indirect effects on our ability to provide services to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left="500" w:right="500" w:hanging="330"/>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Volcker Rule will not directly impact T. Rowe Price Group; however, there remains the risk that the rule could impact the liquidity in capital markets, which may make it more difficult or costly to execute certain security transactions on behalf of our clients.</w:t>
      </w:r>
    </w:p>
    <w:p>
      <w:pPr>
        <w:spacing w:after="0" w:line="146" w:lineRule="exact"/>
        <w:rPr>
          <w:rFonts w:ascii="Arial" w:cs="Arial" w:eastAsia="Arial" w:hAnsi="Arial"/>
          <w:sz w:val="17"/>
          <w:szCs w:val="17"/>
          <w:color w:val="auto"/>
        </w:rPr>
      </w:pPr>
    </w:p>
    <w:p>
      <w:pPr>
        <w:ind w:left="500" w:right="30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part of the debate in Washington, D.C. related to the economy and the U.S. deficit, there has been increasing focus on the framework of the U.S. retirement system. We could incur increased costs if new regulatory requirements are adopted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79" w:lineRule="exact"/>
        <w:rPr>
          <w:sz w:val="20"/>
          <w:szCs w:val="20"/>
          <w:color w:val="auto"/>
        </w:rPr>
      </w:pPr>
    </w:p>
    <w:p>
      <w:pPr>
        <w:jc w:val="both"/>
        <w:ind w:left="500" w:right="60"/>
        <w:spacing w:after="0" w:line="306" w:lineRule="auto"/>
        <w:rPr>
          <w:sz w:val="20"/>
          <w:szCs w:val="20"/>
          <w:color w:val="auto"/>
        </w:rPr>
      </w:pPr>
      <w:r>
        <w:rPr>
          <w:rFonts w:ascii="Arial" w:cs="Arial" w:eastAsia="Arial" w:hAnsi="Arial"/>
          <w:sz w:val="18"/>
          <w:szCs w:val="18"/>
          <w:color w:val="auto"/>
        </w:rPr>
        <w:t>since retirement plans are a significant part of our client base and other types of retirement accounts invest in our mutual funds. In addition, changes to the current framework may impact our business in other ways. For example, proposals to reduce contributions to Individual Retirement Accounts and Defined Contribution plans for certain individuals, as well as potential changes to Defined Benefit plans, may result in increased plan terminations and reduce our opportunity to manage and service retirement assets.</w:t>
      </w:r>
    </w:p>
    <w:p>
      <w:pPr>
        <w:spacing w:after="0" w:line="160" w:lineRule="exact"/>
        <w:rPr>
          <w:sz w:val="20"/>
          <w:szCs w:val="20"/>
          <w:color w:val="auto"/>
        </w:rPr>
      </w:pPr>
    </w:p>
    <w:p>
      <w:pPr>
        <w:ind w:left="500" w:right="100" w:hanging="330"/>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U.S. Department of Labor and Securities and Exchange Commission (SEC) are considering changes to definitions and rules related to fiduciaries. Depending on their nature, these changes may impact our ability to service clients or engage in certain distribution or other business activities.</w:t>
      </w:r>
    </w:p>
    <w:p>
      <w:pPr>
        <w:spacing w:after="0" w:line="123" w:lineRule="exact"/>
        <w:rPr>
          <w:rFonts w:ascii="Arial" w:cs="Arial" w:eastAsia="Arial" w:hAnsi="Arial"/>
          <w:sz w:val="16"/>
          <w:szCs w:val="16"/>
          <w:color w:val="auto"/>
        </w:rPr>
      </w:pPr>
    </w:p>
    <w:p>
      <w:pPr>
        <w:ind w:left="500" w:hanging="330"/>
        <w:spacing w:after="0" w:line="297"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If, however, any T. Rowe Price fund or T. Rowe Price affiliate is deemed a SIFI, increased regulatory oversight would apply, which may include enhanced capital, liquidity, leverage, stress testing, resolution planning, and risk management requirements.</w:t>
      </w:r>
    </w:p>
    <w:p>
      <w:pPr>
        <w:spacing w:after="0" w:line="158" w:lineRule="exact"/>
        <w:rPr>
          <w:rFonts w:ascii="Arial" w:cs="Arial" w:eastAsia="Arial" w:hAnsi="Arial"/>
          <w:sz w:val="16"/>
          <w:szCs w:val="16"/>
          <w:color w:val="auto"/>
        </w:rPr>
      </w:pPr>
    </w:p>
    <w:p>
      <w:pPr>
        <w:ind w:left="500" w:hanging="330"/>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23, 2014, the SEC adopted additional reforms regulating money market funds. The reforms will require institutional non-government money market funds to operate with a floating net asset value (NAV) and require all non-government money market funds to impose liquidity fees and redemption gates under certain conditions. Government and retail money market funds will continue using current pricing and accounting methods to seek to maintain a stable NAV. The SEC adopted other reforms for money market funds, including additional disclosure and reporting requirements, tightening of diversification requirements, and enhanced stress testing. These reforms will take effect over the next two years and could have a negative impact on the attractiveness of such funds to investors and also subject us to additional regulatory requirements and costs to comply with such requirements.</w:t>
      </w:r>
    </w:p>
    <w:p>
      <w:pPr>
        <w:spacing w:after="0" w:line="189" w:lineRule="exact"/>
        <w:rPr>
          <w:rFonts w:ascii="Arial" w:cs="Arial" w:eastAsia="Arial" w:hAnsi="Arial"/>
          <w:sz w:val="18"/>
          <w:szCs w:val="18"/>
          <w:color w:val="auto"/>
        </w:rPr>
      </w:pPr>
    </w:p>
    <w:p>
      <w:pPr>
        <w:ind w:left="500" w:hanging="330"/>
        <w:spacing w:after="0" w:line="31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Commodity Futures Trading Commission has adopted certain amendments to its rules that would limit the ability of mutual funds and certain other products we sponsor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146" w:lineRule="exact"/>
        <w:rPr>
          <w:rFonts w:ascii="Arial" w:cs="Arial" w:eastAsia="Arial" w:hAnsi="Arial"/>
          <w:sz w:val="16"/>
          <w:szCs w:val="16"/>
          <w:color w:val="auto"/>
        </w:rPr>
      </w:pPr>
    </w:p>
    <w:p>
      <w:pPr>
        <w:ind w:left="500" w:right="320" w:hanging="330"/>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rFonts w:ascii="Arial" w:cs="Arial" w:eastAsia="Arial" w:hAnsi="Arial"/>
          <w:sz w:val="18"/>
          <w:szCs w:val="18"/>
          <w:color w:val="auto"/>
        </w:rPr>
      </w:pPr>
    </w:p>
    <w:p>
      <w:pPr>
        <w:ind w:left="500" w:right="200" w:hanging="330"/>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regulations on OTC derivatives are evolving, including new and proposed regulations under The Dodd-Frank Wall Street Reform and Consumer Protection Act and European Market Infrastructure Regulation relating to central clearing counterparties, trade reporting, and repositories. There remains uncertainty related to various requirements under these regulations and the exact manner in which they will impact current trading strategies for our clients.</w:t>
      </w:r>
    </w:p>
    <w:p>
      <w:pPr>
        <w:spacing w:after="0" w:line="186" w:lineRule="exact"/>
        <w:rPr>
          <w:rFonts w:ascii="Arial" w:cs="Arial" w:eastAsia="Arial" w:hAnsi="Arial"/>
          <w:sz w:val="18"/>
          <w:szCs w:val="18"/>
          <w:color w:val="auto"/>
        </w:rPr>
      </w:pPr>
    </w:p>
    <w:p>
      <w:pPr>
        <w:ind w:left="500" w:right="60" w:hanging="330"/>
        <w:spacing w:after="0" w:line="297"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revised Markets in Financial Instruments Directive (MiFID II Directive) and Regulation (MiFIR) (together “MiFID II”) will apply across the European Union (EU) and member states of the European Economic Area from January 3, 2017. Implementation of MiFID II will significantly impact both the structure and operation of EU financial markets. Some of the main changes introduced under MiFID II include applying enhanced disclosure requirements, further conduct of business requirements, enhancing governance requirements, broadening the scope of pre and post trade transparency, increasing transaction reporting requirements, and changes to the regulation of trading venues. Compliance with MiFID II will increase our costs.</w:t>
      </w:r>
    </w:p>
    <w:p>
      <w:pPr>
        <w:spacing w:after="0" w:line="15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even maintain their operations if we were unable to make additional investments in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we fail to maintain adequate infrastructure to conduct or expand our operations or if our technology became inoperative or obsolete.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225"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our technology systems, including those provided by vendors, are vulnerable to disability or failures due to cyber-attacks such as hacking or viruses,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 we might lose customers and fail to maintain regulatory compliance, which could affect our results of operations and severely damage our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or our third-party service providers’ systems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170"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corporate headquarters occupies 422,000 square feet of space at 100 East Pratt Street in Baltimore, Maryland. In January 2014, we renewed and extended this lease through 2027. We have offices in 14 countries around the world, including the U.S.</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290,000 square feet in Colorado Springs, Colorado and 1.2 million square feet on three parcels of land in close proximity to Baltimore in Owings Mills, Maryland, including 405,100 square feet of space in two new facilities that we placed into service in the fourth quarter of 2013. We maintain a 59,940 square foot technology support facility in Hagerstown, Maryland, and own a 72-acre parcel of land in Pasco County, Florida to accommodate potential future development as business demands require.</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six investor centers for walk-in traffic and investor meetings, four of which are in leased facilities located in Baltimore, Maryland, Tampa, Florida, Washington, D.C, and McLean, VA. The remaining two investor centers are located in our owned facilities in Colorado Springs and Owings Mills.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lease all our offices outside the U.S., including London and Hong Kong, as well as our business operations recovery site in Maryland and our customer service call center in Tampa. We added new leased office space in Italy, Sweden, and Australia in 2014.</w:t>
      </w:r>
    </w:p>
    <w:p>
      <w:pPr>
        <w:spacing w:after="0" w:line="1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Information concerning our anticipated capital expenditures in 2015 and our future minimum rental payments under noncancelable operating leases at December 31, 2014,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six individuals are members of our management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(61), Chief Executive Officer and President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(59), Chairman since 2007, Chief Investment Officer since 2004, and a Vice President since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(58), Vice Chairman since 2007, and a Vice President since 1989.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(54), Head of Equity since 2010, and a Vice President since 1990.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(52), Head of International Equity since 2009 and a Vice President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A. Wiese (55), Head of Fixed Income since January 2015,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W. Strickland, Jr. (53), Head of Services and Technology since 2012, and a Vice President since 2001.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(58), Chief Financial Officer and a Vice President since 2004, and Treasurer since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(39), Principal Accounting Officer since 2010 and a Vice President since 2009.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80"/>
          </w:cols>
          <w:pgMar w:left="240" w:top="125" w:right="379" w:bottom="1440" w:gutter="0" w:footer="0" w:header="0"/>
        </w:sectPr>
      </w:pPr>
    </w:p>
    <w:bookmarkStart w:id="20" w:name="page21"/>
    <w:bookmarkEnd w:id="2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1st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2nd</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3rd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4th</w:t>
            </w:r>
          </w:p>
        </w:tc>
      </w:tr>
      <w:tr>
        <w:trPr>
          <w:trHeight w:val="257"/>
        </w:trPr>
        <w:tc>
          <w:tcPr>
            <w:tcW w:w="6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Quarter</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Quarter</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Quarter</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2013 – High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83.99</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70.96</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6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2014 – High price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88.64</w:t>
            </w:r>
          </w:p>
        </w:tc>
      </w:tr>
      <w:tr>
        <w:trPr>
          <w:trHeight w:val="27"/>
        </w:trPr>
        <w:tc>
          <w:tcPr>
            <w:tcW w:w="6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71.78</w:t>
            </w:r>
          </w:p>
        </w:tc>
      </w:tr>
      <w:tr>
        <w:trPr>
          <w:trHeight w:val="243"/>
        </w:trPr>
        <w:tc>
          <w:tcPr>
            <w:tcW w:w="61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presently plan to declare and pay quarterly cash dividends in 2015 that, taken together, will exceed the $1.76 per share in annual regular dividends declared and paid in 2014. Our annual regular dividends per share have increased every year since we became a public company in 1986; however, there can be no assurance that we will continue to pay dividends at increasing rates or at all.</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Employee Long-Term Incentive Plans &amp; Non-</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Employee Stock</w:t>
            </w:r>
          </w:p>
        </w:tc>
        <w:tc>
          <w:tcPr>
            <w:tcW w:w="158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Employee Director Plans</w:t>
            </w: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Purchase Plan</w:t>
            </w:r>
          </w:p>
        </w:tc>
        <w:tc>
          <w:tcPr>
            <w:tcW w:w="15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Total</w:t>
            </w:r>
          </w:p>
        </w:tc>
      </w:tr>
      <w:tr>
        <w:trPr>
          <w:trHeight w:val="237"/>
        </w:trPr>
        <w:tc>
          <w:tcPr>
            <w:tcW w:w="4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Exercise of outstanding options</w:t>
            </w:r>
          </w:p>
        </w:tc>
        <w:tc>
          <w:tcPr>
            <w:tcW w:w="120" w:type="dxa"/>
            <w:vAlign w:val="bottom"/>
          </w:tcPr>
          <w:p>
            <w:pPr>
              <w:spacing w:after="0"/>
              <w:rPr>
                <w:sz w:val="20"/>
                <w:szCs w:val="20"/>
                <w:color w:val="auto"/>
              </w:rPr>
            </w:pPr>
          </w:p>
        </w:tc>
        <w:tc>
          <w:tcPr>
            <w:tcW w:w="3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29,761,519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29,761,519</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of outstanding restricted stock units</w:t>
            </w:r>
          </w:p>
        </w:tc>
        <w:tc>
          <w:tcPr>
            <w:tcW w:w="3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1,055,015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1,055,015</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Future issuances</w:t>
            </w:r>
          </w:p>
        </w:tc>
        <w:tc>
          <w:tcPr>
            <w:tcW w:w="3560" w:type="dxa"/>
            <w:vAlign w:val="bottom"/>
          </w:tcPr>
          <w:p>
            <w:pPr>
              <w:jc w:val="right"/>
              <w:ind w:right="50"/>
              <w:spacing w:after="0"/>
              <w:rPr>
                <w:sz w:val="20"/>
                <w:szCs w:val="20"/>
                <w:color w:val="auto"/>
              </w:rPr>
            </w:pPr>
            <w:r>
              <w:rPr>
                <w:rFonts w:ascii="Arial" w:cs="Arial" w:eastAsia="Arial" w:hAnsi="Arial"/>
                <w:sz w:val="18"/>
                <w:szCs w:val="18"/>
                <w:color w:val="auto"/>
              </w:rPr>
              <w:t>14,101,640</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3,412,508</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17,514,148</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44,918,174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3,412,508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48,330,682</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outstanding options above have a weighted-average exercise price of $56.95. Under the terms of the 2012 Long-Term Incentive Plan, approved by stockholders in April 2012,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Total Number of</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Shares Purchased as</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Total Number of</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Average Price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Part of Publicly</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57"/>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Month</w:t>
            </w:r>
          </w:p>
        </w:tc>
        <w:tc>
          <w:tcPr>
            <w:tcW w:w="2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Shares Purchased</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Paid per Share</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Announced Program</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the Program</w:t>
            </w:r>
          </w:p>
        </w:tc>
      </w:tr>
      <w:tr>
        <w:trPr>
          <w:trHeight w:val="237"/>
        </w:trPr>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October</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1,338,157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76.79</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1,303,866</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6,000,804</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192,660</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2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5,900,804</w:t>
            </w: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433,762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85.03</w:t>
            </w:r>
          </w:p>
        </w:tc>
        <w:tc>
          <w:tcPr>
            <w:tcW w:w="12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0"/>
              <w:spacing w:after="0"/>
              <w:rPr>
                <w:sz w:val="20"/>
                <w:szCs w:val="20"/>
                <w:color w:val="auto"/>
              </w:rPr>
            </w:pPr>
            <w:r>
              <w:rPr>
                <w:rFonts w:ascii="Arial" w:cs="Arial" w:eastAsia="Arial" w:hAnsi="Arial"/>
                <w:sz w:val="18"/>
                <w:szCs w:val="18"/>
                <w:color w:val="auto"/>
              </w:rPr>
              <w:t>20,900,804</w:t>
            </w: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57"/>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1,964,579</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1,403,866</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outstanding shares surrendered to the company to pay the exercise price in connection with swap exercises of employee stock options, and shares withheld to cover the minimum tax withholding obligations associated with the vesting of restricted stock awards. Of the shares purchased in the fourth quarter of 2014, there were 416,157 related to shares surrendered to the company in connection with employee stock option exercises and 144,556 related to shares withheld to cover tax withholdings associated with the vesting of restricted stock awards.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2014, we repurchased 5,312,663 shares of our common stock pursuant to the Board of Directors’ September 8, 2010 authorization. On December 11, 2014, our Board of Directors approved a 15 million share increase in the authorization to repurchase our common stock.</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have 6,359 stockholders of record and approximately 195,000 beneficial stockholder accounts held by brokers, banks, and other intermediaries holding our common stock. Common stock owned outright by our associates, combined with outstanding vested stock options and unvested restricted stock awards, total nearly 16% of our outstanding shares and outstanding vested stock options at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2010</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2011</w:t>
            </w: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2012</w:t>
            </w: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4"/>
          </w:tcPr>
          <w:p>
            <w:pPr>
              <w:jc w:val="right"/>
              <w:spacing w:after="0"/>
              <w:rPr>
                <w:sz w:val="20"/>
                <w:szCs w:val="20"/>
                <w:color w:val="auto"/>
              </w:rPr>
            </w:pPr>
            <w:r>
              <w:rPr>
                <w:rFonts w:ascii="Arial" w:cs="Arial" w:eastAsia="Arial" w:hAnsi="Arial"/>
                <w:sz w:val="18"/>
                <w:szCs w:val="18"/>
                <w:color w:val="auto"/>
              </w:rPr>
              <w:t>(in millions, except per-share data)</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1,037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1,891</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672</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r>
      <w:tr>
        <w:trPr>
          <w:trHeight w:val="324"/>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Basic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3.47</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Cash dividends declared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324"/>
        </w:trPr>
        <w:tc>
          <w:tcPr>
            <w:tcW w:w="3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257.2</w:t>
            </w: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255.6</w:t>
            </w:r>
          </w:p>
        </w:tc>
        <w:tc>
          <w:tcPr>
            <w:tcW w:w="4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253.4</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258.3</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265.1</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w:t>
            </w: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5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266.3</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267.4</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Cash dividends declared in 2012 includes a special dividend of $1.00 per share that we paid on December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31750</wp:posOffset>
            </wp:positionV>
            <wp:extent cx="4999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20" w:type="dxa"/>
            <w:vAlign w:val="bottom"/>
          </w:tcPr>
          <w:p>
            <w:pPr>
              <w:jc w:val="right"/>
              <w:spacing w:after="0"/>
              <w:rPr>
                <w:sz w:val="20"/>
                <w:szCs w:val="20"/>
                <w:color w:val="auto"/>
              </w:rPr>
            </w:pPr>
            <w:r>
              <w:rPr>
                <w:rFonts w:ascii="Arial" w:cs="Arial" w:eastAsia="Arial" w:hAnsi="Arial"/>
                <w:sz w:val="18"/>
                <w:szCs w:val="18"/>
                <w:color w:val="auto"/>
              </w:rPr>
              <w:t>2013</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 (in millions)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3,642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3,770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4,203</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5,033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5,644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10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4,818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482.0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576.8</w:t>
            </w:r>
          </w:p>
        </w:tc>
        <w:tc>
          <w:tcPr>
            <w:tcW w:w="102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692.4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746.8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 the U.S. Investment advisory clients outside the U.S. account for 5.6% of our assets under management at December 31,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U.S. equities, as measured by the S&amp;P 500 Index, rose in 2014 for the sixth consecutive year, as the economy rebounded strongly from a first-quarter weather-related contraction. Although economic growth faltered overseas and geopolitical tensions increased because of Russia’s actions involving Ukraine and international sanctions, the U.S. market was supported by falling long-term interest rates, favorable corporate earnings, and expanded stimulus efforts in the eurozone and Japan. Also, tumbling oil prices in the second half of the year, though unfavorable for the energy sector, were seen as a generally positive factor for the U.S.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Equities in developed non-U.S. markets declined in dollar terms in 2014, as a stronger U.S. dollar versus other currencies reduced overseas returns to U.S. investors. Asian markets generally held up better than European markets. In Japan, the economy entered recession following an April 1, 2014 sales tax increase that caused consumers and businesses to significantly curtail spending. The eurozone struggled with low inflation, high unemployment, and a loss of consumer and business confidence.</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Emerging markets equities, in aggregate, declined in dollar terms but held up better than developed non-U.S. markets. Developing Asian markets performed best with many markets in the region producing strong returns. Latin American markets mostly declined. Emerging European markets underperformed amid severe weakness in Russia, whose currency plunged 45%.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equity market indexes for the full year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398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7"/>
        </w:trPr>
        <w:tc>
          <w:tcPr>
            <w:tcW w:w="744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Composite Index (excluding dividends)</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39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744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MSCI Emerging Markets Index</w:t>
            </w:r>
          </w:p>
        </w:tc>
        <w:tc>
          <w:tcPr>
            <w:tcW w:w="39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Global bonds produced mostly positive returns in 2014. In the U.S., lower-quality corporate bonds underperformed investment-grade issues for the year and declined in the second half of the year because of weakness in the energy sector, the largest segment of the high yield market. Investment-grade issues produced good results, led by long-term Treasury securities amid strong demand for relatively high-yielding safe-haven government debt. Long-term interest rates declined despite the Federal Reserve’s reduction of monthly asset purchases and conclusion of such purchases in October. The 10-year Treasury note yield finished 2014 at 2.2% versus 3.0% at the end of 2013.</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Government bonds in developed non-U.S. markets produced moderate losses in U.S. dollar terms, as the stronger dollar more than offset local-currency gains stemming from declining yields in key government bond markets. Emerging markets bonds performed well amid persistent demand for higher-yielding assets and as concerns about the impact of Fed tapering on global liquidity diminished as the year progressed. Dollar-denominated emerging markets bonds performed better than local-currency issues.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the full year 2014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40"/>
              <w:spacing w:after="0"/>
              <w:rPr>
                <w:sz w:val="20"/>
                <w:szCs w:val="20"/>
                <w:color w:val="auto"/>
              </w:rPr>
            </w:pPr>
            <w:r>
              <w:rPr>
                <w:rFonts w:ascii="Arial" w:cs="Arial" w:eastAsia="Arial" w:hAnsi="Arial"/>
                <w:sz w:val="18"/>
                <w:szCs w:val="18"/>
                <w:color w:val="auto"/>
              </w:rPr>
              <w:t>Barclays U.S. Aggregate Bond Index</w:t>
            </w:r>
          </w:p>
        </w:tc>
        <w:tc>
          <w:tcPr>
            <w:tcW w:w="39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74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Suisse High Yield Index</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Barclays Municipal Bond Index</w:t>
            </w:r>
          </w:p>
        </w:tc>
        <w:tc>
          <w:tcPr>
            <w:tcW w:w="396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74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JPMorgan Emerging Markets Index Plus</w:t>
            </w:r>
          </w:p>
        </w:tc>
        <w:tc>
          <w:tcPr>
            <w:tcW w:w="3960" w:type="dxa"/>
            <w:vAlign w:val="bottom"/>
          </w:tcPr>
          <w:p>
            <w:pPr>
              <w:jc w:val="right"/>
              <w:spacing w:after="0"/>
              <w:rPr>
                <w:sz w:val="20"/>
                <w:szCs w:val="20"/>
                <w:color w:val="auto"/>
              </w:rPr>
            </w:pPr>
            <w:r>
              <w:rPr>
                <w:rFonts w:ascii="Arial" w:cs="Arial" w:eastAsia="Arial" w:hAnsi="Arial"/>
                <w:sz w:val="18"/>
                <w:szCs w:val="18"/>
                <w:color w:val="auto"/>
              </w:rPr>
              <w:t>6.2 %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Reflecting the strong growth in equity markets, our assets under management ended 2014 at a record $746.8 billion, an increase of $54.4 billion from the end of 2013. Market appreciation and income, net of distributions not reinvested, added $50.7 billion, and net cash inflows added $3.7 billion in assets under management during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 (in billions) at the end of the year and changes during each of the last three years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Assets under management by investment portfolio</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364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29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 under management by investment objective</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9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gridSpan w:val="2"/>
          </w:tcPr>
          <w:p>
            <w:pPr>
              <w:jc w:val="center"/>
              <w:ind w:right="280"/>
              <w:spacing w:after="0"/>
              <w:rPr>
                <w:sz w:val="20"/>
                <w:szCs w:val="20"/>
                <w:color w:val="auto"/>
              </w:rPr>
            </w:pPr>
            <w:r>
              <w:rPr>
                <w:rFonts w:ascii="Arial" w:cs="Arial" w:eastAsia="Arial" w:hAnsi="Arial"/>
                <w:sz w:val="18"/>
                <w:szCs w:val="18"/>
                <w:color w:val="auto"/>
                <w:w w:val="88"/>
              </w:rPr>
              <w:t>December 31,</w:t>
            </w:r>
          </w:p>
        </w:tc>
        <w:tc>
          <w:tcPr>
            <w:tcW w:w="3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Fixed income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Components of changes in assets under management</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9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2120" w:type="dxa"/>
            <w:vAlign w:val="bottom"/>
            <w:tcBorders>
              <w:top w:val="single" w:sz="8" w:color="CCEEFF"/>
            </w:tcBorders>
            <w:gridSpan w:val="6"/>
          </w:tcPr>
          <w:p>
            <w:pPr>
              <w:jc w:val="center"/>
              <w:ind w:right="17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Assets under management at beginning of year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cash flows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market gains and income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Distributions not reinvested</w:t>
            </w: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Assets under management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40" w:type="dxa"/>
            <w:vAlign w:val="bottom"/>
            <w:gridSpan w:val="4"/>
          </w:tcPr>
          <w:p>
            <w:pPr>
              <w:ind w:left="40"/>
              <w:spacing w:after="0"/>
              <w:rPr>
                <w:sz w:val="20"/>
                <w:szCs w:val="20"/>
                <w:color w:val="auto"/>
              </w:rPr>
            </w:pPr>
            <w:r>
              <w:rPr>
                <w:rFonts w:ascii="Arial" w:cs="Arial" w:eastAsia="Arial" w:hAnsi="Arial"/>
                <w:sz w:val="18"/>
                <w:szCs w:val="18"/>
                <w:color w:val="auto"/>
                <w:w w:val="93"/>
              </w:rPr>
              <w:t>Assets under management transferred from our sponsored U.S. mutual funds to our other</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investment portfolios</w:t>
            </w:r>
          </w:p>
        </w:tc>
        <w:tc>
          <w:tcPr>
            <w:tcW w:w="3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net cash inflows in our sponsored U.S. mutual funds over the last three years were sourced primarily from third-party financial intermediaries. In 2013, a vast majority of the net outflows from our other investment portfolios were concentrated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among several large institutional clients outside the U.S. and intermediary clients that changed their investment objectives, repositioned their strategy allocations, or experienced investment performance challenges within their portfolio. In 2014, the net outflows from our other investment portfolios were primarily from a few institutional and subadvisory clients who redeemed significant amounts from a small number of equity and fixed income strategies.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majority of the assets transferred by clients from our sponsored mutual funds to our other investment portfolios disclosed in the previous table were moved from our target-date retirement funds to our collective investment trusts and target-date retirement trusts.</w:t>
      </w:r>
    </w:p>
    <w:p>
      <w:pPr>
        <w:spacing w:after="0" w:line="17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target-date retirement funds and trusts, which invest in a broadly diversified portfolio of other T. Rowe Price funds and T. Rowe Price collective investment trusts and automatically rebalance to maintain their specific asset allocation weightings, are a significant source of cash flows. Net cash flows shown in the previous table include or are net of the following net cash inflows that originated in our target-date portfolios.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7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Target-date retirement funds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w:t>
            </w:r>
          </w:p>
        </w:tc>
      </w:tr>
      <w:tr>
        <w:trPr>
          <w:trHeight w:val="27"/>
        </w:trPr>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Target-date retirement trusts</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57"/>
        </w:trPr>
        <w:tc>
          <w:tcPr>
            <w:tcW w:w="6700" w:type="dxa"/>
            <w:vAlign w:val="bottom"/>
          </w:tcPr>
          <w:p>
            <w:pPr>
              <w:ind w:left="20"/>
              <w:spacing w:after="0"/>
              <w:rPr>
                <w:sz w:val="20"/>
                <w:szCs w:val="20"/>
                <w:color w:val="auto"/>
              </w:rPr>
            </w:pPr>
            <w:r>
              <w:rPr>
                <w:rFonts w:ascii="Arial" w:cs="Arial" w:eastAsia="Arial" w:hAnsi="Arial"/>
                <w:sz w:val="18"/>
                <w:szCs w:val="18"/>
                <w:color w:val="auto"/>
              </w:rPr>
              <w:t>Total target-date portfolios</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w:t>
            </w: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Assets under management at December 31, 2014, in these target-date portfolios totaled $148.5 billion, including $126.0 billion in target-date retirement funds and $22.5 billion in target-date retirement trusts.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Strong investment performance and brand awareness is a key driver to attracting assets and to our long-term success. For 2014, 74% of the T. Rowe Price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 mutual funds across their share classes outperformed their comparable Lipper averages on a total return basis for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80% outperformed for the five-year period, 88% outperformed for the 10-year period, and 73% outperformed for the one-year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 Rowe Price stock, bond and blended asset funds that were given an overall rating of four or five stars from Morningstar at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for 82% of the assets under management in our rated funds. The performance of our institutional strategies against their benchmarks was substantially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Our target-date retirement funds continue to deliver very attractive long-term performance, with 100% of these funds outperforming their comparable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Lipper averages on a total return basis for the three- and five-year periods ended December 31, 2014.</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often involve costs that precede any future revenues that we may recognize from an increase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2014 versus </w:t>
      </w:r>
      <w:r>
        <w:rPr>
          <w:rFonts w:ascii="Arial" w:cs="Arial" w:eastAsia="Arial" w:hAnsi="Arial"/>
          <w:sz w:val="18"/>
          <w:szCs w:val="18"/>
          <w:u w:val="single" w:color="auto"/>
          <w:color w:val="auto"/>
          <w:highlight w:val="white"/>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-121920</wp:posOffset>
            </wp:positionV>
            <wp:extent cx="2603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31750</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Percent Change</w:t>
            </w:r>
          </w:p>
        </w:tc>
      </w:tr>
      <w:tr>
        <w:trPr>
          <w:trHeight w:val="27"/>
        </w:trPr>
        <w:tc>
          <w:tcPr>
            <w:tcW w:w="4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 except per-share data)</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Investment advisory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3,464.5</w:t>
            </w:r>
          </w:p>
        </w:tc>
        <w:tc>
          <w:tcPr>
            <w:tcW w:w="3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3,022.6</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441.9</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4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3,982.1</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3,484.2</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2,091.2</w:t>
            </w:r>
          </w:p>
        </w:tc>
        <w:tc>
          <w:tcPr>
            <w:tcW w:w="3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1,846.8</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1,890.9</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3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4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1,229.6</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324"/>
        </w:trPr>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891"/>
        </w:trPr>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2"/>
          </w:tcPr>
          <w:p>
            <w:pPr>
              <w:ind w:left="960"/>
              <w:spacing w:after="0"/>
              <w:rPr>
                <w:sz w:val="20"/>
                <w:szCs w:val="20"/>
                <w:color w:val="auto"/>
              </w:rPr>
            </w:pPr>
            <w:r>
              <w:rPr>
                <w:rFonts w:ascii="Arial" w:cs="Arial" w:eastAsia="Arial" w:hAnsi="Arial"/>
                <w:sz w:val="18"/>
                <w:szCs w:val="18"/>
                <w:color w:val="auto"/>
                <w:w w:val="86"/>
              </w:rPr>
              <w:t>Page 24</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Investment advisory fees earned in 2014 are up 14.6% over 2013 as average assets under our management increased $90.9 billion, or 14.3%, to $724.7 billion. The average annualized fee rate earned on our assets under management was 47.8 basis points during 2014, virtually unchanged from the 47.7 basis points earned in 2013. In 2014, we voluntarily waived $58.4 million in money market-related fees, including advisory fees and fund expenses, in order to maintain a positive yield for fund investors. The fee waivers in 2014 were up $7.2 million from the $51.2 million waived in 2013 and represent about 2% of total investment advisory revenues earned in 2014. Fees were waived from each of our money market funds and trusts, which have combined net assets at December 31, 2014, of $16.0 billion, or 2.1% of our total assets under management. We expect that these fee waivers will continue in 2015.</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Greater average assets under management have increased our investment advisory revenues and helped lift our operating margin in 2014 to 47.5% compared to 47.0% in the 2013 period. Non-operating investment income in 2014 includes higher gains of $35.8 million realized from the sale of certain of our sponsored fund holdings. The proceeds from these sales were primarily used to provide additional seed capital to other sponsored funds in support of our distribution efforts outside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Investment advisory revenues earned from the T. Rowe Price mutual funds distributed in the U.S. were $2.5 billion in 2014, an increase of 16.9%, or $359.7 million, on higher average mutual fund assets. In 2014, average mutual fund assets were $460.9 billion, an increase of 17.8% from the 2013 average.</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Mutual fund assets were $477.6 billion at December 31, 2014, an increase of $42.3 billion from $435.3 billion at the end of 2013. Investors added net cash inflows during 2014 of $11.8 billion, including $3.7 billion into our stock and blended asset funds and $8.3 billion into our bond funds. The money market funds had net outflows of $.2 billion. These cash flow amounts are presented net of $5.3 billion that clients transferred to the other investment portfolios, primarily our collective investment trusts and target-date retirement trusts. Without these transfers, the mutual funds would have had net cash inflows of $17.1 billion in 2014. Market appreciation and income, net of distributions not reinvested, added $30.5 billion to our mutual fund assets under management in 2014.</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$82.2 million, or 9.2%, to $978.7 million. Average assets in these portfolios were $263.8 billion during 2014, an increase of $21.2 billion, or 8.7%, from the 2013 year. Assets in these portfolios at December 31, 2014, were $269.2 billion, an increase of $12.1 billion from the end of 2013. Market appreciation and income of $20.2 billion was partially offset by net outflows of $8.1 billion during 2014. Net outflows during 2014 are presented net of the $5.3 billion assets that clients transferred in from the mutual funds. These net outflows were primarily from a few number of institutional and subadvisory clients who redeemed significant amounts from a small number of equity and fixed income strategies.</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Administrative fees increased $30.3 million to $374.0 million in 2014. The increase is primarily attributable to increased costs incurred to provide fund accounting services and transfer agent servicing activities to the mutual funds and their investors. Changes in administrative fee revenues are generally offset by similar changes in related operating expenses that are incurred to provide services to the funds and their investors.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class shares of our sponsored portfolios were $143.6 million in 2014, an increase of $26.4 million from the comparable 2013 period, on greater average assets under management in these share classes. The 12b-1 fees earned are offset entirely by the costs paid to third-party intermediaries who source these assets. These costs are reported as distribution and servicing costs on the face of our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Compensation and related costs increased 14.9% from 2013 to about $1.3 billion. A significant part of the increase is attributable to a $60.7 million increase in our annual variable compensation program and a $60.8 million increase in salaries and related benefits, which result from a modest increase in salaries at the beginning of 2014 combined with a 4.8% increase in our average staff size over the 2013 period. We continue to increase our staff size to support both business growth and added capabilities. Higher temporary staff expenses, noncash stock-based compensation expense, and other employee costs account for the remainder of the increase in compensation and related costs in the 2014 period. At December 31, 2014, we employed 5,870 associates, an increase of 3.6% from the end of 2013.</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Advertising and promotion expenditures were $76.0 million in 2014, a decrease of $11.0 million from the 2013 period. The decrease in cost from the 2013 period is primarily a result of repurposing this spending to other distribution activities. We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currently expect that advertising and promotion costs for the first quarter of 2015 to be comparable to the fourth quarter of 2014, and the full year 2015 costs could increase about 5% from 2014 levels.</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Occupancy and facility costs together with depreciation expense increased $29.2 million, or 12.9%, versus 2013. Nearly half of the increase is attributable to the opening of two new buildings at our Owings Mills campus in the fourth quarter of 2013 and the renovation of certain existing facilities. The increase also includes the added costs to update and enhance our technology capabilities, including related maintenance programs. These increases were offset by the non-recurrence of the $3.5 million in costs recognized to terminate certain facility leases in 2013.</w:t>
      </w:r>
    </w:p>
    <w:p>
      <w:pPr>
        <w:spacing w:after="0" w:line="17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Other operating expenses were $286.4 million in 2014, an increase of $27.1 million from the comparable 2013 period, as higher business demands and our continued investment in our capabilities have increased our costs. These increased costs include those related to our defined contribution recordkeeping business, information and other third-party service costs, travel costs, and other general and administrative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up $49.2 million from the 2013 period. The increase is due in part to the 2014 results including $49.3 million in gains realized on the sale of certain sponsored fund holdings compared with $13.5 million in gains realized in the comparable 2013 period. Larger year-end dividends, including capital gain distributions, earned from our mutual fund investments of $21.8 million were offset in part by a decrease in net investment gains recognized on certain of our other investments in the 2014 period. The 2013 year also included a $1.5 million gain recognized on the sale of our savings bank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tax rate was 38.6% in 2014 compared to 38.4% in 2013. We currently estimate our effective tax rate for 2015 will be about 38.5%. Our effective income tax rate reflects the relative contribution of pretax income generated by our foreign subsidiaries that are subject to tax rates lower than our U.S. rates. Changes in the relative contribution of pretax income from U.S. and foreign sources or changes in tax rates in relevant foreign jurisdictions may affect our effective income tax rate and overall net income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versus 2012.</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advisory fees in 2013 are up over 2012 as average assets under our management increased $84.4 billion to $633.8 billion for the 2013 year. In addition, the average annualized fee rate earned on our assets under management increased to 47.7 basis points during 2013 from the 47.2 basis points earned in 2012, due primarily to asset growth in higher than average fee rate strategies. We voluntarily waived $51.2 million in money market advisory fees in 2013, an increase of $16.2 million from the $35.0 million waived in 2012, in order to maintain a positive yield for fund investors. These fee waivers represent about 2% of total investment advisory revenues earned in 2013. Fees were waived from each of our money market funds and trusts that have combined net assets at December 31, 2013, of $16.3 billion, or 2.4% of our total assets under management.</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Greater average assets under management and a higher annualized fee rate have increased our investment advisory revenues and helped lift our operating margin in 2013 to 47.0% compared to 45.1% in the 2012 period. Non-operating investment income in 2013 is down compared to 2012, primarily because we sold fewer sponsored fund holdings in 2013 resulting in lower realized gains.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were $2.1 billion in 2013, an increase of 18.8%, or $335.8 million, on higher average mutual fund assets. Average mutual fund assets in 2013 were $391.2 billion, an increase of 19.8% from the 2012 average. Mutual fund assets at December 31, 2013, were $435.3 billion, up $88.4 billion from the end of 2012.</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inflows into the mutual funds during 2013 were $10.2 billion, including $5.8 billion into our stock and blended asset funds, $3.5 billion into our bond funds, and $.9 billion into the money market funds. These mutual fund net inflow amounts are presented net of $7.7 billion that clients transferred to the other investment portfolios, primarily our collective investment trusts and target-date retirement trusts. Without these transfers, the mutual funds would have had net cash inflows of $17.9 billion in 2013. Market appreciation and income, net of distributions not reinvested, added $78.2 billion to our mutual fund assets under management in 2013.</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advisory revenues earned on the other investment portfolios that we manage increased $94.8 million, or 11.8%, to $896.5 million. Average assets in these portfolios were $242.6 billion during 2013, an increase of $19.8 billion, or 8.9%, from the 2012 year. Ending assets at December 31, 2013, were $257.1 billion, an increase of $27.2 billion from the end of 2012. Market appreciation and income of $49.4 billion was reduced by net outflows of $22.2 billion during 2013. Net outflows during 2013 are presented net of the $7.7 billion assets that clients transferred in from the mutual funds. The vast majority of these net outflows were concentrated among several large institutional clients outside the U.S. and intermediary clients that changed their investment objectives, repositioned their strategy allocations, or experienced investment performance challenges within their portfolio.</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Administrative fees increased $11.1 million to $343.7 million in 2013. The increase is primarily attributable to our transfer agent servicing activities and defined contribution recordkeeping services for the mutual funds and their investors.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Class, R Class, and variable annuity class shares of our sponsored portfolios were $117.2 million in 2013, an increase of $21.1 million from the comparable 2012 period on greater average assets under management in these share classes. The 12b-1 fees earned are offset entirely by the costs paid to third-party intermediaries who source these assets. These costs are reported as distribution and servicing costs on the face of our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Compensation and related costs increased 10.4% from 2012 to about $1.2 billion. A significant part of the increase is attributable to a $45.4 million increase in our annual variable compensation program and a $37.2 million increase in salaries and related benefits. We increased our average staff size by 4.1% over 2012 to support both business growth and added capabilities. Higher temporary staff expenses, noncash stock-based compensation expense, and other employee costs account for the remainder of the increase in compensation and related costs in the 2013 period. At December 31, 2013, we employed 5,668 associates, an increase of 5.5% from the end of 2012.</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Advertising and promotion expenditures were $87.0 million in 2013 compared to $88.5 million in 2012. The decrease in cost from the 2012 period is primarily attributable to process efficiencies realized through the realignment of certain marketing activities.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Occupancy and facility costs together with depreciation expense increased $20.8 million, or 10.1%, versus 2012. The increase in costs is largely attributable to the expansion of our international facilities, the opening of two new buildings located at our Owings Mills campus, and continued investment in our technology capabilities, including related maintenance programs. The 2013 year also includes a non-recurring charge of $3.5 million related to the termination of certain facility leases.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were $259.3 million in 2013, an increase of $38.9 million from the comparable 2012 period as increased business demands and our continued investment in our capabilities have increased our costs. These costs include consulting and professional fees, costs related to our defined contribution recordkeeping business, information services, and other third-party services. We also made a higher charitable contribution to the T. Rowe Price Foundation in 2013 than in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non-operating investment income, which includes the recognition of investment gains and losses, was down $7.8 million from the 2012 period. The decrease is due in part to the 2013 results including $13.5 million in gains realized on the sale of certain sponsored fund holdings compared with $35.1 million in gains realized in the comparable 2012 period. This reduction in realized gains was partially offset by $7.9 million in higher dividends received on our sponsored mutual fund holdings and $5.6 million in higher gains recognized on our other investments. The 2013 year also includes a $1.5 million gain recognized on the sale of our savings bank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2013 effective tax rate of 38.4% is unchanged from the 2012 rate. Our effective income tax rate reflects the relative contribution of pretax income generated by our non-U.S. subsidiaries that are subject to tax rates lower than our U.S. rates. Changes in the relative contribution of pretax income from U.S. and non-U.S. sources or changes in tax rates in relevant non-U.S. jurisdictions may affect our effective income tax rate and overall net income in the future.</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340"/>
          </w:cols>
          <w:pgMar w:left="240" w:top="125" w:right="319" w:bottom="1440" w:gutter="0" w:footer="0" w:header="0"/>
        </w:sectPr>
      </w:pPr>
    </w:p>
    <w:bookmarkStart w:id="28" w:name="page29"/>
    <w:bookmarkEnd w:id="2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2014, stockholders’ equity increased from $4.8 billion to $5.4 billion. In 2014, we paid $1.76 per share in regular dividends and expended $415.5 million to repurchase 5,312,663 common shares from existing cash balances and cash generated from operations. We generally repurchase shares of our common stock over time to offset the dilution created by our equity-based compensation plans. Tangible book value is $4.7 billion at December 31, 2014, and our cash and fund investment holdings total $3.4 billion. Given the availability of these financial resources, we do not maintain an available external source of liquidity.</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At December 31, 2014, we had outstanding commitments to make additional contributions totaling $36.6 million to various investment partnerships in which we have an existing investment. These outstanding commitments, if called, will be funded from operating resources. We currently expect total capital expenditures for facilities, equipment, and technology development for 2015 to be up to $175 million, which will be funded from operating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versus 2013.</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Operating activities during 2014 provided cash flows of nearly $1.3 billion, up $58.1 million from the 2013 period. Higher net income, noncash depreciation and amortization, and noncash stock-based compensation in the 2014 period increased cash flows, in aggregate, $221.8 million over the 2013 levels. This aggregate increase was offset by $64.5 million in more cash used in 2014 to seed new sponsored investment portfolios that we are consolidating and treating their underlying investment holdings as trading securities. Timing differences in the cash settlement of our accounts receivable and accrued revenues, payables and accrued liabilities, and other assets and liabilities also decreased our operating cash flows by $69.2 million compared to the 2013 year. Our 2014 operating cash flows were also increased by $35.8 million in higher gains realized from the sale of certain available-for-sale sponsored fund investments as the related proceeds are reflected as an investing activity in our consolidated statements of cash flows.</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used in investing activities totaled $443.4 million, an increase of $5.9 million from 2013. We increased our capital expenditures and other investments activity in 2014 by $20.4 million and $12.1 million, respectively. These increases in net cash used were more than offset by $35.2 million in less net cash invested in our sponsored funds, as we sold more existing investments to fund the new investments in 2014 compared to the 2013 period. The 2013 year also included $8.6 million in net cash proceeds related to our savings bank subsidiary and its sale in December 2013.</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Net cash used in financing activities was $739.8 million in 2014, up $463.0 million from the comparable 2013 period. We increased our common stock repurchases by $401.4 million in 2014 compared with the 2013 period. Cash used for dividends paid in 2014 increased $65.4 million due primarily to the 16% increase in our per-share dividend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versus 2012.</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activities during 2013 provided cash flows of $1.2 billion, up $330.4 million from the 2012 period, including a $164.1 million increase in net income. Timing differences in the cash settlement of our accounts receivable and accrued revenues, payables and accrued liabilities, and other assets and liabilities increased our operating cash flows by $62.4 million compared to the 2012 year. The increase from 2012 is also a result of a $63.7 million reduction in cash used to make net purchases of trading securities held by our consolidated sponsored investment portfolios and a $21.6 million reduction in the adjustment for gains realized from the sale of certain available-for-sale sponsored fund investments as less investments were sold in 2013.</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investing activities totaled $437.5 million, up $127.4 million from 2012. We made $60.1 million more net investments in our sponsored funds during 2013 compared with 2012 as we utilized more of our cash to make additional investments as compared to the rebalancing of the portfolio in 2012. The 2012 year also included greater net cash proceeds of $40.1 million from the sale of debt securities held by our savings bank subsidiary as the bank was sold in early December 2013. We spent $28.9 million more in property and equipment additions in 2013 compared to the 2012 period. The 2013 year also includes a net cash outflow of $11.7 million related to the sale of our savings bank subsidiary as the cash that was held by the bank on the closing date was greater than the $23.6 million in proceeds we received.</w:t>
      </w:r>
    </w:p>
    <w:p>
      <w:pPr>
        <w:spacing w:after="0" w:line="193"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Net cash used in financing activities was $276.8 million in 2013, down $334.7 million from the comparable 2012 period. The decrease is primarily attributable to the repurchase of 2.1 million more shares of common stock and the payment of a $1.00 special dividend in 2012.</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2014.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2015 and future years. The information also excludes the $5.6 million of unrecognized tax benefits discussed in Note 7 to our consolidated financial statements because it is not possible to estimate the time period in which a payment might be made to the tax authorities.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2016-17</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2018-19</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Later</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3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$36.6 million at December 31, 2014.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2014 Annual Report. In the following discussion, we highlight and explain further certain of those policies that are most critical to the preparation and understanding of our financial statements.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Other-than-temporary impairments of available-for-sale securities</w:t>
      </w:r>
      <w:r>
        <w:rPr>
          <w:rFonts w:ascii="Arial" w:cs="Arial" w:eastAsia="Arial" w:hAnsi="Arial"/>
          <w:sz w:val="16"/>
          <w:szCs w:val="16"/>
          <w:color w:val="auto"/>
        </w:rPr>
        <w:t>. We generally classify our investment holdings in sponsored funds as available-for-sale if we are not deemed to a have a controlling financial interest. At the end of each quarter, we mark the carrying amount of each investment holding to fair value and recognize an unrealized gain or loss as a component of comprehensive income within the consolidated statements of comprehensive income. We next review each individual security position that has an unrealized loss or impairment to determine if that impairment is other than temporary.</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determining whether a mutual fund holding is other-than-temporarily impaired, we consider many factors, including the duration of time the impairment has existed, the severity of the impairment, any subsequent changes in value, and our intent and ability to hold the security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for losses that have existed for less than six months in our consolidated statements of income if the particular circumstances of the underlying investment do not warrant our belief that a near-term recovery is possible.</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Other-than-temporary impairments of equity method investments</w:t>
      </w:r>
      <w:r>
        <w:rPr>
          <w:rFonts w:ascii="Arial" w:cs="Arial" w:eastAsia="Arial" w:hAnsi="Arial"/>
          <w:sz w:val="18"/>
          <w:szCs w:val="18"/>
          <w:color w:val="auto"/>
        </w:rPr>
        <w:t>. We evaluate our equity method investments, including our investment in UTI, for impairment when events or changes in circumstances indicate that the carrying value of the investment exceeds its fair value, and the decline in fair value is other than temporary.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statements of income using a fair value 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The objective of the new standard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are required to adopt the new standard on January 1, 2017. We are currently evaluating the impact this standard will have on our financial position and results of operations.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consolidated financial statements, including that which we have not yet adopted. We do not believe that any such guidance will have a material effect on our financial position or results of operation.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following table (in millions) presents the equity price risk from investments in sponsored funds that are accounted for as available-for-sale securities by assuming a hypothetical decline in the fair values of fund shares. We have chosen to use a variant of each fund's net asset value to quantify the equity price risk as we believe the volatility in each fund's net asset value best reflects the underlying risk potential as well as the market trends surrounding each fund's investment objective. The potential future loss of value, before any income tax benefits, of our fund investments at year-end was determined by using the lower of each fund’s lowest net asset value per share during 2014 or its net asset value per share at December 31, 2014, reduced by 10%. In considering this presentation, it is important to note that: not all funds experienced their lowest net asset value per share on the same day; it is likely that the composition of the fund investment portfolio would be changed if adverse market conditions persisted; and we could experience future losses in excess of those presented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Fair value</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14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Potential lower</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Percentage of</w:t>
            </w: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Potential</w:t>
            </w:r>
          </w:p>
        </w:tc>
        <w:tc>
          <w:tcPr>
            <w:tcW w:w="640" w:type="dxa"/>
            <w:vAlign w:val="bottom"/>
            <w:shd w:val="clear" w:color="auto" w:fill="CCEEFF"/>
          </w:tcPr>
          <w:p>
            <w:pPr>
              <w:spacing w:after="0"/>
              <w:rPr>
                <w:sz w:val="19"/>
                <w:szCs w:val="19"/>
                <w:color w:val="auto"/>
              </w:rPr>
            </w:pPr>
          </w:p>
        </w:tc>
      </w:tr>
      <w:tr>
        <w:trPr>
          <w:trHeight w:val="257"/>
        </w:trPr>
        <w:tc>
          <w:tcPr>
            <w:tcW w:w="2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12/31/2014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portfolio</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value</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portfolio</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loss</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37"/>
        </w:trPr>
        <w:tc>
          <w:tcPr>
            <w:tcW w:w="2780" w:type="dxa"/>
            <w:vAlign w:val="bottom"/>
          </w:tcPr>
          <w:p>
            <w:pPr>
              <w:ind w:left="120"/>
              <w:spacing w:after="0"/>
              <w:rPr>
                <w:sz w:val="20"/>
                <w:szCs w:val="20"/>
                <w:color w:val="auto"/>
              </w:rPr>
            </w:pPr>
            <w:r>
              <w:rPr>
                <w:rFonts w:ascii="Arial" w:cs="Arial" w:eastAsia="Arial" w:hAnsi="Arial"/>
                <w:sz w:val="18"/>
                <w:szCs w:val="18"/>
                <w:color w:val="auto"/>
              </w:rPr>
              <w:t>Stock and blended asset funds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732.6</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5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1,036.2</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1,884.0</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1,692.7</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191.3</w:t>
            </w:r>
          </w:p>
        </w:tc>
        <w:tc>
          <w:tcPr>
            <w:tcW w:w="5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comparable potential loss of value in 2013 using the same methodology noted above was $247.1 million, or 15%, on sponsored fund investments of $1,611.9 million. During 2014, we experienced actual net unrealized losses of $2.1 million.</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hold $125.6 million at December 31, 2014, in equity method investments related to seed capital investments we have in sponsored funds in which we are deemed to have significant influence. Given that the funds' net assets are at fair value, we utilized the same methodology to quantify the impact of equity risk on our carrying value as we did for our available-for-sale portfolio as further discussed above. The potential loss in value before any income tax benefits of our equity method investments in sponsored funds was $12.6 million.</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equity method investment in UTI of $132.4 million at December 31, 2014, exposes us to foreign currency risk related to translating our proportionate share of its financial statements, which are denominated in Indian rupees (INR), to U.S. dollars (USD) each reporting period. We do not use derivative financial instruments to manage this foreign currency risk, so both positive and negative fluctuations in the INR against the USD will affect accumulated other comprehensive income and the carrying amount of our investment. We had a cumulative translation loss, net of tax, of $25.7 million at December 31, 2014, related to our investment in UTI. Given the nature of UTI’s business, should conditions deteriorate in markets in which they operate, we are at risk for loss up to our carrying amount.</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00"/>
          </w:cols>
          <w:pgMar w:left="240" w:top="125"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0060" w:type="dxa"/>
            <w:vAlign w:val="bottom"/>
            <w:gridSpan w:val="11"/>
          </w:tcPr>
          <w:p>
            <w:pPr>
              <w:spacing w:after="0"/>
              <w:rPr>
                <w:rFonts w:ascii="Arial" w:cs="Arial" w:eastAsia="Arial" w:hAnsi="Arial"/>
                <w:sz w:val="18"/>
                <w:szCs w:val="18"/>
                <w:color w:val="661DE8"/>
              </w:rPr>
            </w:pPr>
            <w:hyperlink w:anchor="page1">
              <w:r>
                <w:rPr>
                  <w:rFonts w:ascii="Arial" w:cs="Arial" w:eastAsia="Arial" w:hAnsi="Arial"/>
                  <w:sz w:val="18"/>
                  <w:szCs w:val="18"/>
                  <w:color w:val="661DE8"/>
                </w:rPr>
                <w:t>Table of Contents</w:t>
              </w:r>
            </w:hyperlink>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80" w:type="dxa"/>
            <w:vAlign w:val="bottom"/>
            <w:shd w:val="clear" w:color="auto" w:fill="661DE8"/>
          </w:tcPr>
          <w:p>
            <w:pPr>
              <w:spacing w:after="0" w:line="20" w:lineRule="exact"/>
              <w:rPr>
                <w:sz w:val="1"/>
                <w:szCs w:val="1"/>
                <w:color w:val="auto"/>
              </w:rPr>
            </w:pPr>
          </w:p>
        </w:tc>
        <w:tc>
          <w:tcPr>
            <w:tcW w:w="1100" w:type="dxa"/>
            <w:vAlign w:val="bottom"/>
            <w:shd w:val="clear" w:color="auto" w:fill="661DE8"/>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80"/>
        </w:trPr>
        <w:tc>
          <w:tcPr>
            <w:tcW w:w="100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27"/>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060" w:type="dxa"/>
            <w:vAlign w:val="bottom"/>
            <w:gridSpan w:val="11"/>
          </w:tcPr>
          <w:p>
            <w:pPr>
              <w:ind w:left="40"/>
              <w:spacing w:after="0"/>
              <w:rPr>
                <w:sz w:val="20"/>
                <w:szCs w:val="20"/>
                <w:color w:val="auto"/>
              </w:rPr>
            </w:pPr>
            <w:r>
              <w:rPr>
                <w:rFonts w:ascii="Arial" w:cs="Arial" w:eastAsia="Arial" w:hAnsi="Arial"/>
                <w:sz w:val="18"/>
                <w:szCs w:val="18"/>
                <w:color w:val="auto"/>
              </w:rPr>
              <w:t>Index to Financial Statements:</w:t>
            </w:r>
          </w:p>
        </w:tc>
        <w:tc>
          <w:tcPr>
            <w:tcW w:w="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9880" w:type="dxa"/>
            <w:vAlign w:val="bottom"/>
            <w:gridSpan w:val="10"/>
          </w:tcPr>
          <w:p>
            <w:pPr>
              <w:spacing w:after="0"/>
              <w:rPr>
                <w:sz w:val="20"/>
                <w:szCs w:val="20"/>
                <w:color w:val="auto"/>
              </w:rPr>
            </w:pPr>
            <w:r>
              <w:rPr>
                <w:rFonts w:ascii="Arial" w:cs="Arial" w:eastAsia="Arial" w:hAnsi="Arial"/>
                <w:sz w:val="18"/>
                <w:szCs w:val="18"/>
                <w:color w:val="auto"/>
              </w:rPr>
              <w:t>Consolidated Balance Sheets at December 31, 2013 and 2014</w:t>
            </w:r>
          </w:p>
        </w:tc>
        <w:tc>
          <w:tcPr>
            <w:tcW w:w="1340" w:type="dxa"/>
            <w:vAlign w:val="bottom"/>
            <w:gridSpan w:val="2"/>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8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Consolidated Statements of Income for each of the years in the three-year period ended December 31, 2014</w:t>
            </w:r>
          </w:p>
        </w:tc>
        <w:tc>
          <w:tcPr>
            <w:tcW w:w="2140" w:type="dxa"/>
            <w:vAlign w:val="bottom"/>
            <w:gridSpan w:val="4"/>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50"/>
        </w:trPr>
        <w:tc>
          <w:tcPr>
            <w:tcW w:w="18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2014</w:t>
            </w:r>
          </w:p>
        </w:tc>
        <w:tc>
          <w:tcPr>
            <w:tcW w:w="134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50"/>
        </w:trPr>
        <w:tc>
          <w:tcPr>
            <w:tcW w:w="180" w:type="dxa"/>
            <w:vAlign w:val="bottom"/>
          </w:tcPr>
          <w:p>
            <w:pPr>
              <w:spacing w:after="0"/>
              <w:rPr>
                <w:sz w:val="21"/>
                <w:szCs w:val="21"/>
                <w:color w:val="auto"/>
              </w:rPr>
            </w:pPr>
          </w:p>
        </w:tc>
        <w:tc>
          <w:tcPr>
            <w:tcW w:w="804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89"/>
              </w:rPr>
              <w:t>Consolidated Statements of Cash Flows for each of the years in the three-year period ended December 31, 2014</w:t>
            </w:r>
          </w:p>
        </w:tc>
        <w:tc>
          <w:tcPr>
            <w:tcW w:w="860" w:type="dxa"/>
            <w:vAlign w:val="bottom"/>
            <w:tcBorders>
              <w:top w:val="single" w:sz="8" w:color="auto"/>
            </w:tcBorders>
            <w:gridSpan w:val="2"/>
          </w:tcPr>
          <w:p>
            <w:pPr>
              <w:spacing w:after="0"/>
              <w:rPr>
                <w:sz w:val="21"/>
                <w:szCs w:val="21"/>
                <w:color w:val="auto"/>
              </w:rPr>
            </w:pPr>
          </w:p>
        </w:tc>
        <w:tc>
          <w:tcPr>
            <w:tcW w:w="980" w:type="dxa"/>
            <w:vAlign w:val="bottom"/>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50"/>
        </w:trPr>
        <w:tc>
          <w:tcPr>
            <w:tcW w:w="180" w:type="dxa"/>
            <w:vAlign w:val="bottom"/>
          </w:tcPr>
          <w:p>
            <w:pPr>
              <w:spacing w:after="0"/>
              <w:rPr>
                <w:sz w:val="21"/>
                <w:szCs w:val="21"/>
                <w:color w:val="auto"/>
              </w:rPr>
            </w:pPr>
          </w:p>
        </w:tc>
        <w:tc>
          <w:tcPr>
            <w:tcW w:w="9880" w:type="dxa"/>
            <w:vAlign w:val="bottom"/>
            <w:gridSpan w:val="10"/>
          </w:tcPr>
          <w:p>
            <w:pPr>
              <w:spacing w:after="0"/>
              <w:rPr>
                <w:sz w:val="20"/>
                <w:szCs w:val="20"/>
                <w:color w:val="auto"/>
              </w:rPr>
            </w:pPr>
            <w:r>
              <w:rPr>
                <w:rFonts w:ascii="Arial" w:cs="Arial" w:eastAsia="Arial" w:hAnsi="Arial"/>
                <w:sz w:val="18"/>
                <w:szCs w:val="18"/>
                <w:color w:val="auto"/>
              </w:rPr>
              <w:t>Consolidated Statements of Stockholders' Equity for each of the years in the three-year period ended December 31, 2014</w:t>
            </w:r>
          </w:p>
        </w:tc>
        <w:tc>
          <w:tcPr>
            <w:tcW w:w="1340" w:type="dxa"/>
            <w:vAlign w:val="bottom"/>
            <w:gridSpan w:val="2"/>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50"/>
        </w:trPr>
        <w:tc>
          <w:tcPr>
            <w:tcW w:w="180" w:type="dxa"/>
            <w:vAlign w:val="bottom"/>
          </w:tcPr>
          <w:p>
            <w:pPr>
              <w:spacing w:after="0"/>
              <w:rPr>
                <w:sz w:val="21"/>
                <w:szCs w:val="21"/>
                <w:color w:val="auto"/>
              </w:rPr>
            </w:pPr>
          </w:p>
        </w:tc>
        <w:tc>
          <w:tcPr>
            <w:tcW w:w="3220" w:type="dxa"/>
            <w:vAlign w:val="bottom"/>
            <w:tcBorders>
              <w:top w:val="single" w:sz="8" w:color="auto"/>
              <w:bottom w:val="single" w:sz="8" w:color="auto"/>
            </w:tcBorders>
            <w:gridSpan w:val="2"/>
          </w:tcPr>
          <w:p>
            <w:pPr>
              <w:spacing w:after="0"/>
              <w:rPr>
                <w:rFonts w:ascii="Arial" w:cs="Arial" w:eastAsia="Arial" w:hAnsi="Arial"/>
                <w:sz w:val="18"/>
                <w:szCs w:val="18"/>
                <w:color w:val="auto"/>
                <w:w w:val="92"/>
              </w:rPr>
            </w:pPr>
            <w:hyperlink w:anchor="page39">
              <w:r>
                <w:rPr>
                  <w:rFonts w:ascii="Arial" w:cs="Arial" w:eastAsia="Arial" w:hAnsi="Arial"/>
                  <w:sz w:val="18"/>
                  <w:szCs w:val="18"/>
                  <w:color w:val="auto"/>
                  <w:w w:val="92"/>
                </w:rPr>
                <w:t>Summary of Significant Accounting Policies</w:t>
              </w:r>
            </w:hyperlink>
          </w:p>
        </w:tc>
        <w:tc>
          <w:tcPr>
            <w:tcW w:w="5460" w:type="dxa"/>
            <w:vAlign w:val="bottom"/>
            <w:tcBorders>
              <w:top w:val="single" w:sz="8" w:color="auto"/>
            </w:tcBorders>
            <w:gridSpan w:val="6"/>
          </w:tcPr>
          <w:p>
            <w:pPr>
              <w:spacing w:after="0"/>
              <w:rPr>
                <w:sz w:val="21"/>
                <w:szCs w:val="21"/>
                <w:color w:val="auto"/>
              </w:rPr>
            </w:pPr>
          </w:p>
        </w:tc>
        <w:tc>
          <w:tcPr>
            <w:tcW w:w="1200" w:type="dxa"/>
            <w:vAlign w:val="bottom"/>
            <w:gridSpan w:val="2"/>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50"/>
        </w:trPr>
        <w:tc>
          <w:tcPr>
            <w:tcW w:w="180" w:type="dxa"/>
            <w:vAlign w:val="bottom"/>
          </w:tcPr>
          <w:p>
            <w:pPr>
              <w:spacing w:after="0"/>
              <w:rPr>
                <w:sz w:val="21"/>
                <w:szCs w:val="21"/>
                <w:color w:val="auto"/>
              </w:rPr>
            </w:pPr>
          </w:p>
        </w:tc>
        <w:tc>
          <w:tcPr>
            <w:tcW w:w="6880" w:type="dxa"/>
            <w:vAlign w:val="bottom"/>
            <w:tcBorders>
              <w:bottom w:val="single" w:sz="8" w:color="auto"/>
            </w:tcBorders>
            <w:gridSpan w:val="5"/>
          </w:tcPr>
          <w:p>
            <w:pPr>
              <w:spacing w:after="0"/>
              <w:rPr>
                <w:rFonts w:ascii="Arial" w:cs="Arial" w:eastAsia="Arial" w:hAnsi="Arial"/>
                <w:sz w:val="18"/>
                <w:szCs w:val="18"/>
                <w:color w:val="auto"/>
                <w:w w:val="90"/>
              </w:rPr>
            </w:pPr>
            <w:hyperlink w:anchor="page43">
              <w:r>
                <w:rPr>
                  <w:rFonts w:ascii="Arial" w:cs="Arial" w:eastAsia="Arial" w:hAnsi="Arial"/>
                  <w:sz w:val="18"/>
                  <w:szCs w:val="18"/>
                  <w:color w:val="auto"/>
                  <w:w w:val="90"/>
                </w:rPr>
                <w:t>Notes to Consolidated Financial Statements, including Supplementary Quarterly Financial Data</w:t>
              </w:r>
            </w:hyperlink>
          </w:p>
        </w:tc>
        <w:tc>
          <w:tcPr>
            <w:tcW w:w="3000" w:type="dxa"/>
            <w:vAlign w:val="bottom"/>
            <w:gridSpan w:val="5"/>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r>
      <w:tr>
        <w:trPr>
          <w:trHeight w:val="250"/>
        </w:trPr>
        <w:tc>
          <w:tcPr>
            <w:tcW w:w="180" w:type="dxa"/>
            <w:vAlign w:val="bottom"/>
          </w:tcPr>
          <w:p>
            <w:pPr>
              <w:spacing w:after="0"/>
              <w:rPr>
                <w:sz w:val="21"/>
                <w:szCs w:val="21"/>
                <w:color w:val="auto"/>
              </w:rPr>
            </w:pPr>
          </w:p>
        </w:tc>
        <w:tc>
          <w:tcPr>
            <w:tcW w:w="9880" w:type="dxa"/>
            <w:vAlign w:val="bottom"/>
            <w:gridSpan w:val="10"/>
          </w:tcPr>
          <w:p>
            <w:pPr>
              <w:spacing w:after="0"/>
              <w:rPr>
                <w:rFonts w:ascii="Arial" w:cs="Arial" w:eastAsia="Arial" w:hAnsi="Arial"/>
                <w:sz w:val="18"/>
                <w:szCs w:val="18"/>
                <w:color w:val="auto"/>
              </w:rPr>
            </w:pPr>
            <w:hyperlink w:anchor="page53">
              <w:r>
                <w:rPr>
                  <w:rFonts w:ascii="Arial" w:cs="Arial" w:eastAsia="Arial" w:hAnsi="Arial"/>
                  <w:sz w:val="18"/>
                  <w:szCs w:val="18"/>
                  <w:color w:val="auto"/>
                </w:rPr>
                <w:t>Report of Independent Registered Public Accounting Firm</w:t>
              </w:r>
            </w:hyperlink>
          </w:p>
        </w:tc>
        <w:tc>
          <w:tcPr>
            <w:tcW w:w="134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0"/>
        </w:trPr>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00"/>
          </w:cols>
          <w:pgMar w:left="240" w:top="108" w:right="259" w:bottom="1440" w:gutter="0" w:footer="0" w:header="0"/>
        </w:sectPr>
      </w:pPr>
    </w:p>
    <w:bookmarkStart w:id="34" w:name="page35"/>
    <w:bookmarkEnd w:id="3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12/31/2013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12/31/2014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442.8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408.3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665.7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5,644.4</w:t>
            </w:r>
          </w:p>
        </w:tc>
      </w:tr>
      <w:tr>
        <w:trPr>
          <w:trHeight w:val="311"/>
        </w:trPr>
        <w:tc>
          <w:tcPr>
            <w:tcW w:w="8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r>
      <w:tr>
        <w:trPr>
          <w:trHeight w:val="318"/>
        </w:trPr>
        <w:tc>
          <w:tcPr>
            <w:tcW w:w="8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24"/>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 $.20 par value - authorized 750,000,000; issued 262,073,000 shares in 2013 and 261,110,000 in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756.5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5,644.4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3,464.5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 of savings bank subsidiary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3,022.5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3,982.1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facility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286.4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2,091.2</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1,890.9</w:t>
            </w:r>
          </w:p>
        </w:tc>
      </w:tr>
      <w:tr>
        <w:trPr>
          <w:trHeight w:val="32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investment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773.5</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1,229.6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r>
      <w:tr>
        <w:trPr>
          <w:trHeight w:val="251"/>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5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58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2014</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883.6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1,229.6</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unrealized holding gains (losses) on available-for-sale investments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6720" w:type="dxa"/>
            <w:vAlign w:val="bottom"/>
          </w:tcPr>
          <w:p>
            <w:pPr>
              <w:ind w:left="240"/>
              <w:spacing w:after="0"/>
              <w:rPr>
                <w:sz w:val="20"/>
                <w:szCs w:val="20"/>
                <w:color w:val="auto"/>
              </w:rPr>
            </w:pPr>
            <w:r>
              <w:rPr>
                <w:rFonts w:ascii="Arial" w:cs="Arial" w:eastAsia="Arial" w:hAnsi="Arial"/>
                <w:sz w:val="18"/>
                <w:szCs w:val="18"/>
                <w:color w:val="auto"/>
              </w:rPr>
              <w:t>Reclassification adjustments recognized in non-operating investment income:</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gain distributions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4"/>
              </w:rPr>
              <w:t>Net unrealized holding gains derecognized upon the sale of savings bank subsidiary</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8"/>
                <w:szCs w:val="18"/>
                <w:color w:val="auto"/>
              </w:rPr>
              <w:t>Total reclassification adjustments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4"/>
              </w:rPr>
              <w:t>Total net unrealized holding gains (losses) recognized in other comprehensive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Currency translation adjustments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Deferred tax benefits (income taxes)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912.7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1,104.1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1,177.7</w:t>
            </w: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36</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958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1,229.6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Realized gains on the dispositions of sponsored funds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gains recognized on 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3"/>
              </w:rPr>
              <w:t>Net change in trading securities held by consolidated sponsored investment portfolios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1,291.3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Dispositions of sponsored funds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166.6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debt securities held by savings bank subsidiary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Proceeds from debt securities held by savings bank subsidiary</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savings bank subsidiary deposits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change during year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1,398.0</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At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1,506.1</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94"/>
              </w:rPr>
              <w:t>Additional</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7"/>
              </w:rPr>
              <w:t>Accumulated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Common</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3"/>
              </w:rPr>
              <w:t>capital in</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7"/>
              </w:rPr>
              <w:t>other</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2"/>
              </w:rPr>
              <w:t>Total</w:t>
            </w:r>
          </w:p>
        </w:tc>
      </w:tr>
      <w:tr>
        <w:trPr>
          <w:trHeight w:val="135"/>
        </w:trPr>
        <w:tc>
          <w:tcPr>
            <w:tcW w:w="39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1"/>
              </w:rPr>
              <w:t>shares</w:t>
            </w:r>
          </w:p>
        </w:tc>
        <w:tc>
          <w:tcPr>
            <w:tcW w:w="2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right="340"/>
              <w:spacing w:after="0" w:line="135" w:lineRule="exact"/>
              <w:rPr>
                <w:sz w:val="20"/>
                <w:szCs w:val="20"/>
                <w:color w:val="auto"/>
              </w:rPr>
            </w:pPr>
            <w:r>
              <w:rPr>
                <w:rFonts w:ascii="Arial" w:cs="Arial" w:eastAsia="Arial" w:hAnsi="Arial"/>
                <w:sz w:val="13"/>
                <w:szCs w:val="13"/>
                <w:color w:val="auto"/>
                <w:w w:val="90"/>
              </w:rPr>
              <w:t>Common</w:t>
            </w:r>
          </w:p>
        </w:tc>
        <w:tc>
          <w:tcPr>
            <w:tcW w:w="1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5"/>
              </w:rPr>
              <w:t>excess of par</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Retained</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8"/>
              </w:rPr>
              <w:t>comprehensive</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9"/>
              </w:rPr>
              <w:t>stockholders’</w:t>
            </w:r>
          </w:p>
        </w:tc>
      </w:tr>
      <w:tr>
        <w:trPr>
          <w:trHeight w:val="170"/>
        </w:trPr>
        <w:tc>
          <w:tcPr>
            <w:tcW w:w="39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outstanding</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3"/>
                <w:szCs w:val="13"/>
                <w:color w:val="auto"/>
                <w:w w:val="92"/>
              </w:rPr>
              <w:t>stock</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9"/>
              </w:rPr>
              <w:t>value</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earnings</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0"/>
              </w:rPr>
              <w:t>income (loss)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2"/>
              </w:rPr>
              <w:t>equity</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2011</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253,272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50.7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502.0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2,765.2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3,420.7</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883.6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29.1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92.6</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60.8</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104.1</w:t>
            </w: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(2,302)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(121.3)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(135.2)</w:t>
            </w:r>
          </w:p>
        </w:tc>
      </w:tr>
      <w:tr>
        <w:trPr>
          <w:trHeight w:val="249"/>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2012</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257,018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631.0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3,846.1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1,047.7</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Other comprehensive income, net of tax</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56.4</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(396.6)</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128.1</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6"/>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tax benefits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45.9</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114.6</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3900" w:type="dxa"/>
            <w:vAlign w:val="bottom"/>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Balances at December 31, 2013</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262,073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894.6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3,682.8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188.3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4,818.1</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1,229.6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1,229.6</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r>
      <w:tr>
        <w:trPr>
          <w:trHeight w:val="262"/>
        </w:trPr>
        <w:tc>
          <w:tcPr>
            <w:tcW w:w="3900" w:type="dxa"/>
            <w:vAlign w:val="bottom"/>
          </w:tcPr>
          <w:p>
            <w:pPr>
              <w:ind w:left="40"/>
              <w:spacing w:after="0"/>
              <w:rPr>
                <w:sz w:val="20"/>
                <w:szCs w:val="20"/>
                <w:color w:val="auto"/>
              </w:rPr>
            </w:pPr>
            <w:r>
              <w:rPr>
                <w:rFonts w:ascii="Arial" w:cs="Arial" w:eastAsia="Arial" w:hAnsi="Arial"/>
                <w:sz w:val="13"/>
                <w:szCs w:val="13"/>
                <w:color w:val="auto"/>
              </w:rPr>
              <w:t>Dividends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stock-based compensation plans activity</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Shares issued upon option exercises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3,679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107.1</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shares issued, net of shares withheld for taxes</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r>
      <w:tr>
        <w:trPr>
          <w:trHeight w:val="148"/>
        </w:trPr>
        <w:tc>
          <w:tcPr>
            <w:tcW w:w="3900" w:type="dxa"/>
            <w:vAlign w:val="bottom"/>
          </w:tcPr>
          <w:p>
            <w:pPr>
              <w:ind w:left="180"/>
              <w:spacing w:after="0" w:line="148" w:lineRule="exact"/>
              <w:rPr>
                <w:sz w:val="20"/>
                <w:szCs w:val="20"/>
                <w:color w:val="auto"/>
              </w:rPr>
            </w:pPr>
            <w:r>
              <w:rPr>
                <w:rFonts w:ascii="Arial" w:cs="Arial" w:eastAsia="Arial" w:hAnsi="Arial"/>
                <w:sz w:val="13"/>
                <w:szCs w:val="13"/>
                <w:color w:val="auto"/>
                <w:w w:val="97"/>
              </w:rPr>
              <w:t>Shares issued upon vesting of restricted stock units, net of shares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8"/>
        </w:trPr>
        <w:tc>
          <w:tcPr>
            <w:tcW w:w="390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Forfeiture of restricted awards</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Net tax benefits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53.4</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133.4</w:t>
            </w:r>
          </w:p>
        </w:tc>
      </w:tr>
      <w:tr>
        <w:trPr>
          <w:trHeight w:val="262"/>
        </w:trPr>
        <w:tc>
          <w:tcPr>
            <w:tcW w:w="3900" w:type="dxa"/>
            <w:vAlign w:val="bottom"/>
          </w:tcPr>
          <w:p>
            <w:pPr>
              <w:ind w:left="180"/>
              <w:spacing w:after="0"/>
              <w:rPr>
                <w:sz w:val="20"/>
                <w:szCs w:val="20"/>
                <w:color w:val="auto"/>
              </w:rPr>
            </w:pPr>
            <w:r>
              <w:rPr>
                <w:rFonts w:ascii="Arial" w:cs="Arial" w:eastAsia="Arial" w:hAnsi="Arial"/>
                <w:sz w:val="13"/>
                <w:szCs w:val="13"/>
                <w:color w:val="auto"/>
              </w:rPr>
              <w:t>Restricted stock units issued as dividend equivalents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shares repurchased</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(415.5)</w:t>
            </w:r>
          </w:p>
        </w:tc>
      </w:tr>
      <w:tr>
        <w:trPr>
          <w:trHeight w:val="242"/>
        </w:trPr>
        <w:tc>
          <w:tcPr>
            <w:tcW w:w="3900" w:type="dxa"/>
            <w:vAlign w:val="bottom"/>
          </w:tcPr>
          <w:p>
            <w:pPr>
              <w:ind w:left="40"/>
              <w:spacing w:after="0"/>
              <w:rPr>
                <w:sz w:val="20"/>
                <w:szCs w:val="20"/>
                <w:color w:val="auto"/>
              </w:rPr>
            </w:pPr>
            <w:r>
              <w:rPr>
                <w:rFonts w:ascii="Arial" w:cs="Arial" w:eastAsia="Arial" w:hAnsi="Arial"/>
                <w:sz w:val="13"/>
                <w:szCs w:val="13"/>
                <w:color w:val="auto"/>
              </w:rPr>
              <w:t>Balances at December 31, 2014</w:t>
            </w:r>
          </w:p>
        </w:tc>
        <w:tc>
          <w:tcPr>
            <w:tcW w:w="11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261,110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756.5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4,450.1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5,395.2</w:t>
            </w: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U.S. These principles require that we make certain estimates and assumptions. Actual results may vary from our estimates. Certain prior year amounts have been reclassified to conform to the 2014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financial statements include the accounts of all subsidiaries and sponsored portfolios in which we have a controlling financial interest. We are generally deemed to have a controlling financial interest when we own the majority of the voting interest of an entity or are considered to be the primary beneficiary of a variable interest entity. All material intercompany accounts and transactions are eliminated in consolidation. We have determined that the sponsored portfolios in which we have investments at December 31, 2013 and 2014, are voting interest entities and, as a result, have consolidated those sponsored portfolios in which we own a majority of the voting interest.</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If we determine that we no longer have a controlling financial interest in a subsidiary or a sponsored portfolio, we deconsolidate the carrying value of their assets and liabilities, and record our remaining equity interest, if any, at its fair value. Any gain or loss realized upon deconsolidation is included in non-operating investment income in our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SPONSORED FUNDS - AVAILABLE FOR SALE.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are investments we have made for both general corporate investment purposes and to provide seed capital for newly formed funds. These sponsored funds were determined to be voting interest entities and are classified as available-for-sale. These investments are carried at fair value using the quoted closing net asset value, or NAV, per share of each fund as of the balance sheet date. Changes in net unrealized holding gains (losses) on these investments are recognized in other comprehensive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review the carrying amount of each investment on a quarterly basis and recognize an impairment charge in non-operating investment income whenever an unrealized loss is considered other than temporary. In determining whether a fund holding is other-than-temporarily impaired, we consider various factors, including the duration of time it has existed, the severity of the impairment, any subsequent changes in value, and our intent and ability to hold the fund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if particular circumstances of the underlying investment do not warrant our belief that a near-term recovery is possible.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 method investments consist of investments in entities over which we do not exercise significant influence over the operating and financial policies of the investee.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Equity method investments consist of investments in entities, including sponsored portfolios, over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 denominated financial statements into U.S. dollars, and dividends received. Our proportionate share of income or loss is included in non-operating investment income in the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9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evaluate our equity and cost method investments for impairment when events or changes in circumstances indicate that the carrying value of the investment exceeds its fair value, and the decline in fair value is other than temporary.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Investments held as trading consist of the underlying securities of sponsored portfolios in which we have a controlling financial interest and sponsored portfolio investments we expect to hold for only a short period of time. These investments are generally the initial seed investments we make at the portfolio's formation. If we are deemed to have a controlling financial interest in the sponsored portfolio, we will consolidate the investment, and the portfolio's underlying securities are accounted for as trading securities. These investments are carried at fair value, with changes in fair value recognized in non-operating investment income. The valuation policies, methods, and sources for these investments are the same as those employed by the T. Rowe Price U.S. mutual funds to price similar investment holdings as further described under our revenue recognition policy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investments in sponsored funds and investments held as trading expose us to market risk, that is, the potential future loss of value that would result from a decline in the fair value of each investment or its underlying net assets. Our underlying holdings of our assets under management are also subject to market risk, which may arise from changes in equity prices, credit ratings, foreign currency exchange rates,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33 years; leasehold improvements, 9 years; furniture and other equipment, 7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Fees for investment advisory services, which are based on a percentage of assets under management, and related administrative services that we provide to investment advisory clients, including our sponsored funds and portfolios, are recognized in the period that our services are provided.</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our sponsored U.S.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Distribution and servicing fees earned from 12b-1 plans of the Advisor Class, R Class, and variable annuity class shares of our sponsored U.S. mutual funds are recognized in the period that they are earned, which is the same period that the related mutual funds recognize their expense. These fees are offset entirely by the distribution and servicing costs paid to third-party financial intermediaries that source the assets of these share classes.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provide all services to the sponsored U.S. mutual funds under contracts that are subject to periodic review and approval by each of the funds’ Boards.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maintain three stockholder-approved employee long-term incentive plans (2012 Long-Term Incentive Plan, 2004 Stock Incentive Plan, and 2001 Stock Incentive Plan, collectively the LTI Plans) and two stockholder-approved non-employee director plans (2007 Non-Employee Director Equity Plan and 1998 Director Stock Option Plan). We believe that our stock-based compensation programs align the interests of our employees and directors with those of our common stockholders. As of December 31, 2014, a total of 14,101,640 shares were available for future grant under the 2012 Long-Term Incentive Plan and 2007 Non-Employee Director Equity Plan.</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our LTI Plans, we have issued restricted shares and restricted stock units to employees that settle in shares of our common stock after vesting. Vesting of these awards is based on the individual continuing to render service over an average 5.5-year graded schedule. All restricted shareholders and restricted stock unit holders receive non-forfeitable cash dividends and cash dividend equivalents, respectively, on our dividend payable date.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grant performance-based restricted shares and restricted stock units to certain executive officers in which the number of restricted shares or restricted stock units ultimately retained is determined based on achievement of certain performance thresholds. The number of restricted shares or restricted stock units retained is also subject to the same time-based vesting requirement as the other restricted shares or restricted stock units described above. Cash dividends and cash dividend equivalents are accrued and paid to the holders of performance-based restricted shares and restricted stock units only after the performance period has lapsed and the performance thresholds have been met.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our LTI plans, we have granted qualified incentive and nonqualified fixed stock options with a maximum term of 10 years to employees. Vesting of our employee option grants is based on the individual continuing to render service and generally occurs over an average 5.5-year graded schedule. The exercise price of each option granted is equivalent to the market price of the common stock at the date of grant.</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grant options, with a maximum term of 10 years, restricted shares and restricted stock units to non-employee directors under the stockholder approved 2007 Non-Employee Director Plan. These grants vest over 6 months to one year and, in the case of restricted stock units, are settled upon the non-employee directors’ departure from the Board. Non-employee directors holding restricted shares receive non-forfeitable dividends while restricted stock unit holders are issued non-forfeitable dividend equivalents in the form of vested stock units on our dividend payable date.</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recognize the grant-date fair value of these awards as compensation expense ratably over the awards' requisite service period. The expense recognized includes an estimate of awards that will be forfeited and considers, in the case of our performance-based restricted shares and units the probability of the performance thresholds being met. Both time-based and performance-based restricted shares and units are valued on the grant-date using the closing market price of our common stock. We use the Black-Scholes option-pricing model to estimate the fair value of each option grant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Weighted-average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31750</wp:posOffset>
            </wp:positionV>
            <wp:extent cx="3070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2014</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the change in net unrealized security holding gains (losses), and the change in our currency translation adjustments. The currency translation adjustments result from translating our proportionate share of the financial statements of UTI, our equity method investment, and certain consolidated investment portfolios into U.S. dollars. Assets and liabilities are translated into U.S. dollars using year-end exchange rates, and revenues and expenses are translated using weighted-average exchange rates for the period.</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change in net unrealized security holding gains (losses) included those related to the debt securities held by our savings bank subsidiary up until December 2013 when we completed the sale of the bank. The investments held by the savings bank were in marketable debt securities, including mortgage-and other asset-backed securities and were classified as available-for-sale and reported at fair value.</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income statements to which the significant reclassifications were recognized.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Cash equivalent investments in our sponsored money market mutual funds aggregate $1,288.1 million at December 31, 2013, and $1,345.8 million at December 31, 2014. Dividends earned on these investments in each of the last three years were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$221.9 million at December 31, 2013, and $245.8 million at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399.8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2,592.0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3,022.6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3,464.5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during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720" w:type="dxa"/>
            <w:vAlign w:val="bottom"/>
            <w:tcBorders>
              <w:bottom w:val="single" w:sz="8" w:color="auto"/>
            </w:tcBorders>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As of December 31,</w:t>
            </w:r>
          </w:p>
        </w:tc>
      </w:tr>
      <w:tr>
        <w:trPr>
          <w:trHeight w:val="243"/>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37"/>
        </w:trPr>
        <w:tc>
          <w:tcPr>
            <w:tcW w:w="3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746.8</w:t>
            </w: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6.5% and 5.6% of our assets under management at December 31, 2013, and December 31,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Administrative fees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258.3</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264.8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 and servicing fees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FUNDS -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millions) in sponsored funds accounted for as available-for-sale at December 31 include: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7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Unrealized holding</w:t>
            </w: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Aggregate</w:t>
            </w: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Aggregate cost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Losses</w:t>
            </w: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fair value</w:t>
            </w: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4"/>
              </w:rPr>
              <w:t>2013</w:t>
            </w:r>
          </w:p>
        </w:tc>
        <w:tc>
          <w:tcPr>
            <w:tcW w:w="4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354.7</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904.0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954.7</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1,258.7</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2014</w:t>
            </w:r>
          </w:p>
        </w:tc>
        <w:tc>
          <w:tcPr>
            <w:tcW w:w="4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7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505.4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732.6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w:t>
            </w: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1,613.3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1,884.0</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unrealized holding losses are attributable to six fund holdings with an aggregate fair value of $155.9 million at December 31, 2013, and 12 fund holdings with an aggregate fair value of $788.5 million at December 31, 2014. These unrealized losses are considered temporary.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$11.8 million in 2012, $10.6 million in 2013, and $14.7 million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OTHER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 interest in Daiwa SB Investments Ltd. (Japan)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fund investments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313.6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408.3</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held by consolidated sponsored investment portfolios, sponsored fund investments held as trading, and the sponsored fund investments treated as equity method investments relate to investment portfolios in which we provided initial seed capital at the time of its formation. We have determined at December 31, 2013, and December 31, 2014, that these investment portfolios are voting interest entities and, as a result, have consolidated those sponsored portfolios in which we own a majority of the voting interest.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2013 and 2014, we deconsolidated certain sponsored investment portfolios, in which we provided initial seed capital at the time of its formation, as we no longer had a controlling financial interest. Accordingly, we deconsolidated the carrying value of these investments which, at the deconsolidation dates, was $106.3 million in 2013 and $25.5 million in 2014. We are reporting our residual interest in these sponsored investment portfolios as an equity method investment. Since our consolidated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 portfolios were carried at fair value, we did not recognize any gain or loss in our consolidated statements of income upon deconsolidation. The impact of the deconsolidation on our consolidated balance sheet was immaterial.</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2014, we had outstanding commitments to make additional contributions totaling $36.6 million to various investment partnerships.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820" w:right="680" w:hanging="161"/>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820" w:right="40" w:hanging="161"/>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in 2013 or 2014. The following table summarizes our investments (in millions) that are recognized in our consolidated balance sheets at year-end using fair value measurements determined based on the differing levels of inputs.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84"/>
              </w:rPr>
              <w:t>2013</w:t>
            </w:r>
          </w:p>
        </w:tc>
        <w:tc>
          <w:tcPr>
            <w:tcW w:w="79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Investments in sponsored funds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2,921.0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84"/>
              </w:rPr>
              <w:t>2014</w:t>
            </w:r>
          </w:p>
        </w:tc>
        <w:tc>
          <w:tcPr>
            <w:tcW w:w="7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Investments in sponsored funds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NOTE 6 – PROPERTY AND EQUIPMENT.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3"/>
          </w:tcPr>
          <w:p>
            <w:pPr>
              <w:spacing w:after="0"/>
              <w:rPr>
                <w:sz w:val="20"/>
                <w:szCs w:val="20"/>
                <w:color w:val="auto"/>
              </w:rPr>
            </w:pPr>
            <w:r>
              <w:rPr>
                <w:rFonts w:ascii="Arial" w:cs="Arial" w:eastAsia="Arial" w:hAnsi="Arial"/>
                <w:sz w:val="18"/>
                <w:szCs w:val="18"/>
                <w:color w:val="auto"/>
              </w:rPr>
              <w:t>Property and equipment (in millions) at December 31 consists of:</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$14.9 million in 2012, $15.5 million in 2013, and $19.6 million in 2014 have been capitalized.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lease computer and other equipment under noncancelable operating leases. Related rental expense was $28.3 million in 2012, $31.5 million in 2013, and $29.3 million in 2014. Future minimum payments under these leases aggregate $26.4 million in 2015, $25.1 million in 2016, $22.9 million in 2017, $23.8 million in 2018, $22.5 million in 2019, and $119.9 million in later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7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 (tax benefits)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551.5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773.5</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Deferred income taxes and benefits arise from temporary differences between taxable income for financial statement and income tax return purposes. Deferred income taxes in 2012 include $14.2 million from the reversal of deferred tax assets related to other-than-temporary impairments previously recognized on sponsored fund investments that were sold in 2012 offset by deferred tax benefits of $5.2 million related to accrued compensation. Deferred income taxes in 2013 include $5.2 million from the reversal of the deferred tax assets related to accrued compensation that were established in 2012, $5.3 million related to property and equipment, and $4.3 million from the reversal of deferred tax assets related to other-than-temporary impairments previously recognized on sponsored fund investments that were sold in 2013. Deferred income tax benefits in 2014 included $11.2 million related to stock-based compensation offset in part by $4.7 million from the reversal of deferred tax assets related to other-than-temporary impairments previously recognized on sponsored fund investments that were sold in 2014, and $2.0 million related to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2014</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Statutory U.S. federal income tax rate</w:t>
            </w:r>
          </w:p>
        </w:tc>
        <w:tc>
          <w:tcPr>
            <w:tcW w:w="580" w:type="dxa"/>
            <w:vAlign w:val="bottom"/>
          </w:tcPr>
          <w:p>
            <w:pPr>
              <w:jc w:val="right"/>
              <w:spacing w:after="0"/>
              <w:rPr>
                <w:sz w:val="20"/>
                <w:szCs w:val="20"/>
                <w:color w:val="auto"/>
              </w:rPr>
            </w:pPr>
            <w:r>
              <w:rPr>
                <w:rFonts w:ascii="Arial" w:cs="Arial" w:eastAsia="Arial" w:hAnsi="Arial"/>
                <w:sz w:val="18"/>
                <w:szCs w:val="18"/>
                <w:color w:val="auto"/>
                <w:w w:val="92"/>
              </w:rPr>
              <w:t>35.0 %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Other items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27"/>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38.4 %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net deferred tax asset (liability) (in millions) recognized in our consolidated balance sheets in income taxes payable at December 31, 2013, and other assets at December 31, 2014,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Related to other-than-temporary impairments of investments in sponsored funds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to 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Recognized in other comprehensive income on currency translation adjustment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 deferred tax liability for unremitted earnings of our foreign subsidiaries has not been recognized, as it is our intention to indefinitely reinvest these earnings outside the U.S. The unremitted earnings of these subsidiaries are estimated to be $326.0 million at December 31, 2014. If these earnings were distributed to the U.S. in the form of dividends or otherwise, or if any of the entities were sold or otherwise transferred, we would be subject to U.S. income taxes, less any foreign tax credits. Determination of the amount of the unrecognized deferred tax liability related to these earnings is not 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includes tax refund receivables of $1.2 million at December 31, 2013, and $61.7 million at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outflows from operating activities include net income taxes paid of $514.9 million in 2012, $532.9 million in 2013, and $763.7 million in 2014.</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Additional income tax benefits of $60.9 million in 2012, $45.9 million in 2013, and $53.4 million in 2014 arising from stock-based compensation plans activity reduced the amount of income taxes that would have otherwise been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Expired statute of limitations</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2014 and prior years will significantly change in 2015. The U.S. has concluded examinations related to federal tax obligations through the year 2009. Net interest payable recognized in our consolidated balance sheets was $1.0 million at December 31, 2013, and $1.3 million at December 31, 2014. Our accounting policy with respect to interest and penalties arising from income tax settlements is to recognize them as part of our provision for income taxes. Interest recognized as part of our provision for income taxes was not material.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8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20,900,804 common shares as of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Regular cash dividends declared per share were $1.36 in 2012, $1.52 in 2013, and $1.76 in 2014. In December 2012, the Board of Directors also declared a special dividend of $1.00 per share that was paid on December 28,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consolidated stockholders' equity at December 31, 2014, includes about $95 million that is restricted as to use by various regulations and agreements arising in the ordinary course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9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December 31, 2014, a total of 44,918,174 shares of unissued common stock were authorized for issuance under our stock-based compensation plans. Additionally, a total of 3,412,508 shares are authorized for issuance under a plan whereby substantially all employees may acquire common stock through payroll deductions at prevailing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2014.</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Weighted-average</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remaining</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6"/>
              </w:rPr>
              <w:t>average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contractual</w:t>
            </w:r>
          </w:p>
        </w:tc>
      </w:tr>
      <w:tr>
        <w:trPr>
          <w:trHeight w:val="216"/>
        </w:trPr>
        <w:tc>
          <w:tcPr>
            <w:tcW w:w="60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exercise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term in</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price</w:t>
            </w: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2013</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31,574,958</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52.18</w:t>
            </w: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3,506,465</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80.15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37,250</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80.04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16,800</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80.81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(4,924,172)</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42.74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(448,836)</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61.37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(946)</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52.62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29,761,519</w:t>
            </w:r>
          </w:p>
        </w:tc>
        <w:tc>
          <w:tcPr>
            <w:tcW w:w="130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56.95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Exercisable at December 31, 2014</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18,631,393</w:t>
            </w:r>
          </w:p>
        </w:tc>
        <w:tc>
          <w:tcPr>
            <w:tcW w:w="13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50.14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Compensation and related costs includes a charge for stock option-based compensation expense of $74.5 million in 2012, $64.2 million in 2013, and $63.4 million in 2014.</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$239.6 million in 2012, $182.6 million in 2013, and $196.5 million in 2014. At December 31, 2014, the aggregate intrinsic value of in-the-money options outstanding was $860.5 million, including $665.4 million related to options exercisable.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Restricted</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0"/>
              </w:rPr>
              <w:t>Weighted-</w:t>
            </w:r>
          </w:p>
        </w:tc>
      </w:tr>
      <w:tr>
        <w:trPr>
          <w:trHeight w:val="216"/>
        </w:trPr>
        <w:tc>
          <w:tcPr>
            <w:tcW w:w="60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Restricted</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stock</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6"/>
              </w:rPr>
              <w:t>average</w:t>
            </w:r>
          </w:p>
        </w:tc>
      </w:tr>
      <w:tr>
        <w:trPr>
          <w:trHeight w:val="257"/>
        </w:trPr>
        <w:tc>
          <w:tcPr>
            <w:tcW w:w="606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1"/>
              </w:rPr>
              <w:t>shares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5"/>
              </w:rPr>
              <w:t>fair value</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December 31, 2013</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1,877,086</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823,593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67.21</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to employees and non-employee directors - time based</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759,135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374,445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Granted to employees - performance based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67,200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80.14</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(value at vest date was $58.6 million)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(469,469)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(230,268)</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(117,193)</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(28,217)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69.29</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2,061,559</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1,006,753</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72.79</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nonvested at December 31, 2014, includes 45,600 performance-based restricted shares and 159,525 performance-based restricted stock units. These nonvested performance-based restricted shares and units include 33,600 shares and 92,325 units for which the performance period has lapsed and the performance threshold has been met.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$29.6 million in 2012, $50.4 million in 2013, and $70.0 million in 2014.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2014, non-employee directors held 48,262 vested stock units that will convert to common shares upon their separation from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compensation awards outstanding at December 31, 2014. Estimated future compensation expense will change to reflect future awards, including options, unrestricted shares, restricted shares, and restricted stock units; changes in estimated forfeitures;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quarter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2015</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2016 through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1025" w:hanging="1025"/>
        <w:spacing w:after="0"/>
        <w:tabs>
          <w:tab w:leader="none" w:pos="10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29.0</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28.7</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28.4</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24.9</w:t>
      </w:r>
    </w:p>
    <w:p>
      <w:pPr>
        <w:spacing w:after="0" w:line="1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111.0</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5"/>
          <w:szCs w:val="15"/>
          <w:color w:val="auto"/>
        </w:rPr>
        <w:t>116.0</w:t>
      </w:r>
    </w:p>
    <w:p>
      <w:pPr>
        <w:spacing w:after="0" w:line="111" w:lineRule="exact"/>
        <w:rPr>
          <w:sz w:val="20"/>
          <w:szCs w:val="20"/>
          <w:color w:val="auto"/>
        </w:rPr>
      </w:pPr>
    </w:p>
    <w:p>
      <w:pPr>
        <w:ind w:left="925" w:hanging="925"/>
        <w:spacing w:after="0"/>
        <w:tabs>
          <w:tab w:leader="none" w:pos="9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227.0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49</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10 – EARNINGS PER SHARE CALCULATIONS.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883.6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1,229.6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878.1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1,215.4</w:t>
            </w:r>
          </w:p>
        </w:tc>
      </w:tr>
      <w:tr>
        <w:trPr>
          <w:trHeight w:val="311"/>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9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253.4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259.6</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261.0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267.4</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c>
          <w:tcPr>
            <w:tcW w:w="4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2013</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64"/>
        </w:trPr>
        <w:tc>
          <w:tcPr>
            <w:tcW w:w="7780" w:type="dxa"/>
            <w:vAlign w:val="bottom"/>
            <w:gridSpan w:val="2"/>
          </w:tcPr>
          <w:p>
            <w:pPr>
              <w:jc w:val="right"/>
              <w:ind w:right="3770"/>
              <w:spacing w:after="0"/>
              <w:rPr>
                <w:sz w:val="20"/>
                <w:szCs w:val="20"/>
                <w:color w:val="auto"/>
              </w:rPr>
            </w:pPr>
            <w:r>
              <w:rPr>
                <w:rFonts w:ascii="Arial" w:cs="Arial" w:eastAsia="Arial" w:hAnsi="Arial"/>
                <w:sz w:val="18"/>
                <w:szCs w:val="18"/>
                <w:color w:val="auto"/>
                <w:w w:val="90"/>
              </w:rPr>
              <w:t>Weighted-average outstanding stock options excluded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6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deferred tax benefits (income taxes) impact of the components (in millions) of other comprehensive income.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benefits (income taxes) on:</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unrealized holding gains or losses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Reclassification adjustments:</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Recognized in the provision for income taxes related to capital gain distributions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Recognized in the provision for income taxes related to net gains realized on</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dispositions</w:t>
            </w:r>
          </w:p>
        </w:tc>
        <w:tc>
          <w:tcPr>
            <w:tcW w:w="98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Recognized in non-operating investment income for net unrealized holding gains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derecognized upon the sale of savings bank subsidiary</w:t>
            </w: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740" w:type="dxa"/>
            <w:vAlign w:val="bottom"/>
          </w:tcPr>
          <w:p>
            <w:pPr>
              <w:ind w:left="18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recognized in other comprehensive income</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benefits on currency translation adjustments</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 tax benefits (income taxes)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millions) in each component of accumulated other comprehensive income for each year ended December 31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2"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23495</wp:posOffset>
            </wp:positionV>
            <wp:extent cx="31299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Debt securities</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Equity share of</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Total net</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Investments in</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UTI’s net</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held by savings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sponsored funds</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bank subsidiary</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2012</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$58.2 million in 2012, $61.8 million in 2013, and $70.6 million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SAVINGS BANK SUBSIDIARY.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23, 2013, we entered into an agreement to sell 100% of the capital stock of our savings bank subsidiary to Jacob M. Safra for cash equal to the bank's net book value on the closing date plus $500,000. We completed the sale on December 5, 2013, for proceeds of $23.6 million. The total gain we recognized in non-operating investment income also included $1.0 million of net unrealized holding gains previously recognized on the saving bank's available-for-sale portfolio that were reclassified from accumulated other comprehensive income.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13 – SUPPLEMENTARY QUARTERLY FINANCIAL DATA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Basic earnings on</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Diluted earnings on</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Net revenues</w:t>
            </w: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4"/>
              </w:rPr>
              <w:t>Net income</w:t>
            </w: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common stock</w:t>
            </w: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13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3"/>
          </w:tcPr>
          <w:p>
            <w:pPr>
              <w:jc w:val="right"/>
              <w:ind w:right="1330"/>
              <w:spacing w:after="0"/>
              <w:rPr>
                <w:sz w:val="20"/>
                <w:szCs w:val="20"/>
                <w:color w:val="auto"/>
              </w:rPr>
            </w:pPr>
            <w:r>
              <w:rPr>
                <w:rFonts w:ascii="Arial" w:cs="Arial" w:eastAsia="Arial" w:hAnsi="Arial"/>
                <w:sz w:val="18"/>
                <w:szCs w:val="18"/>
                <w:color w:val="auto"/>
              </w:rPr>
              <w:t>(per share)</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2013</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815.7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884.4</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929.8</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2014</w:t>
            </w:r>
          </w:p>
        </w:tc>
        <w:tc>
          <w:tcPr>
            <w:tcW w:w="3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954.6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1,020.8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3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1,022.4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020"/>
          </w:cols>
          <w:pgMar w:left="240" w:top="125" w:right="639" w:bottom="1440" w:gutter="0" w:footer="0" w:header="0"/>
        </w:sectPr>
      </w:pPr>
    </w:p>
    <w:bookmarkStart w:id="53" w:name="page54"/>
    <w:bookmarkEnd w:id="53"/>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 Rowe Price Group, Inc. and subsidiaries (“the Company”) as of December 31, 2014 and 2013, and the related consolidated statements of income, comprehensive income, stockholders’ equity, and cash flows for each of the years in the three-year period ended December 31,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2014 and 2013, and the results of their operations and their cash flows for each of the years in the three-year period ended December 31, 2014, in conformity with U.S. generally accepted accounting principles.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 Rowe Price Group, Inc.’s internal control over financial reporting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and our report dated February 5, 2015, expressed an unqualified opinion on the effectiveness of T. Rowe Price Group, Inc.’s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2014. Based on that evaluation, our principal executive and principal financial officers have concluded that our disclosure controls and procedures as of December 31, 2014,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2014, and has concluded that there was no change during the fourth quarter of 2014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Inc.,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2014,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assessment, we believe that the company’s internal control over financial reporting was effective as of December 31, 2014.</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340"/>
          </w:cols>
          <w:pgMar w:left="240" w:top="125" w:right="319" w:bottom="1440" w:gutter="0" w:footer="0" w:header="0"/>
        </w:sectPr>
      </w:pPr>
    </w:p>
    <w:bookmarkStart w:id="56" w:name="page57"/>
    <w:bookmarkEnd w:id="56"/>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 Rowe Price Group, Inc. ’s (“the Company”) internal control over financial reporting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In our opinion, T. Rowe Price Group, Inc.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2014 and 2013, and the related consolidated statements of income, comprehensive income, stockholders’ equity, and cash flows for each of the years in the three-year period ended December 31, 2014, and our report dated February 5, 2015, expressed an unqualified opinion on those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360"/>
          </w:cols>
          <w:pgMar w:left="240" w:top="125" w:right="299" w:bottom="1440" w:gutter="0" w:footer="0" w:header="0"/>
        </w:sectPr>
      </w:pPr>
    </w:p>
    <w:bookmarkStart w:id="57" w:name="page58"/>
    <w:bookmarkEnd w:id="57"/>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2015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2015 Annual Meeting of our stockholders.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500" w:hanging="46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84" w:lineRule="exact"/>
        <w:rPr>
          <w:rFonts w:ascii="Arial" w:cs="Arial" w:eastAsia="Arial" w:hAnsi="Arial"/>
          <w:sz w:val="18"/>
          <w:szCs w:val="18"/>
          <w:color w:val="auto"/>
        </w:rPr>
      </w:pPr>
    </w:p>
    <w:p>
      <w:pPr>
        <w:ind w:left="500" w:hanging="465"/>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4" w:lineRule="exact"/>
        <w:rPr>
          <w:rFonts w:ascii="Arial" w:cs="Arial" w:eastAsia="Arial" w:hAnsi="Arial"/>
          <w:sz w:val="18"/>
          <w:szCs w:val="18"/>
          <w:color w:val="auto"/>
        </w:rPr>
      </w:pPr>
    </w:p>
    <w:p>
      <w:pPr>
        <w:ind w:left="500" w:right="48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10.07 through 10.19.2.</w:t>
      </w:r>
    </w:p>
    <w:p>
      <w:pPr>
        <w:spacing w:after="0" w:line="13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7"/>
              </w:rPr>
              <w:t>from Form 10-Q Report for the quarterly period ended March 31, 2008 filed on April 24, 2008;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Amended and Restated By-Laws of T. Rowe Price Group, Inc. as of February 12, 2009. (Incorporated by reference from Form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8-K Current Report as of February 17, 2009; File No. 033-07012-99.)</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10.01.1</w:t>
            </w:r>
          </w:p>
        </w:tc>
        <w:tc>
          <w:tcPr>
            <w:tcW w:w="9760" w:type="dxa"/>
            <w:vAlign w:val="bottom"/>
          </w:tcPr>
          <w:p>
            <w:pPr>
              <w:ind w:left="580"/>
              <w:spacing w:after="0"/>
              <w:rPr>
                <w:sz w:val="20"/>
                <w:szCs w:val="20"/>
                <w:color w:val="auto"/>
              </w:rPr>
            </w:pPr>
            <w:r>
              <w:rPr>
                <w:rFonts w:ascii="Arial" w:cs="Arial" w:eastAsia="Arial" w:hAnsi="Arial"/>
                <w:sz w:val="18"/>
                <w:szCs w:val="18"/>
                <w:color w:val="auto"/>
                <w:w w:val="90"/>
              </w:rPr>
              <w:t>Representative Investment Management Agreement for the T. Rowe Price mutual funds that pay a management fee consisting</w:t>
            </w:r>
          </w:p>
        </w:tc>
      </w:tr>
      <w:tr>
        <w:trPr>
          <w:trHeight w:val="216"/>
        </w:trPr>
        <w:tc>
          <w:tcPr>
            <w:tcW w:w="112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of two components - a group management fee and individual management fee. (Incorporated by reference from Form N-1A</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filed on August 22, 2008; File No. 333-153130.)</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10.01.2</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Investment Management Agreement for the T. Rowe Price mutual funds that pay an individual management</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fee. (Incorporated by reference from Form 485APOS filed on August 11, 2010;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10.01.3</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Investment Management Agreement for the T. Rowe Price mutual funds that pay an all-inclusive fee (i.e., a</w:t>
            </w:r>
          </w:p>
        </w:tc>
      </w:tr>
      <w:tr>
        <w:trPr>
          <w:trHeight w:val="216"/>
        </w:trPr>
        <w:tc>
          <w:tcPr>
            <w:tcW w:w="112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single fee that covers investment management and ordinary recurring operating expenses). (Incorporated by reference from</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Form 485APOS filed on March 15, 2007; File No. 033-29697.)</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10.02</w:t>
            </w:r>
          </w:p>
        </w:tc>
        <w:tc>
          <w:tcPr>
            <w:tcW w:w="9760" w:type="dxa"/>
            <w:vAlign w:val="bottom"/>
          </w:tcPr>
          <w:p>
            <w:pPr>
              <w:ind w:left="580"/>
              <w:spacing w:after="0"/>
              <w:rPr>
                <w:sz w:val="20"/>
                <w:szCs w:val="20"/>
                <w:color w:val="auto"/>
              </w:rPr>
            </w:pPr>
            <w:r>
              <w:rPr>
                <w:rFonts w:ascii="Arial" w:cs="Arial" w:eastAsia="Arial" w:hAnsi="Arial"/>
                <w:sz w:val="18"/>
                <w:szCs w:val="18"/>
                <w:color w:val="auto"/>
                <w:w w:val="93"/>
              </w:rPr>
              <w:t>Representative Underwriting Agreement between a T. Rowe Price mutual fund and T. Rowe Price Investment Services, Inc.</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(Incorporated by reference from Form N-1A/A filed on August 29, 2006; File No. 333-136805.)</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9760" w:type="dxa"/>
            <w:vAlign w:val="bottom"/>
          </w:tcPr>
          <w:p>
            <w:pPr>
              <w:ind w:left="580"/>
              <w:spacing w:after="0"/>
              <w:rPr>
                <w:sz w:val="20"/>
                <w:szCs w:val="20"/>
                <w:color w:val="auto"/>
              </w:rPr>
            </w:pPr>
            <w:r>
              <w:rPr>
                <w:rFonts w:ascii="Arial" w:cs="Arial" w:eastAsia="Arial" w:hAnsi="Arial"/>
                <w:sz w:val="18"/>
                <w:szCs w:val="18"/>
                <w:color w:val="auto"/>
                <w:w w:val="92"/>
              </w:rPr>
              <w:t>Transfer Agency and Service Agreement as of January 1, 2014, between T. Rowe Price Services, Inc. and the T. Rowe Price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25, 2014; File No. 033-05646.)</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9760" w:type="dxa"/>
            <w:vAlign w:val="bottom"/>
          </w:tcPr>
          <w:p>
            <w:pPr>
              <w:ind w:left="580"/>
              <w:spacing w:after="0"/>
              <w:rPr>
                <w:sz w:val="20"/>
                <w:szCs w:val="20"/>
                <w:color w:val="auto"/>
              </w:rPr>
            </w:pPr>
            <w:r>
              <w:rPr>
                <w:rFonts w:ascii="Arial" w:cs="Arial" w:eastAsia="Arial" w:hAnsi="Arial"/>
                <w:sz w:val="18"/>
                <w:szCs w:val="18"/>
                <w:color w:val="auto"/>
                <w:w w:val="94"/>
              </w:rPr>
              <w:t>Agreement as of January 1, 2014, between T. Rowe Price Retirement Plan Services, Inc. and certain of the T. Rowe Price</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Funds. (Incorporated by reference from Form 485BPOS filed on April 25, 2014; File No. 033-05646.)</w:t>
            </w: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9760" w:type="dxa"/>
            <w:vAlign w:val="bottom"/>
          </w:tcPr>
          <w:p>
            <w:pPr>
              <w:ind w:left="580"/>
              <w:spacing w:after="0"/>
              <w:rPr>
                <w:sz w:val="20"/>
                <w:szCs w:val="20"/>
                <w:color w:val="auto"/>
              </w:rPr>
            </w:pPr>
            <w:r>
              <w:rPr>
                <w:rFonts w:ascii="Arial" w:cs="Arial" w:eastAsia="Arial" w:hAnsi="Arial"/>
                <w:sz w:val="18"/>
                <w:szCs w:val="18"/>
                <w:color w:val="auto"/>
                <w:w w:val="91"/>
              </w:rPr>
              <w:t>Agreement as of January 1, 2014, between T. Rowe Price Associates, Inc. and the T. Rowe Price Funds for Fund Accounting</w:t>
            </w:r>
          </w:p>
        </w:tc>
      </w:tr>
      <w:tr>
        <w:trPr>
          <w:trHeight w:val="230"/>
        </w:trPr>
        <w:tc>
          <w:tcPr>
            <w:tcW w:w="1120" w:type="dxa"/>
            <w:vAlign w:val="bottom"/>
          </w:tcPr>
          <w:p>
            <w:pPr>
              <w:spacing w:after="0"/>
              <w:rPr>
                <w:sz w:val="20"/>
                <w:szCs w:val="20"/>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Services. (Incorporated by reference from Form 485BPOS filed on April 25, 2014; File No. 033-05646.)</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Page 57</w:t>
      </w:r>
    </w:p>
    <w:p>
      <w:pPr>
        <w:sectPr>
          <w:pgSz w:w="11900" w:h="16838" w:orient="portrait"/>
          <w:cols w:equalWidth="0" w:num="1">
            <w:col w:w="11380"/>
          </w:cols>
          <w:pgMar w:left="240" w:top="125" w:right="27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rFonts w:ascii="Arial" w:cs="Arial" w:eastAsia="Arial" w:hAnsi="Arial"/>
                <w:sz w:val="18"/>
                <w:szCs w:val="18"/>
                <w:color w:val="661DE8"/>
              </w:rPr>
            </w:pPr>
            <w:hyperlink w:anchor="page1">
              <w:r>
                <w:rPr>
                  <w:rFonts w:ascii="Arial" w:cs="Arial" w:eastAsia="Arial" w:hAnsi="Arial"/>
                  <w:sz w:val="18"/>
                  <w:szCs w:val="18"/>
                  <w:color w:val="661DE8"/>
                </w:rPr>
                <w:t>Table of Contents</w:t>
              </w:r>
            </w:hyperlink>
          </w:p>
        </w:tc>
        <w:tc>
          <w:tcPr>
            <w:tcW w:w="9620" w:type="dxa"/>
            <w:vAlign w:val="bottom"/>
          </w:tcPr>
          <w:p>
            <w:pPr>
              <w:spacing w:after="0"/>
              <w:rPr>
                <w:sz w:val="17"/>
                <w:szCs w:val="17"/>
                <w:color w:val="auto"/>
              </w:rPr>
            </w:pPr>
          </w:p>
        </w:tc>
      </w:tr>
      <w:tr>
        <w:trPr>
          <w:trHeight w:val="749"/>
        </w:trPr>
        <w:tc>
          <w:tcPr>
            <w:tcW w:w="1280" w:type="dxa"/>
            <w:vAlign w:val="bottom"/>
            <w:tcBorders>
              <w:top w:val="single" w:sz="8" w:color="661DE8"/>
            </w:tcBorders>
          </w:tcPr>
          <w:p>
            <w:pPr>
              <w:ind w:left="500"/>
              <w:spacing w:after="0"/>
              <w:rPr>
                <w:sz w:val="20"/>
                <w:szCs w:val="20"/>
                <w:color w:val="auto"/>
              </w:rPr>
            </w:pPr>
            <w:r>
              <w:rPr>
                <w:rFonts w:ascii="Arial" w:cs="Arial" w:eastAsia="Arial" w:hAnsi="Arial"/>
                <w:sz w:val="18"/>
                <w:szCs w:val="18"/>
                <w:color w:val="auto"/>
              </w:rPr>
              <w:t>10.07</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9"/>
              </w:rPr>
              <w:t>1998 Director Stock Option Plan, as Amended and Restated effective December 16, 2004, including forms of option</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agreements. (Incorporated by reference from Form 10-K for 2004 filed on March 1, 2005;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10.08</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4"/>
              </w:rPr>
              <w:t>Statements of additional terms and conditions for awards granted under the Amended and Restated 2007 Non-Employee</w:t>
            </w:r>
          </w:p>
        </w:tc>
      </w:tr>
      <w:tr>
        <w:trPr>
          <w:trHeight w:val="216"/>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5"/>
              </w:rPr>
              <w:t>Director Equity Plans after February 12, 2009. (Incorporated by reference from Form 10-Q for the quarterly period ended</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March 31, 2009 filed on April 22, 2009;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10.08.1</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3"/>
              </w:rPr>
              <w:t>Amended and Restated 2007 Non-Employee Director Equity Plan. (Incorporated by reference from Form10-K for 2012 filed</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on February 4, 2013; File No. 000-32191.)</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4"/>
              </w:rPr>
              <w:t>T. Rowe Price Group, Inc. Outside Directors Deferred Compensation Plan. (Incorporated by reference from Form 10-K for</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2004 filed on March 1, 2005;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10.13.1</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1"/>
              </w:rPr>
              <w:t>2001 Stock Incentive Plan. (Incorporated by reference from Form DEFR 14A filed on February 26, 2001; File No. 033-07012-</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10.13.2</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3"/>
              </w:rPr>
              <w:t>First Amendment to 2001 Stock Incentive Plan dated April 8, 2004. (Incorporated by reference from Form DEF 14A filed on</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February 27, 2004;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10.13.3</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2"/>
              </w:rPr>
              <w:t>Second Amendment to 2001 Stock Incentive Plan dated December 12, 2008. (Incorporated by reference from Form 10-Q for</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the quarterly period ended March 31, 2009 filed on April 22, 2009;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10.14.1</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6"/>
              </w:rPr>
              <w:t>2004 Stock Incentive Plan. (Incorporated by reference from Form 10-K for 2007 filed on February 7, 2008; File No. 033-</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10.14.2</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4"/>
              </w:rPr>
              <w:t>HM Revenue and Customs Approved Sub-Plan for UK Employees under the 2004 Stock Incentive Plan. (Incorporated by</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6"/>
              </w:rPr>
              <w:t>reference from Form 10-Q for the quarterly period ended June 30, 2010 filed on July 23, 2010;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10.14.3</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1"/>
              </w:rPr>
              <w:t>First Amendment to 2004 Stock Incentive Plan dated December 12, 2008. (Incorporated by reference from Form 10-Q for the</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quarterly period ended March 31, 2009 filed on April 22, 2009;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10.15</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89"/>
              </w:rPr>
              <w:t>Forms of agreements available for stock-based awards issued under the 2001 and 2004 Stock Incentive Plans. (Incorporated by</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6"/>
              </w:rPr>
              <w:t>reference from Form 10-Q for the quarterly period ended June 30, 2010 filed on July 23, 2010;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10.15.1</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4"/>
              </w:rPr>
              <w:t>Forms of agreement for stock options issued under the HM Revenue and Customs Approved Sub-Plan for UK Employees</w:t>
            </w:r>
          </w:p>
        </w:tc>
      </w:tr>
      <w:tr>
        <w:trPr>
          <w:trHeight w:val="216"/>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0"/>
              </w:rPr>
              <w:t>under the 2004 Stock Incentive Plan. (Incorporated by reference from Form 10-Q for the quarterly period ended June 30, 2010</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filed on July 23, 2010;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10.15.2</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3"/>
              </w:rPr>
              <w:t>Forms of agreement for stock options issued after February 2, 2012 under the 2004 Stock Incentive Plan. (Incorporated by</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6"/>
              </w:rPr>
              <w:t>reference from Form 10-Q for the quarterly period ended June 30, 2012 filed on July 25, 2012;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10.15.3</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0"/>
              </w:rPr>
              <w:t>Forms of agreement for restricted stock units issued after February 2, 2012 under the 2004 Stock Incentive Plan. (Incorporated</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4"/>
              </w:rPr>
              <w:t>by reference from Form 10-Q for the quarterly period ended June 30, 2012 filed on July 25, 2012;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10.15.4</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9"/>
              </w:rPr>
              <w:t>Forms of agreement for restricted stock awards issued after February 2, 2012 under the 2004 Stock Incentive Plan.</w:t>
            </w:r>
          </w:p>
        </w:tc>
      </w:tr>
      <w:tr>
        <w:trPr>
          <w:trHeight w:val="216"/>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1"/>
              </w:rPr>
              <w:t>(Incorporated by reference from Form 10-Q for the quarterly period ended June 30, 2012 filed on July 25, 2012; File No. 033-</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10.16</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3"/>
              </w:rPr>
              <w:t>Annual Incentive Compensation Pool. (Incorporated by reference from Form DEF 14A filed on March 3, 2003; File No. 033-</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10.17</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3"/>
              </w:rPr>
              <w:t>Policy for Recoupment of Incentive Compensation. (Incorporated by reference from Form 8-K Current Report as of April 14,</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2010 filed on April 16, 2010;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10.18.1</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2"/>
              </w:rPr>
              <w:t>2012 Long-term Incentive Plan. (Incorporated by reference from Form 10-K for 2012 filed on February 4, 2013; File No. 000-</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32191.)</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10.18.2</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2"/>
              </w:rPr>
              <w:t>Forms of agreement for restricted stock awards issued under the 2012 Long-term Incentive Plan. (Incorporated by reference</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from Form 10-Q Report for the quarterly period ended June 30, 2012 filed on July 25, 2012; File No. 000-32191.)</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10.18.3</w:t>
            </w:r>
          </w:p>
        </w:tc>
        <w:tc>
          <w:tcPr>
            <w:tcW w:w="460" w:type="dxa"/>
            <w:vAlign w:val="bottom"/>
          </w:tcPr>
          <w:p>
            <w:pPr>
              <w:spacing w:after="0"/>
              <w:rPr>
                <w:sz w:val="24"/>
                <w:szCs w:val="24"/>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w w:val="90"/>
              </w:rPr>
              <w:t>Forms of agreement for restricted stock units issued under the 2012 Long-term Incentive Plan. (Incorporated by reference from</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Form 10-Q Report for the quarterly period ended June 30, 2012 filed on July 25, 2012; File No. 000-32191.)</w:t>
            </w:r>
          </w:p>
        </w:tc>
      </w:tr>
    </w:tbl>
    <w:p>
      <w:pPr>
        <w:spacing w:after="0" w:line="200" w:lineRule="exact"/>
        <w:rPr>
          <w:sz w:val="20"/>
          <w:szCs w:val="20"/>
          <w:color w:val="auto"/>
        </w:rPr>
      </w:pPr>
    </w:p>
    <w:p>
      <w:pPr>
        <w:sectPr>
          <w:pgSz w:w="11900" w:h="16838" w:orient="portrait"/>
          <w:cols w:equalWidth="0" w:num="1">
            <w:col w:w="11360"/>
          </w:cols>
          <w:pgMar w:left="240" w:top="108" w:right="299" w:bottom="144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Page 58</w:t>
      </w:r>
    </w:p>
    <w:p>
      <w:pPr>
        <w:sectPr>
          <w:pgSz w:w="11900" w:h="16838" w:orient="portrait"/>
          <w:cols w:equalWidth="0" w:num="1">
            <w:col w:w="11360"/>
          </w:cols>
          <w:pgMar w:left="240" w:top="108" w:right="29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rFonts w:ascii="Arial" w:cs="Arial" w:eastAsia="Arial" w:hAnsi="Arial"/>
                <w:sz w:val="18"/>
                <w:szCs w:val="18"/>
                <w:color w:val="661DE8"/>
              </w:rPr>
            </w:pPr>
            <w:hyperlink w:anchor="page1">
              <w:r>
                <w:rPr>
                  <w:rFonts w:ascii="Arial" w:cs="Arial" w:eastAsia="Arial" w:hAnsi="Arial"/>
                  <w:sz w:val="18"/>
                  <w:szCs w:val="18"/>
                  <w:color w:val="661DE8"/>
                </w:rPr>
                <w:t>Table of Contents</w:t>
              </w:r>
            </w:hyperlink>
          </w:p>
        </w:tc>
        <w:tc>
          <w:tcPr>
            <w:tcW w:w="9640" w:type="dxa"/>
            <w:vAlign w:val="bottom"/>
          </w:tcPr>
          <w:p>
            <w:pPr>
              <w:spacing w:after="0"/>
              <w:rPr>
                <w:sz w:val="17"/>
                <w:szCs w:val="17"/>
                <w:color w:val="auto"/>
              </w:rPr>
            </w:pPr>
          </w:p>
        </w:tc>
      </w:tr>
      <w:tr>
        <w:trPr>
          <w:trHeight w:val="627"/>
        </w:trPr>
        <w:tc>
          <w:tcPr>
            <w:tcW w:w="1280" w:type="dxa"/>
            <w:vAlign w:val="bottom"/>
            <w:tcBorders>
              <w:top w:val="single" w:sz="8" w:color="661DE8"/>
            </w:tcBorders>
          </w:tcPr>
          <w:p>
            <w:pPr>
              <w:ind w:left="500"/>
              <w:spacing w:after="0"/>
              <w:rPr>
                <w:sz w:val="20"/>
                <w:szCs w:val="20"/>
                <w:color w:val="auto"/>
              </w:rPr>
            </w:pPr>
            <w:r>
              <w:rPr>
                <w:rFonts w:ascii="Arial" w:cs="Arial" w:eastAsia="Arial" w:hAnsi="Arial"/>
                <w:sz w:val="18"/>
                <w:szCs w:val="18"/>
                <w:color w:val="auto"/>
              </w:rPr>
              <w:t>10.18.4</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2"/>
              </w:rPr>
              <w:t>Forms of agreement of stock options issued under the 2012 Long-term Incentive Plan. (Incorporated by reference from Form</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10-Q Report for the quarterly period ended June 30, 2012 filed on July 25, 2012; File No. 000-32191.)</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10.18.5</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1"/>
              </w:rPr>
              <w:t>HM Revenue and Customs Approved Sub-Plan for UK Employees under the 2012 Long-Term Incentive Plan. (Incorporated by</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5"/>
              </w:rPr>
              <w:t>reference from Form 10-Q for the quarterly period ended March 31, 2013 filed on April 24, 2013;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10.18.6</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3"/>
              </w:rPr>
              <w:t>Forms of Agreement for Stock Options issued under the HM Revenue and Customs Approved Sub-Plan for UK Employees</w:t>
            </w:r>
          </w:p>
        </w:tc>
      </w:tr>
      <w:tr>
        <w:trPr>
          <w:trHeight w:val="216"/>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3"/>
              </w:rPr>
              <w:t>under the 2012 Long-Term Incentive Plan. (Incorporated by reference from Form 10-Q for the quarterly period ended March</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31, 2013 filed on April 24, 2013; File No. 033-07012-99.)</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10.19</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3"/>
              </w:rPr>
              <w:t>Supplemental Savings Plan (Incorporated by reference from Form S-8 registration statement filed on October 23, 2014; File</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No. 333-199560.)</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10.19.1</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5"/>
              </w:rPr>
              <w:t>Supplemental Savings Plan - Schedule 1 - Sponsoring Employers (Incorporated by reference from Form S-8 registration</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statement filed on October 23, 2014; File No. 333-199560.)</w:t>
            </w:r>
          </w:p>
        </w:tc>
      </w:tr>
      <w:tr>
        <w:trPr>
          <w:trHeight w:val="377"/>
        </w:trPr>
        <w:tc>
          <w:tcPr>
            <w:tcW w:w="1280" w:type="dxa"/>
            <w:vAlign w:val="bottom"/>
          </w:tcPr>
          <w:p>
            <w:pPr>
              <w:ind w:left="500"/>
              <w:spacing w:after="0"/>
              <w:rPr>
                <w:sz w:val="20"/>
                <w:szCs w:val="20"/>
                <w:color w:val="auto"/>
              </w:rPr>
            </w:pPr>
            <w:r>
              <w:rPr>
                <w:rFonts w:ascii="Arial" w:cs="Arial" w:eastAsia="Arial" w:hAnsi="Arial"/>
                <w:sz w:val="18"/>
                <w:szCs w:val="18"/>
                <w:color w:val="auto"/>
              </w:rPr>
              <w:t>10.19.2</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3"/>
              </w:rPr>
              <w:t>Supplemental Savings Plan - Schedule 2 - UK Addendum (Incorporated by reference from Form S-8 registration statement</w:t>
            </w:r>
          </w:p>
        </w:tc>
      </w:tr>
      <w:tr>
        <w:trPr>
          <w:trHeight w:val="230"/>
        </w:trPr>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filed on October 23, 2014; File No. 333-199560.)</w:t>
            </w:r>
          </w:p>
        </w:tc>
      </w:tr>
      <w:tr>
        <w:trPr>
          <w:trHeight w:val="392"/>
        </w:trPr>
        <w:tc>
          <w:tcPr>
            <w:tcW w:w="1280" w:type="dxa"/>
            <w:vAlign w:val="bottom"/>
          </w:tcPr>
          <w:p>
            <w:pPr>
              <w:ind w:left="50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Subsidiaries of T. Rowe Price Group, Inc.</w:t>
            </w:r>
          </w:p>
        </w:tc>
      </w:tr>
      <w:tr>
        <w:trPr>
          <w:trHeight w:val="392"/>
        </w:trPr>
        <w:tc>
          <w:tcPr>
            <w:tcW w:w="1280" w:type="dxa"/>
            <w:vAlign w:val="bottom"/>
          </w:tcPr>
          <w:p>
            <w:pPr>
              <w:ind w:left="50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Consent of Independent Registered Public Accounting Firm, KPMG LLP.</w:t>
            </w:r>
          </w:p>
        </w:tc>
      </w:tr>
      <w:tr>
        <w:trPr>
          <w:trHeight w:val="392"/>
        </w:trPr>
        <w:tc>
          <w:tcPr>
            <w:tcW w:w="1740" w:type="dxa"/>
            <w:vAlign w:val="bottom"/>
            <w:gridSpan w:val="2"/>
          </w:tcPr>
          <w:p>
            <w:pPr>
              <w:ind w:left="500"/>
              <w:spacing w:after="0"/>
              <w:rPr>
                <w:sz w:val="20"/>
                <w:szCs w:val="20"/>
                <w:color w:val="auto"/>
              </w:rPr>
            </w:pPr>
            <w:r>
              <w:rPr>
                <w:rFonts w:ascii="Arial" w:cs="Arial" w:eastAsia="Arial" w:hAnsi="Arial"/>
                <w:sz w:val="18"/>
                <w:szCs w:val="18"/>
                <w:color w:val="auto"/>
              </w:rPr>
              <w:t>31(i).1</w:t>
            </w:r>
          </w:p>
        </w:tc>
        <w:tc>
          <w:tcPr>
            <w:tcW w:w="9640" w:type="dxa"/>
            <w:vAlign w:val="bottom"/>
          </w:tcPr>
          <w:p>
            <w:pPr>
              <w:ind w:left="46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92"/>
        </w:trPr>
        <w:tc>
          <w:tcPr>
            <w:tcW w:w="1740" w:type="dxa"/>
            <w:vAlign w:val="bottom"/>
            <w:gridSpan w:val="2"/>
          </w:tcPr>
          <w:p>
            <w:pPr>
              <w:ind w:left="500"/>
              <w:spacing w:after="0"/>
              <w:rPr>
                <w:sz w:val="20"/>
                <w:szCs w:val="20"/>
                <w:color w:val="auto"/>
              </w:rPr>
            </w:pPr>
            <w:r>
              <w:rPr>
                <w:rFonts w:ascii="Arial" w:cs="Arial" w:eastAsia="Arial" w:hAnsi="Arial"/>
                <w:sz w:val="18"/>
                <w:szCs w:val="18"/>
                <w:color w:val="auto"/>
              </w:rPr>
              <w:t>31(i).2</w:t>
            </w:r>
          </w:p>
        </w:tc>
        <w:tc>
          <w:tcPr>
            <w:tcW w:w="9640" w:type="dxa"/>
            <w:vAlign w:val="bottom"/>
          </w:tcPr>
          <w:p>
            <w:pPr>
              <w:ind w:left="46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92"/>
        </w:trPr>
        <w:tc>
          <w:tcPr>
            <w:tcW w:w="1280" w:type="dxa"/>
            <w:vAlign w:val="bottom"/>
          </w:tcPr>
          <w:p>
            <w:pPr>
              <w:ind w:left="50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rPr>
              <w:t>Section 1350 Certifications.</w:t>
            </w:r>
          </w:p>
        </w:tc>
      </w:tr>
      <w:tr>
        <w:trPr>
          <w:trHeight w:val="392"/>
        </w:trPr>
        <w:tc>
          <w:tcPr>
            <w:tcW w:w="1280" w:type="dxa"/>
            <w:vAlign w:val="bottom"/>
          </w:tcPr>
          <w:p>
            <w:pPr>
              <w:ind w:left="500"/>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9640" w:type="dxa"/>
            <w:vAlign w:val="bottom"/>
          </w:tcPr>
          <w:p>
            <w:pPr>
              <w:ind w:left="460"/>
              <w:spacing w:after="0"/>
              <w:rPr>
                <w:sz w:val="20"/>
                <w:szCs w:val="20"/>
                <w:color w:val="auto"/>
              </w:rPr>
            </w:pPr>
            <w:r>
              <w:rPr>
                <w:rFonts w:ascii="Arial" w:cs="Arial" w:eastAsia="Arial" w:hAnsi="Arial"/>
                <w:sz w:val="18"/>
                <w:szCs w:val="18"/>
                <w:color w:val="auto"/>
                <w:w w:val="92"/>
              </w:rPr>
              <w:t>The following series of unaudited XBRL-formatted documents are collectively included herewith as Exhibit 101. The financial</w:t>
            </w:r>
          </w:p>
        </w:tc>
      </w:tr>
    </w:tbl>
    <w:p>
      <w:pPr>
        <w:ind w:left="2200" w:right="40"/>
        <w:spacing w:after="0" w:line="261" w:lineRule="auto"/>
        <w:rPr>
          <w:sz w:val="20"/>
          <w:szCs w:val="20"/>
          <w:color w:val="auto"/>
        </w:rPr>
      </w:pPr>
      <w:r>
        <w:rPr>
          <w:rFonts w:ascii="Arial" w:cs="Arial" w:eastAsia="Arial" w:hAnsi="Arial"/>
          <w:sz w:val="18"/>
          <w:szCs w:val="18"/>
          <w:color w:val="auto"/>
        </w:rPr>
        <w:t>information is extracted from T. Rowe Price Group’s consolidated financial statements and notes that are included in this Form 10-K Report.</w:t>
      </w:r>
    </w:p>
    <w:p>
      <w:pPr>
        <w:spacing w:after="0" w:line="14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101.INS XBRL Instance Document (File name: trow-20141231.xml).</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101.SCH XBRL Taxonomy Extension Schema Document (File name: trow-20141231.xsd).</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101.CAL XBRL Taxonomy Calculation Linkbase Document (File name: trow-20141231_cal.xml).</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101.LAB XBRL Taxonomy Label Linkbase Document (File name: trow-20141231_lab.xml).</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101.PRE XBRL Taxonomy Presentation Linkbase Document (File name: trow-20141231_pre.xml).</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101.DEF XBRL Taxonomy Definition Linkbase Document (File name: trow-20141231_def.xml).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380"/>
          </w:cols>
          <w:pgMar w:left="240" w:top="108" w:right="279" w:bottom="1440" w:gutter="0" w:footer="0" w:header="0"/>
        </w:sectPr>
      </w:pPr>
    </w:p>
    <w:bookmarkStart w:id="60" w:name="page61"/>
    <w:bookmarkEnd w:id="60"/>
    <w:p>
      <w:pPr>
        <w:spacing w:after="0"/>
        <w:rPr>
          <w:rFonts w:ascii="Arial" w:cs="Arial" w:eastAsia="Arial" w:hAnsi="Arial"/>
          <w:sz w:val="18"/>
          <w:szCs w:val="18"/>
          <w:u w:val="single" w:color="auto"/>
          <w:color w:val="661DE8"/>
        </w:rPr>
      </w:pPr>
      <w:hyperlink w:anchor="page1">
        <w:r>
          <w:rPr>
            <w:rFonts w:ascii="Arial" w:cs="Arial" w:eastAsia="Arial" w:hAnsi="Arial"/>
            <w:sz w:val="18"/>
            <w:szCs w:val="18"/>
            <w:u w:val="single" w:color="auto"/>
            <w:color w:val="661DE8"/>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5,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5,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225" w:lineRule="exact"/>
        <w:rPr>
          <w:sz w:val="20"/>
          <w:szCs w:val="20"/>
          <w:color w:val="auto"/>
        </w:rPr>
      </w:pPr>
    </w:p>
    <w:p>
      <w:pPr>
        <w:ind w:right="5600"/>
        <w:spacing w:after="0" w:line="624" w:lineRule="auto"/>
        <w:rPr>
          <w:sz w:val="20"/>
          <w:szCs w:val="20"/>
          <w:color w:val="auto"/>
        </w:rPr>
      </w:pPr>
      <w:r>
        <w:rPr>
          <w:rFonts w:ascii="Arial" w:cs="Arial" w:eastAsia="Arial" w:hAnsi="Arial"/>
          <w:sz w:val="16"/>
          <w:szCs w:val="16"/>
          <w:color w:val="auto"/>
        </w:rPr>
        <w:t>/s/ Kenneth V. Moreland, Vice President, Chief Financial Officer and Treasurer /s/ Jessica M. Hiebler, Vice President and Principal Accounting Officer</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300"/>
          </w:cols>
          <w:pgMar w:left="240" w:top="125"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680" w:type="dxa"/>
            <w:vAlign w:val="bottom"/>
            <w:gridSpan w:val="2"/>
          </w:tcPr>
          <w:p>
            <w:pPr>
              <w:jc w:val="right"/>
              <w:ind w:right="5410"/>
              <w:spacing w:after="0"/>
              <w:rPr>
                <w:sz w:val="20"/>
                <w:szCs w:val="20"/>
                <w:color w:val="auto"/>
              </w:rPr>
            </w:pPr>
            <w:r>
              <w:rPr>
                <w:rFonts w:ascii="Arial" w:cs="Arial" w:eastAsia="Arial" w:hAnsi="Arial"/>
                <w:sz w:val="18"/>
                <w:szCs w:val="18"/>
                <w:color w:val="auto"/>
              </w:rPr>
              <w:t>EXHIBIT 21</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DECEMBER 31, 2014</w:t>
            </w:r>
          </w:p>
        </w:tc>
        <w:tc>
          <w:tcPr>
            <w:tcW w:w="45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918"/>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Subsidiary companies and place of incorporation</w:t>
            </w:r>
          </w:p>
        </w:tc>
        <w:tc>
          <w:tcPr>
            <w:tcW w:w="456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b w:val="1"/>
                <w:bCs w:val="1"/>
                <w:color w:val="auto"/>
              </w:rPr>
              <w:t>Ownership</w:t>
            </w:r>
          </w:p>
        </w:tc>
      </w:tr>
      <w:tr>
        <w:trPr>
          <w:trHeight w:val="27"/>
        </w:trPr>
        <w:tc>
          <w:tcPr>
            <w:tcW w:w="474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 Rowe Price Associates,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(Canada),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Investment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T. Rowe Price Retirement Plan Services, Inc. (Maryland)</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T. Rowe Price Services, Inc. (Maryland)</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International Ltd (United Kingdom)</w:t>
            </w:r>
          </w:p>
        </w:tc>
        <w:tc>
          <w:tcPr>
            <w:tcW w:w="6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740" w:type="dxa"/>
            <w:vAlign w:val="bottom"/>
          </w:tcPr>
          <w:p>
            <w:pPr>
              <w:ind w:left="720"/>
              <w:spacing w:after="0"/>
              <w:rPr>
                <w:sz w:val="20"/>
                <w:szCs w:val="20"/>
                <w:color w:val="auto"/>
              </w:rPr>
            </w:pPr>
            <w:r>
              <w:rPr>
                <w:rFonts w:ascii="Arial" w:cs="Arial" w:eastAsia="Arial" w:hAnsi="Arial"/>
                <w:sz w:val="18"/>
                <w:szCs w:val="18"/>
                <w:color w:val="auto"/>
              </w:rPr>
              <w:t>T. Rowe Price Hong Kong Limited (Hong Kong)</w:t>
            </w: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 Rowe Price Singapore Private Ltd. (Singapore)</w:t>
            </w:r>
          </w:p>
        </w:tc>
        <w:tc>
          <w:tcPr>
            <w:tcW w:w="6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74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8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 33-7012, No. 333-90967, No. 333-59714, No. 333-120882, No. 333-120883, No. 333-142092, No. 333-167317, No. 333-180904, and 333-199560) on Form S-8 of T. Rowe Price Group, Inc. of our reports dated February 5, 2015, with respect to the consolidated balance sheets of T. Rowe Price Group, Inc. and subsidiaries as of December 31, 2014 and 2013, and the related consolidated statements of income, comprehensive income, stockholders’ equity and cash flows for each of the years in the three-year period ended December 31, 2014, and the effectiveness of internal control over financial reporting of T. Rowe Price Group, Inc. as of December 31, 2014, which reports appear in the December 31, 2014 Annual Report on Form 10-K of T. Rowe Price Group, Inc.</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2015</w:t>
      </w:r>
    </w:p>
    <w:p>
      <w:pPr>
        <w:sectPr>
          <w:pgSz w:w="11900" w:h="16838" w:orient="portrait"/>
          <w:cols w:equalWidth="0" w:num="1">
            <w:col w:w="11420"/>
          </w:cols>
          <w:pgMar w:left="240" w:top="665" w:right="239" w:bottom="1440" w:gutter="0" w:footer="0" w:header="0"/>
        </w:sectPr>
      </w:pPr>
    </w:p>
    <w:bookmarkStart w:id="63" w:name="page64"/>
    <w:bookmarkEnd w:id="63"/>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2014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64" w:name="page65"/>
    <w:bookmarkEnd w:id="64"/>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2014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65" w:name="page66"/>
    <w:bookmarkEnd w:id="65"/>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2014 of T. Rowe Price Group, Inc., that:</w:t>
      </w:r>
    </w:p>
    <w:p>
      <w:pPr>
        <w:spacing w:after="0" w:line="11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00"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5, 2015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380"/>
      </w:cols>
      <w:pgMar w:left="240" w:top="6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2019-12-29T18:28:38Z</dcterms:created>
  <dcterms:modified xsi:type="dcterms:W3CDTF">2019-12-29T18:28:38Z</dcterms:modified>
</cp:coreProperties>
</file>