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200660</wp:posOffset>
            </wp:positionH>
            <wp:positionV relativeFrom="page">
              <wp:posOffset>483235</wp:posOffset>
            </wp:positionV>
            <wp:extent cx="7169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397510</wp:posOffset>
            </wp:positionV>
            <wp:extent cx="7169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889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5"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11"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w:t>
      </w:r>
    </w:p>
    <w:p>
      <w:pPr>
        <w:spacing w:after="0" w:line="61" w:lineRule="exact"/>
        <w:rPr>
          <w:sz w:val="24"/>
          <w:szCs w:val="24"/>
          <w:color w:val="auto"/>
        </w:rPr>
      </w:pPr>
    </w:p>
    <w:p>
      <w:pPr>
        <w:jc w:val="center"/>
        <w:ind w:left="120" w:right="120"/>
        <w:spacing w:after="0" w:line="288" w:lineRule="auto"/>
        <w:rPr>
          <w:sz w:val="20"/>
          <w:szCs w:val="20"/>
          <w:color w:val="auto"/>
        </w:rPr>
      </w:pPr>
      <w:r>
        <w:rPr>
          <w:rFonts w:ascii="Arial" w:cs="Arial" w:eastAsia="Arial" w:hAnsi="Arial"/>
          <w:sz w:val="25"/>
          <w:szCs w:val="25"/>
          <w:b w:val="1"/>
          <w:bCs w:val="1"/>
          <w:color w:val="auto"/>
        </w:rPr>
        <w:t>QUARTERLY REPORT PURSUANT TO SECTION 13 OF 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000-32191</w:t>
      </w:r>
    </w:p>
    <w:p>
      <w:pPr>
        <w:spacing w:after="0" w:line="9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 ROWE PRICE GROUP,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788" w:right="239" w:bottom="1440" w:gutter="0" w:footer="0" w:header="0"/>
        </w:sectPr>
      </w:pPr>
    </w:p>
    <w:p>
      <w:pPr>
        <w:spacing w:after="0" w:line="149"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52-2264646</w:t>
      </w:r>
    </w:p>
    <w:p>
      <w:pPr>
        <w:spacing w:after="0" w:line="70" w:lineRule="exact"/>
        <w:rPr>
          <w:sz w:val="24"/>
          <w:szCs w:val="24"/>
          <w:color w:val="auto"/>
        </w:rPr>
      </w:pPr>
    </w:p>
    <w:p>
      <w:pPr>
        <w:sectPr>
          <w:pgSz w:w="11900" w:h="16838" w:orient="portrait"/>
          <w:cols w:equalWidth="0" w:num="2">
            <w:col w:w="7340" w:space="720"/>
            <w:col w:w="3360"/>
          </w:cols>
          <w:pgMar w:left="240" w:top="788" w:right="239" w:bottom="1440" w:gutter="0" w:footer="0" w:header="0"/>
          <w:type w:val="continuous"/>
        </w:sectPr>
      </w:pPr>
    </w:p>
    <w:p>
      <w:pPr>
        <w:ind w:left="192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81" w:lineRule="exact"/>
        <w:rPr>
          <w:sz w:val="24"/>
          <w:szCs w:val="24"/>
          <w:color w:val="auto"/>
        </w:rPr>
      </w:pPr>
    </w:p>
    <w:p>
      <w:pPr>
        <w:sectPr>
          <w:pgSz w:w="11900" w:h="16838" w:orient="portrait"/>
          <w:cols w:equalWidth="0" w:num="2">
            <w:col w:w="6640" w:space="720"/>
            <w:col w:w="4060"/>
          </w:cols>
          <w:pgMar w:left="240" w:top="788" w:right="2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100 East Pratt Street, Baltimore, Maryland 21202</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(410) 345-2000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73"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______________________________________</w:t>
      </w:r>
    </w:p>
    <w:p>
      <w:pPr>
        <w:sectPr>
          <w:pgSz w:w="11900" w:h="16838" w:orient="portrait"/>
          <w:cols w:equalWidth="0" w:num="1">
            <w:col w:w="11420"/>
          </w:cols>
          <w:pgMar w:left="240" w:top="788" w:right="239" w:bottom="1440" w:gutter="0" w:footer="0" w:header="0"/>
          <w:type w:val="continuous"/>
        </w:sectPr>
      </w:pPr>
    </w:p>
    <w:p>
      <w:pPr>
        <w:spacing w:after="0" w:line="63" w:lineRule="exact"/>
        <w:rPr>
          <w:sz w:val="24"/>
          <w:szCs w:val="24"/>
          <w:color w:val="auto"/>
        </w:rPr>
      </w:pPr>
    </w:p>
    <w:p>
      <w:pPr>
        <w:ind w:right="120"/>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42" w:lineRule="exact"/>
        <w:rPr>
          <w:sz w:val="24"/>
          <w:szCs w:val="24"/>
          <w:color w:val="auto"/>
        </w:rPr>
      </w:pPr>
    </w:p>
    <w:p>
      <w:pPr>
        <w:ind w:right="180"/>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42" w:lineRule="exact"/>
        <w:rPr>
          <w:sz w:val="24"/>
          <w:szCs w:val="24"/>
          <w:color w:val="auto"/>
        </w:rPr>
      </w:pPr>
    </w:p>
    <w:p>
      <w:pPr>
        <w:ind w:right="24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88" w:right="239" w:bottom="1440" w:gutter="0" w:footer="0" w:header="0"/>
          <w:type w:val="continuous"/>
        </w:sectPr>
      </w:pPr>
    </w:p>
    <w:p>
      <w:pPr>
        <w:spacing w:after="0" w:line="134" w:lineRule="exact"/>
        <w:rPr>
          <w:sz w:val="24"/>
          <w:szCs w:val="24"/>
          <w:color w:val="auto"/>
        </w:rPr>
      </w:pPr>
    </w:p>
    <w:p>
      <w:pPr>
        <w:ind w:left="40"/>
        <w:spacing w:after="0"/>
        <w:rPr>
          <w:sz w:val="20"/>
          <w:szCs w:val="20"/>
          <w:color w:val="auto"/>
        </w:rPr>
      </w:pPr>
      <w:r>
        <w:rPr>
          <w:rFonts w:ascii="Arial" w:cs="Arial" w:eastAsia="Arial" w:hAnsi="Arial"/>
          <w:sz w:val="17"/>
          <w:szCs w:val="17"/>
          <w:color w:val="auto"/>
        </w:rPr>
        <w:t>Large accelerated filer x</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jc w:val="center"/>
        <w:ind w:right="4000"/>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p>
      <w:pPr>
        <w:spacing w:after="0" w:line="87" w:lineRule="exact"/>
        <w:rPr>
          <w:sz w:val="24"/>
          <w:szCs w:val="24"/>
          <w:color w:val="auto"/>
        </w:rPr>
      </w:pPr>
    </w:p>
    <w:p>
      <w:pPr>
        <w:sectPr>
          <w:pgSz w:w="11900" w:h="16838" w:orient="portrait"/>
          <w:cols w:equalWidth="0" w:num="2">
            <w:col w:w="5200" w:space="720"/>
            <w:col w:w="5500"/>
          </w:cols>
          <w:pgMar w:left="240" w:top="788" w:right="239" w:bottom="1440" w:gutter="0" w:footer="0" w:header="0"/>
          <w:type w:val="continuous"/>
        </w:sectPr>
      </w:pPr>
    </w:p>
    <w:p>
      <w:pPr>
        <w:ind w:left="5920"/>
        <w:spacing w:after="0" w:line="19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p>
      <w:pPr>
        <w:sectPr>
          <w:pgSz w:w="11900" w:h="16838" w:orient="portrait"/>
          <w:cols w:equalWidth="0" w:num="1">
            <w:col w:w="11420"/>
          </w:cols>
          <w:pgMar w:left="240" w:top="788" w:right="239" w:bottom="1440" w:gutter="0" w:footer="0" w:header="0"/>
          <w:type w:val="continuous"/>
        </w:sectPr>
      </w:pPr>
    </w:p>
    <w:p>
      <w:pPr>
        <w:spacing w:after="0" w:line="75" w:lineRule="exact"/>
        <w:rPr>
          <w:sz w:val="24"/>
          <w:szCs w:val="24"/>
          <w:color w:val="auto"/>
        </w:rPr>
      </w:pPr>
    </w:p>
    <w:p>
      <w:pPr>
        <w:ind w:left="4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smaller reporting company)</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400" w:space="520"/>
            <w:col w:w="5500"/>
          </w:cols>
          <w:pgMar w:left="240" w:top="788" w:right="239" w:bottom="1440" w:gutter="0" w:footer="0" w:header="0"/>
          <w:type w:val="continuous"/>
        </w:sectPr>
      </w:pPr>
    </w:p>
    <w:p>
      <w:pPr>
        <w:spacing w:after="0" w:line="43"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978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Arial" w:cs="Arial" w:eastAsia="Arial" w:hAnsi="Arial"/>
          <w:sz w:val="18"/>
          <w:szCs w:val="18"/>
          <w:color w:val="auto"/>
        </w:rPr>
        <w:t>x No</w:t>
      </w:r>
    </w:p>
    <w:p>
      <w:pPr>
        <w:spacing w:after="0" w:line="217" w:lineRule="exact"/>
        <w:rPr>
          <w:sz w:val="24"/>
          <w:szCs w:val="24"/>
          <w:color w:val="auto"/>
        </w:rPr>
      </w:pPr>
    </w:p>
    <w:p>
      <w:pPr>
        <w:ind w:right="680"/>
        <w:spacing w:after="0" w:line="262" w:lineRule="auto"/>
        <w:rPr>
          <w:sz w:val="20"/>
          <w:szCs w:val="20"/>
          <w:color w:val="auto"/>
        </w:rPr>
      </w:pPr>
      <w:r>
        <w:rPr>
          <w:rFonts w:ascii="Arial" w:cs="Arial" w:eastAsia="Arial" w:hAnsi="Arial"/>
          <w:sz w:val="18"/>
          <w:szCs w:val="18"/>
          <w:color w:val="auto"/>
        </w:rPr>
        <w:t>The number of shares outstanding of the issuer’s common stock ($.20 par value), as of the latest practicable date, October 23, 2018, is 240,654,698.</w:t>
      </w:r>
    </w:p>
    <w:p>
      <w:pPr>
        <w:spacing w:after="0" w:line="142"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69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69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420"/>
          </w:cols>
          <w:pgMar w:left="240" w:top="788"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b w:val="1"/>
                <w:bCs w:val="1"/>
                <w:color w:val="auto"/>
              </w:rPr>
              <w:t>12/31/2017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9/30/2018</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1,902.7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2,090.6</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2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565.3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583.1</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1,477.3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2,414.4</w:t>
            </w:r>
          </w:p>
        </w:tc>
      </w:tr>
      <w:tr>
        <w:trPr>
          <w:trHeight w:val="229"/>
        </w:trPr>
        <w:tc>
          <w:tcPr>
            <w:tcW w:w="8560" w:type="dxa"/>
            <w:vAlign w:val="bottom"/>
          </w:tcPr>
          <w:p>
            <w:pPr>
              <w:ind w:left="40"/>
              <w:spacing w:after="0"/>
              <w:rPr>
                <w:sz w:val="20"/>
                <w:szCs w:val="20"/>
                <w:color w:val="auto"/>
              </w:rPr>
            </w:pPr>
            <w:r>
              <w:rPr>
                <w:rFonts w:ascii="Arial" w:cs="Arial" w:eastAsia="Arial" w:hAnsi="Arial"/>
                <w:sz w:val="18"/>
                <w:szCs w:val="18"/>
                <w:color w:val="auto"/>
              </w:rPr>
              <w:t>Assets of consolidated T. Rowe Price investment products ($1,839.6 million at December 31,</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8560" w:type="dxa"/>
            <w:vAlign w:val="bottom"/>
          </w:tcPr>
          <w:p>
            <w:pPr>
              <w:ind w:left="40"/>
              <w:spacing w:after="0"/>
              <w:rPr>
                <w:sz w:val="20"/>
                <w:szCs w:val="20"/>
                <w:color w:val="auto"/>
              </w:rPr>
            </w:pPr>
            <w:r>
              <w:rPr>
                <w:rFonts w:ascii="Arial" w:cs="Arial" w:eastAsia="Arial" w:hAnsi="Arial"/>
                <w:sz w:val="18"/>
                <w:szCs w:val="18"/>
                <w:color w:val="auto"/>
              </w:rPr>
              <w:t>2017 and $1,613.8 million at September 30, 2018, related to variable interest entities)</w:t>
            </w:r>
          </w:p>
        </w:tc>
        <w:tc>
          <w:tcPr>
            <w:tcW w:w="2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2,048.4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1,917.8</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657.0</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665.7</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224.0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202.0</w:t>
            </w:r>
          </w:p>
        </w:tc>
      </w:tr>
      <w:tr>
        <w:trPr>
          <w:trHeight w:val="297"/>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7,535.4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8,530.6</w:t>
            </w:r>
          </w:p>
        </w:tc>
      </w:tr>
      <w:tr>
        <w:trPr>
          <w:trHeight w:val="305"/>
        </w:trPr>
        <w:tc>
          <w:tcPr>
            <w:tcW w:w="8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216.2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249.9</w:t>
            </w:r>
          </w:p>
        </w:tc>
      </w:tr>
      <w:tr>
        <w:trPr>
          <w:trHeight w:val="229"/>
        </w:trPr>
        <w:tc>
          <w:tcPr>
            <w:tcW w:w="8560" w:type="dxa"/>
            <w:vAlign w:val="bottom"/>
          </w:tcPr>
          <w:p>
            <w:pPr>
              <w:ind w:left="180"/>
              <w:spacing w:after="0"/>
              <w:rPr>
                <w:sz w:val="20"/>
                <w:szCs w:val="20"/>
                <w:color w:val="auto"/>
              </w:rPr>
            </w:pPr>
            <w:r>
              <w:rPr>
                <w:rFonts w:ascii="Arial" w:cs="Arial" w:eastAsia="Arial" w:hAnsi="Arial"/>
                <w:sz w:val="18"/>
                <w:szCs w:val="18"/>
                <w:color w:val="auto"/>
              </w:rPr>
              <w:t>Liabilities of consolidated T. Rowe Price investment products ($39.5 million at December 31,</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8560" w:type="dxa"/>
            <w:vAlign w:val="bottom"/>
          </w:tcPr>
          <w:p>
            <w:pPr>
              <w:ind w:left="180"/>
              <w:spacing w:after="0"/>
              <w:rPr>
                <w:sz w:val="20"/>
                <w:szCs w:val="20"/>
                <w:color w:val="auto"/>
              </w:rPr>
            </w:pPr>
            <w:r>
              <w:rPr>
                <w:rFonts w:ascii="Arial" w:cs="Arial" w:eastAsia="Arial" w:hAnsi="Arial"/>
                <w:sz w:val="18"/>
                <w:szCs w:val="18"/>
                <w:color w:val="auto"/>
              </w:rPr>
              <w:t>2017 and $61.0 million at September 30, 2018, related to variable interest entities)</w:t>
            </w:r>
          </w:p>
        </w:tc>
        <w:tc>
          <w:tcPr>
            <w:tcW w:w="2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74.7</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511.6</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Supplemental savings plan liability</w:t>
            </w:r>
          </w:p>
        </w:tc>
        <w:tc>
          <w:tcPr>
            <w:tcW w:w="22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293.0</w:t>
            </w:r>
          </w:p>
        </w:tc>
      </w:tr>
      <w:tr>
        <w:trPr>
          <w:trHeight w:val="270"/>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80.3</w:t>
            </w:r>
          </w:p>
        </w:tc>
      </w:tr>
      <w:tr>
        <w:trPr>
          <w:trHeight w:val="250"/>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718.2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1,209.5</w:t>
            </w:r>
          </w:p>
        </w:tc>
      </w:tr>
      <w:tr>
        <w:trPr>
          <w:trHeight w:val="324"/>
        </w:trPr>
        <w:tc>
          <w:tcPr>
            <w:tcW w:w="8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31"/>
        </w:trPr>
        <w:tc>
          <w:tcPr>
            <w:tcW w:w="8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992.8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860.6</w:t>
            </w:r>
          </w:p>
        </w:tc>
      </w:tr>
      <w:tr>
        <w:trPr>
          <w:trHeight w:val="324"/>
        </w:trPr>
        <w:tc>
          <w:tcPr>
            <w:tcW w:w="8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560" w:type="dxa"/>
            <w:vAlign w:val="bottom"/>
          </w:tcPr>
          <w:p>
            <w:pPr>
              <w:ind w:left="180"/>
              <w:spacing w:after="0"/>
              <w:rPr>
                <w:sz w:val="20"/>
                <w:szCs w:val="20"/>
                <w:color w:val="auto"/>
              </w:rPr>
            </w:pPr>
            <w:r>
              <w:rPr>
                <w:rFonts w:ascii="Arial" w:cs="Arial" w:eastAsia="Arial" w:hAnsi="Arial"/>
                <w:sz w:val="18"/>
                <w:szCs w:val="18"/>
                <w:color w:val="auto"/>
              </w:rPr>
              <w:t>Common stock, $.20 par value—authorized 750,000,000; issued 245,111,000 shares at</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8560" w:type="dxa"/>
            <w:vAlign w:val="bottom"/>
          </w:tcPr>
          <w:p>
            <w:pPr>
              <w:ind w:left="180"/>
              <w:spacing w:after="0"/>
              <w:rPr>
                <w:sz w:val="20"/>
                <w:szCs w:val="20"/>
                <w:color w:val="auto"/>
              </w:rPr>
            </w:pPr>
            <w:r>
              <w:rPr>
                <w:rFonts w:ascii="Arial" w:cs="Arial" w:eastAsia="Arial" w:hAnsi="Arial"/>
                <w:sz w:val="18"/>
                <w:szCs w:val="18"/>
                <w:color w:val="auto"/>
              </w:rPr>
              <w:t>December 31, 2017 and 242,599,000 at September 30, 2018</w:t>
            </w:r>
          </w:p>
        </w:tc>
        <w:tc>
          <w:tcPr>
            <w:tcW w:w="2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48.5</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846.1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654.5</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4,932.9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5,788.5</w:t>
            </w:r>
          </w:p>
        </w:tc>
      </w:tr>
      <w:tr>
        <w:trPr>
          <w:trHeight w:val="270"/>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50"/>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permanent stockholders’ equity</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5,824.4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6,460.5</w:t>
            </w:r>
          </w:p>
        </w:tc>
      </w:tr>
      <w:tr>
        <w:trPr>
          <w:trHeight w:val="25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7,535.4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8,530.6</w:t>
            </w:r>
          </w:p>
        </w:tc>
      </w:tr>
      <w:tr>
        <w:trPr>
          <w:trHeight w:val="20"/>
        </w:trPr>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576" w:right="239" w:bottom="1440" w:gutter="0" w:footer="0" w:header="0"/>
        </w:sectPr>
      </w:pPr>
    </w:p>
    <w:bookmarkStart w:id="2" w:name="page3"/>
    <w:bookmarkEnd w:id="2"/>
    <w:p>
      <w:pPr>
        <w:ind w:right="5360"/>
        <w:spacing w:after="0" w:line="287"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720" w:type="dxa"/>
            <w:vAlign w:val="bottom"/>
            <w:gridSpan w:val="5"/>
            <w:shd w:val="clear" w:color="auto" w:fill="CCEEFF"/>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22"/>
                <w:szCs w:val="22"/>
                <w:color w:val="auto"/>
              </w:rPr>
            </w:pPr>
          </w:p>
        </w:tc>
        <w:tc>
          <w:tcPr>
            <w:tcW w:w="2620" w:type="dxa"/>
            <w:vAlign w:val="bottom"/>
            <w:gridSpan w:val="4"/>
            <w:shd w:val="clear" w:color="auto" w:fill="CCEEFF"/>
          </w:tcPr>
          <w:p>
            <w:pPr>
              <w:jc w:val="right"/>
              <w:ind w:right="67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4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9/30/2018</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9/30/2017</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9/30/2018</w:t>
            </w:r>
          </w:p>
        </w:tc>
      </w:tr>
      <w:tr>
        <w:trPr>
          <w:trHeight w:val="270"/>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5420" w:type="dxa"/>
            <w:vAlign w:val="bottom"/>
          </w:tcPr>
          <w:p>
            <w:pPr>
              <w:ind w:left="180"/>
              <w:spacing w:after="0"/>
              <w:rPr>
                <w:sz w:val="20"/>
                <w:szCs w:val="20"/>
                <w:color w:val="auto"/>
              </w:rPr>
            </w:pPr>
            <w:r>
              <w:rPr>
                <w:rFonts w:ascii="Arial" w:cs="Arial" w:eastAsia="Arial" w:hAnsi="Arial"/>
                <w:sz w:val="18"/>
                <w:szCs w:val="18"/>
                <w:color w:val="auto"/>
              </w:rPr>
              <w:t>Investment advisory fees</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1,098.9</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1,263.3</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3,137.6</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3,666.9</w:t>
            </w:r>
          </w:p>
        </w:tc>
      </w:tr>
      <w:tr>
        <w:trPr>
          <w:trHeight w:val="270"/>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 distribution, and servicing fees</w:t>
            </w:r>
          </w:p>
        </w:tc>
        <w:tc>
          <w:tcPr>
            <w:tcW w:w="1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139.8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131.3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419.7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400.7</w:t>
            </w:r>
          </w:p>
        </w:tc>
      </w:tr>
      <w:tr>
        <w:trPr>
          <w:trHeight w:val="250"/>
        </w:trPr>
        <w:tc>
          <w:tcPr>
            <w:tcW w:w="5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1,238.7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1,394.6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3,557.3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4,067.6</w:t>
            </w:r>
          </w:p>
        </w:tc>
      </w:tr>
      <w:tr>
        <w:trPr>
          <w:trHeight w:val="324"/>
        </w:trPr>
        <w:tc>
          <w:tcPr>
            <w:tcW w:w="5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54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and related costs</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417.4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454.3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1,218.6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1,351.7</w:t>
            </w:r>
          </w:p>
        </w:tc>
      </w:tr>
      <w:tr>
        <w:trPr>
          <w:trHeight w:val="263"/>
        </w:trPr>
        <w:tc>
          <w:tcPr>
            <w:tcW w:w="5420" w:type="dxa"/>
            <w:vAlign w:val="bottom"/>
          </w:tcPr>
          <w:p>
            <w:pPr>
              <w:ind w:left="180"/>
              <w:spacing w:after="0"/>
              <w:rPr>
                <w:sz w:val="20"/>
                <w:szCs w:val="20"/>
                <w:color w:val="auto"/>
              </w:rPr>
            </w:pPr>
            <w:r>
              <w:rPr>
                <w:rFonts w:ascii="Arial" w:cs="Arial" w:eastAsia="Arial" w:hAnsi="Arial"/>
                <w:sz w:val="18"/>
                <w:szCs w:val="18"/>
                <w:color w:val="auto"/>
              </w:rPr>
              <w:t>Distribution and servicing</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213.3</w:t>
            </w:r>
          </w:p>
        </w:tc>
      </w:tr>
      <w:tr>
        <w:trPr>
          <w:trHeight w:val="277"/>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 and promotion</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63.8</w:t>
            </w:r>
          </w:p>
        </w:tc>
      </w:tr>
      <w:tr>
        <w:trPr>
          <w:trHeight w:val="263"/>
        </w:trPr>
        <w:tc>
          <w:tcPr>
            <w:tcW w:w="5420" w:type="dxa"/>
            <w:vAlign w:val="bottom"/>
          </w:tcPr>
          <w:p>
            <w:pPr>
              <w:ind w:left="180"/>
              <w:spacing w:after="0"/>
              <w:rPr>
                <w:sz w:val="20"/>
                <w:szCs w:val="20"/>
                <w:color w:val="auto"/>
              </w:rPr>
            </w:pPr>
            <w:r>
              <w:rPr>
                <w:rFonts w:ascii="Arial" w:cs="Arial" w:eastAsia="Arial" w:hAnsi="Arial"/>
                <w:sz w:val="18"/>
                <w:szCs w:val="18"/>
                <w:color w:val="auto"/>
              </w:rPr>
              <w:t>Product-related costs</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117.1</w:t>
            </w:r>
          </w:p>
        </w:tc>
      </w:tr>
      <w:tr>
        <w:trPr>
          <w:trHeight w:val="277"/>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 occupancy, and facility costs</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254.7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283.8</w:t>
            </w:r>
          </w:p>
        </w:tc>
      </w:tr>
      <w:tr>
        <w:trPr>
          <w:trHeight w:val="263"/>
        </w:trPr>
        <w:tc>
          <w:tcPr>
            <w:tcW w:w="5420" w:type="dxa"/>
            <w:vAlign w:val="bottom"/>
          </w:tcPr>
          <w:p>
            <w:pPr>
              <w:ind w:left="180"/>
              <w:spacing w:after="0"/>
              <w:rPr>
                <w:sz w:val="20"/>
                <w:szCs w:val="20"/>
                <w:color w:val="auto"/>
              </w:rPr>
            </w:pPr>
            <w:r>
              <w:rPr>
                <w:rFonts w:ascii="Arial" w:cs="Arial" w:eastAsia="Arial" w:hAnsi="Arial"/>
                <w:sz w:val="18"/>
                <w:szCs w:val="18"/>
                <w:color w:val="auto"/>
              </w:rPr>
              <w:t>General, administrative, and other</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218.8</w:t>
            </w:r>
          </w:p>
        </w:tc>
      </w:tr>
      <w:tr>
        <w:trPr>
          <w:trHeight w:val="235"/>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Nonrecurring insurance recoveries related to Dell appraisal rights</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4"/>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matter</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5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690.2</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754.0</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1,979.5</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2,248.5</w:t>
            </w:r>
          </w:p>
        </w:tc>
      </w:tr>
      <w:tr>
        <w:trPr>
          <w:trHeight w:val="324"/>
        </w:trPr>
        <w:tc>
          <w:tcPr>
            <w:tcW w:w="5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5420" w:type="dxa"/>
            <w:vAlign w:val="bottom"/>
          </w:tcPr>
          <w:p>
            <w:pPr>
              <w:ind w:left="40"/>
              <w:spacing w:after="0"/>
              <w:rPr>
                <w:sz w:val="20"/>
                <w:szCs w:val="20"/>
                <w:color w:val="auto"/>
              </w:rPr>
            </w:pPr>
            <w:r>
              <w:rPr>
                <w:rFonts w:ascii="Arial" w:cs="Arial" w:eastAsia="Arial" w:hAnsi="Arial"/>
                <w:sz w:val="18"/>
                <w:szCs w:val="18"/>
                <w:color w:val="auto"/>
              </w:rPr>
              <w:t>Net operating income</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548.5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640.6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1,577.8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1,819.1</w:t>
            </w:r>
          </w:p>
        </w:tc>
      </w:tr>
      <w:tr>
        <w:trPr>
          <w:trHeight w:val="331"/>
        </w:trPr>
        <w:tc>
          <w:tcPr>
            <w:tcW w:w="5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5420" w:type="dxa"/>
            <w:vAlign w:val="bottom"/>
          </w:tcPr>
          <w:p>
            <w:pPr>
              <w:ind w:left="40"/>
              <w:spacing w:after="0"/>
              <w:rPr>
                <w:sz w:val="20"/>
                <w:szCs w:val="20"/>
                <w:color w:val="auto"/>
              </w:rPr>
            </w:pPr>
            <w:r>
              <w:rPr>
                <w:rFonts w:ascii="Arial" w:cs="Arial" w:eastAsia="Arial" w:hAnsi="Arial"/>
                <w:sz w:val="18"/>
                <w:szCs w:val="18"/>
                <w:color w:val="auto"/>
              </w:rPr>
              <w:t>Non-operating income</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gains on investments</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165.1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147.9</w:t>
            </w:r>
          </w:p>
        </w:tc>
      </w:tr>
      <w:tr>
        <w:trPr>
          <w:trHeight w:val="263"/>
        </w:trPr>
        <w:tc>
          <w:tcPr>
            <w:tcW w:w="5420" w:type="dxa"/>
            <w:vAlign w:val="bottom"/>
          </w:tcPr>
          <w:p>
            <w:pPr>
              <w:ind w:left="180"/>
              <w:spacing w:after="0"/>
              <w:rPr>
                <w:sz w:val="20"/>
                <w:szCs w:val="20"/>
                <w:color w:val="auto"/>
              </w:rPr>
            </w:pPr>
            <w:r>
              <w:rPr>
                <w:rFonts w:ascii="Arial" w:cs="Arial" w:eastAsia="Arial" w:hAnsi="Arial"/>
                <w:sz w:val="18"/>
                <w:szCs w:val="18"/>
                <w:color w:val="auto"/>
              </w:rPr>
              <w:t>Net gains on consolidated investment products</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28.6</w:t>
            </w:r>
          </w:p>
        </w:tc>
      </w:tr>
      <w:tr>
        <w:trPr>
          <w:trHeight w:val="270"/>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(loss)</w:t>
            </w:r>
          </w:p>
        </w:tc>
        <w:tc>
          <w:tcPr>
            <w:tcW w:w="1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5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non-operating income</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124.9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294.3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175.1</w:t>
            </w:r>
          </w:p>
        </w:tc>
      </w:tr>
      <w:tr>
        <w:trPr>
          <w:trHeight w:val="324"/>
        </w:trPr>
        <w:tc>
          <w:tcPr>
            <w:tcW w:w="5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54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615.8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765.5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1,872.1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1,994.2</w:t>
            </w:r>
          </w:p>
        </w:tc>
      </w:tr>
      <w:tr>
        <w:trPr>
          <w:trHeight w:val="270"/>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211.6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183.9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677.5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497.5</w:t>
            </w:r>
          </w:p>
        </w:tc>
      </w:tr>
      <w:tr>
        <w:trPr>
          <w:trHeight w:val="250"/>
        </w:trPr>
        <w:tc>
          <w:tcPr>
            <w:tcW w:w="5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1,194.6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1,496.7</w:t>
            </w:r>
          </w:p>
        </w:tc>
      </w:tr>
      <w:tr>
        <w:trPr>
          <w:trHeight w:val="235"/>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Less: net income (loss) attributable to redeemable non-controlling</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4"/>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r>
      <w:tr>
        <w:trPr>
          <w:trHeight w:val="297"/>
        </w:trPr>
        <w:tc>
          <w:tcPr>
            <w:tcW w:w="5420" w:type="dxa"/>
            <w:vAlign w:val="bottom"/>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390.9</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583.0</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1,150.7</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1,485.6</w:t>
            </w:r>
          </w:p>
        </w:tc>
      </w:tr>
      <w:tr>
        <w:trPr>
          <w:trHeight w:val="305"/>
        </w:trPr>
        <w:tc>
          <w:tcPr>
            <w:tcW w:w="54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63"/>
        </w:trPr>
        <w:tc>
          <w:tcPr>
            <w:tcW w:w="5420" w:type="dxa"/>
            <w:vAlign w:val="bottom"/>
          </w:tcPr>
          <w:p>
            <w:pPr>
              <w:ind w:left="40"/>
              <w:spacing w:after="0"/>
              <w:rPr>
                <w:sz w:val="20"/>
                <w:szCs w:val="20"/>
                <w:color w:val="auto"/>
              </w:rPr>
            </w:pPr>
            <w:r>
              <w:rPr>
                <w:rFonts w:ascii="Arial" w:cs="Arial" w:eastAsia="Arial" w:hAnsi="Arial"/>
                <w:sz w:val="18"/>
                <w:szCs w:val="18"/>
                <w:color w:val="auto"/>
              </w:rPr>
              <w:t>Earnings per share on common stock of T. Rowe Price Group</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3"/>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5.97</w:t>
            </w:r>
          </w:p>
        </w:tc>
      </w:tr>
      <w:tr>
        <w:trPr>
          <w:trHeight w:val="20"/>
        </w:trPr>
        <w:tc>
          <w:tcPr>
            <w:tcW w:w="5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7"/>
        </w:trPr>
        <w:tc>
          <w:tcPr>
            <w:tcW w:w="5420" w:type="dxa"/>
            <w:vAlign w:val="bottom"/>
          </w:tcPr>
          <w:p>
            <w:pPr>
              <w:ind w:left="180"/>
              <w:spacing w:after="0"/>
              <w:rPr>
                <w:sz w:val="20"/>
                <w:szCs w:val="20"/>
                <w:color w:val="auto"/>
              </w:rPr>
            </w:pPr>
            <w:r>
              <w:rPr>
                <w:rFonts w:ascii="Arial" w:cs="Arial" w:eastAsia="Arial" w:hAnsi="Arial"/>
                <w:sz w:val="18"/>
                <w:szCs w:val="18"/>
                <w:color w:val="auto"/>
              </w:rPr>
              <w:t>Diluted</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5.85</w:t>
            </w:r>
          </w:p>
        </w:tc>
      </w:tr>
      <w:tr>
        <w:trPr>
          <w:trHeight w:val="305"/>
        </w:trPr>
        <w:tc>
          <w:tcPr>
            <w:tcW w:w="54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57"/>
        </w:trPr>
        <w:tc>
          <w:tcPr>
            <w:tcW w:w="5420" w:type="dxa"/>
            <w:vAlign w:val="bottom"/>
          </w:tcPr>
          <w:p>
            <w:pPr>
              <w:ind w:left="40"/>
              <w:spacing w:after="0"/>
              <w:rPr>
                <w:sz w:val="20"/>
                <w:szCs w:val="20"/>
                <w:color w:val="auto"/>
              </w:rPr>
            </w:pPr>
            <w:r>
              <w:rPr>
                <w:rFonts w:ascii="Arial" w:cs="Arial" w:eastAsia="Arial" w:hAnsi="Arial"/>
                <w:sz w:val="18"/>
                <w:szCs w:val="18"/>
                <w:color w:val="auto"/>
              </w:rPr>
              <w:t>Dividends declared per share</w:t>
            </w:r>
          </w:p>
        </w:tc>
        <w:tc>
          <w:tcPr>
            <w:tcW w:w="160" w:type="dxa"/>
            <w:vAlign w:val="bottom"/>
          </w:tcPr>
          <w:p>
            <w:pPr>
              <w:spacing w:after="0"/>
              <w:rPr>
                <w:sz w:val="22"/>
                <w:szCs w:val="22"/>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2.10</w:t>
            </w:r>
          </w:p>
        </w:tc>
      </w:tr>
      <w:tr>
        <w:trPr>
          <w:trHeight w:val="20"/>
        </w:trPr>
        <w:tc>
          <w:tcPr>
            <w:tcW w:w="558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56"/>
        </w:trPr>
        <w:tc>
          <w:tcPr>
            <w:tcW w:w="8560" w:type="dxa"/>
            <w:vAlign w:val="bottom"/>
            <w:gridSpan w:val="8"/>
          </w:tcPr>
          <w:p>
            <w:pPr>
              <w:jc w:val="center"/>
              <w:ind w:left="2790"/>
              <w:spacing w:after="0"/>
              <w:rPr>
                <w:sz w:val="20"/>
                <w:szCs w:val="20"/>
                <w:color w:val="auto"/>
              </w:rPr>
            </w:pPr>
            <w:r>
              <w:rPr>
                <w:rFonts w:ascii="Arial" w:cs="Arial" w:eastAsia="Arial" w:hAnsi="Arial"/>
                <w:sz w:val="18"/>
                <w:szCs w:val="18"/>
                <w:color w:val="auto"/>
                <w:w w:val="99"/>
              </w:rPr>
              <w:t>The accompanying notes are an integral part of these statements.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5420" w:type="dxa"/>
            <w:vAlign w:val="bottom"/>
          </w:tcPr>
          <w:p>
            <w:pPr>
              <w:spacing w:after="0"/>
              <w:rPr>
                <w:sz w:val="24"/>
                <w:szCs w:val="24"/>
                <w:color w:val="auto"/>
              </w:rPr>
            </w:pPr>
          </w:p>
        </w:tc>
        <w:tc>
          <w:tcPr>
            <w:tcW w:w="1660" w:type="dxa"/>
            <w:vAlign w:val="bottom"/>
            <w:gridSpan w:val="4"/>
          </w:tcPr>
          <w:p>
            <w:pPr>
              <w:jc w:val="center"/>
              <w:ind w:right="1080"/>
              <w:spacing w:after="0"/>
              <w:rPr>
                <w:sz w:val="20"/>
                <w:szCs w:val="20"/>
                <w:color w:val="auto"/>
              </w:rPr>
            </w:pPr>
            <w:r>
              <w:rPr>
                <w:rFonts w:ascii="Arial" w:cs="Arial" w:eastAsia="Arial" w:hAnsi="Arial"/>
                <w:sz w:val="18"/>
                <w:szCs w:val="18"/>
                <w:color w:val="auto"/>
              </w:rPr>
              <w:t>Page 3</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3" w:name="page4"/>
    <w:bookmarkEnd w:id="3"/>
    <w:p>
      <w:pPr>
        <w:ind w:right="3740"/>
        <w:spacing w:after="0" w:line="287"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5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720" w:type="dxa"/>
            <w:vAlign w:val="bottom"/>
            <w:gridSpan w:val="5"/>
            <w:shd w:val="clear" w:color="auto" w:fill="CCEEFF"/>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22"/>
                <w:szCs w:val="22"/>
                <w:color w:val="auto"/>
              </w:rPr>
            </w:pPr>
          </w:p>
        </w:tc>
        <w:tc>
          <w:tcPr>
            <w:tcW w:w="2620" w:type="dxa"/>
            <w:vAlign w:val="bottom"/>
            <w:gridSpan w:val="4"/>
            <w:shd w:val="clear" w:color="auto" w:fill="CCEEFF"/>
          </w:tcPr>
          <w:p>
            <w:pPr>
              <w:jc w:val="right"/>
              <w:ind w:right="67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5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9/30/2018</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9/30/2017</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9/30/2018</w:t>
            </w:r>
          </w:p>
        </w:tc>
      </w:tr>
      <w:tr>
        <w:trPr>
          <w:trHeight w:val="25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404.2</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581.6</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1,194.6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1,496.7</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holding gains on available-for-sale investments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5580" w:type="dxa"/>
            <w:vAlign w:val="bottom"/>
          </w:tcPr>
          <w:p>
            <w:pPr>
              <w:ind w:left="180"/>
              <w:spacing w:after="0"/>
              <w:rPr>
                <w:sz w:val="20"/>
                <w:szCs w:val="20"/>
                <w:color w:val="auto"/>
              </w:rPr>
            </w:pPr>
            <w:r>
              <w:rPr>
                <w:rFonts w:ascii="Arial" w:cs="Arial" w:eastAsia="Arial" w:hAnsi="Arial"/>
                <w:sz w:val="18"/>
                <w:szCs w:val="18"/>
                <w:color w:val="auto"/>
              </w:rPr>
              <w:t>Reclassification losses recognized in non-operating income upon</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5580" w:type="dxa"/>
            <w:vAlign w:val="bottom"/>
          </w:tcPr>
          <w:p>
            <w:pPr>
              <w:ind w:left="180"/>
              <w:spacing w:after="0"/>
              <w:rPr>
                <w:sz w:val="20"/>
                <w:szCs w:val="20"/>
                <w:color w:val="auto"/>
              </w:rPr>
            </w:pPr>
            <w:r>
              <w:rPr>
                <w:rFonts w:ascii="Arial" w:cs="Arial" w:eastAsia="Arial" w:hAnsi="Arial"/>
                <w:sz w:val="18"/>
                <w:szCs w:val="18"/>
                <w:color w:val="auto"/>
              </w:rPr>
              <w:t>dispositions, determined using average cost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5"/>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unrealized losses recognized upon the transfer to trading</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9"/>
        </w:trPr>
        <w:tc>
          <w:tcPr>
            <w:tcW w:w="5580" w:type="dxa"/>
            <w:vAlign w:val="bottom"/>
          </w:tcPr>
          <w:p>
            <w:pPr>
              <w:ind w:left="180"/>
              <w:spacing w:after="0"/>
              <w:rPr>
                <w:sz w:val="20"/>
                <w:szCs w:val="20"/>
                <w:color w:val="auto"/>
              </w:rPr>
            </w:pPr>
            <w:r>
              <w:rPr>
                <w:rFonts w:ascii="Arial" w:cs="Arial" w:eastAsia="Arial" w:hAnsi="Arial"/>
                <w:sz w:val="18"/>
                <w:szCs w:val="18"/>
                <w:color w:val="auto"/>
              </w:rPr>
              <w:t>Total net unrealized holding gains (losses) recognized in other</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24"/>
        </w:trPr>
        <w:tc>
          <w:tcPr>
            <w:tcW w:w="558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r>
      <w:tr>
        <w:trPr>
          <w:trHeight w:val="229"/>
        </w:trPr>
        <w:tc>
          <w:tcPr>
            <w:tcW w:w="5580" w:type="dxa"/>
            <w:vAlign w:val="bottom"/>
          </w:tcPr>
          <w:p>
            <w:pPr>
              <w:ind w:left="280"/>
              <w:spacing w:after="0"/>
              <w:rPr>
                <w:sz w:val="20"/>
                <w:szCs w:val="20"/>
                <w:color w:val="auto"/>
              </w:rPr>
            </w:pPr>
            <w:r>
              <w:rPr>
                <w:rFonts w:ascii="Arial" w:cs="Arial" w:eastAsia="Arial" w:hAnsi="Arial"/>
                <w:sz w:val="18"/>
                <w:szCs w:val="18"/>
                <w:color w:val="auto"/>
              </w:rPr>
              <w:t>Consolidated T. Rowe Price investment products - variable</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5580" w:type="dxa"/>
            <w:vAlign w:val="bottom"/>
          </w:tcPr>
          <w:p>
            <w:pPr>
              <w:ind w:left="280"/>
              <w:spacing w:after="0"/>
              <w:rPr>
                <w:sz w:val="20"/>
                <w:szCs w:val="20"/>
                <w:color w:val="auto"/>
              </w:rPr>
            </w:pPr>
            <w:r>
              <w:rPr>
                <w:rFonts w:ascii="Arial" w:cs="Arial" w:eastAsia="Arial" w:hAnsi="Arial"/>
                <w:sz w:val="18"/>
                <w:szCs w:val="18"/>
                <w:color w:val="auto"/>
              </w:rPr>
              <w:t>interest entities</w:t>
            </w:r>
          </w:p>
        </w:tc>
        <w:tc>
          <w:tcPr>
            <w:tcW w:w="26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35"/>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Reclassification losses recognized in non-operating income upon</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deconsolidation of certain T. Rowe Price investment products</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9"/>
        </w:trPr>
        <w:tc>
          <w:tcPr>
            <w:tcW w:w="5580" w:type="dxa"/>
            <w:vAlign w:val="bottom"/>
          </w:tcPr>
          <w:p>
            <w:pPr>
              <w:ind w:left="260"/>
              <w:spacing w:after="0"/>
              <w:rPr>
                <w:sz w:val="20"/>
                <w:szCs w:val="20"/>
                <w:color w:val="auto"/>
              </w:rPr>
            </w:pPr>
            <w:r>
              <w:rPr>
                <w:rFonts w:ascii="Arial" w:cs="Arial" w:eastAsia="Arial" w:hAnsi="Arial"/>
                <w:sz w:val="18"/>
                <w:szCs w:val="18"/>
                <w:color w:val="auto"/>
                <w:w w:val="99"/>
              </w:rPr>
              <w:t>Consolidated T. Rowe Price investment products - variable interest</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24"/>
        </w:trPr>
        <w:tc>
          <w:tcPr>
            <w:tcW w:w="5580" w:type="dxa"/>
            <w:vAlign w:val="bottom"/>
          </w:tcPr>
          <w:p>
            <w:pPr>
              <w:ind w:left="260"/>
              <w:spacing w:after="0"/>
              <w:rPr>
                <w:sz w:val="20"/>
                <w:szCs w:val="20"/>
                <w:color w:val="auto"/>
              </w:rPr>
            </w:pPr>
            <w:r>
              <w:rPr>
                <w:rFonts w:ascii="Arial" w:cs="Arial" w:eastAsia="Arial" w:hAnsi="Arial"/>
                <w:sz w:val="18"/>
                <w:szCs w:val="18"/>
                <w:color w:val="auto"/>
              </w:rPr>
              <w:t>entities, net</w:t>
            </w:r>
          </w:p>
        </w:tc>
        <w:tc>
          <w:tcPr>
            <w:tcW w:w="26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70"/>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Equity method investments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50"/>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currency translation adjustments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r>
      <w:tr>
        <w:trPr>
          <w:trHeight w:val="216"/>
        </w:trPr>
        <w:tc>
          <w:tcPr>
            <w:tcW w:w="5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Other comprehensive income (loss) before income taxes</w:t>
            </w:r>
          </w:p>
        </w:tc>
        <w:tc>
          <w:tcPr>
            <w:tcW w:w="2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benefits (income taxes)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r>
      <w:tr>
        <w:trPr>
          <w:trHeight w:val="250"/>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r>
      <w:tr>
        <w:trPr>
          <w:trHeight w:val="216"/>
        </w:trPr>
        <w:tc>
          <w:tcPr>
            <w:tcW w:w="5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419.5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571.0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1,196.4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1,462.7</w:t>
            </w:r>
          </w:p>
        </w:tc>
      </w:tr>
      <w:tr>
        <w:trPr>
          <w:trHeight w:val="235"/>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comprehensive income (loss) attributable to redeemable non-</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4"/>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Comprehensive income attributable to T. Rowe Price Group</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402.0</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575.7</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1,138.7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1,468.4</w:t>
            </w:r>
          </w:p>
        </w:tc>
      </w:tr>
      <w:tr>
        <w:trPr>
          <w:trHeight w:val="20"/>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57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UNAUDITED CONDENSED CONSOLIDATED STATEMENTS OF CASH FLOWS</w:t>
      </w:r>
      <w:r>
        <w:rPr>
          <w:rFonts w:ascii="Arial" w:cs="Arial" w:eastAsia="Arial" w:hAnsi="Arial"/>
          <w:sz w:val="21"/>
          <w:szCs w:val="21"/>
          <w:b w:val="1"/>
          <w:bCs w:val="1"/>
          <w:color w:val="auto"/>
          <w:vertAlign w:val="superscript"/>
        </w:rPr>
        <w:t>(1)</w:t>
      </w:r>
    </w:p>
    <w:p>
      <w:pPr>
        <w:spacing w:after="0"/>
        <w:rPr>
          <w:sz w:val="20"/>
          <w:szCs w:val="20"/>
          <w:color w:val="auto"/>
        </w:rPr>
      </w:pPr>
      <w:r>
        <w:rPr>
          <w:rFonts w:ascii="Arial" w:cs="Arial" w:eastAsia="Arial" w:hAnsi="Arial"/>
          <w:sz w:val="18"/>
          <w:szCs w:val="18"/>
          <w:b w:val="1"/>
          <w:bCs w:val="1"/>
          <w:color w:val="auto"/>
        </w:rPr>
        <w:t>(in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gridSpan w:val="4"/>
            <w:shd w:val="clear" w:color="auto" w:fill="CCEEFF"/>
          </w:tcPr>
          <w:p>
            <w:pPr>
              <w:jc w:val="right"/>
              <w:ind w:right="6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0"/>
        </w:trPr>
        <w:tc>
          <w:tcPr>
            <w:tcW w:w="85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9/30/2018</w:t>
            </w: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1,194.6</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1,496.7</w:t>
            </w: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52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63"/>
        </w:trPr>
        <w:tc>
          <w:tcPr>
            <w:tcW w:w="8520" w:type="dxa"/>
            <w:vAlign w:val="bottom"/>
          </w:tcPr>
          <w:p>
            <w:pPr>
              <w:ind w:left="340"/>
              <w:spacing w:after="0"/>
              <w:rPr>
                <w:sz w:val="20"/>
                <w:szCs w:val="20"/>
                <w:color w:val="auto"/>
              </w:rPr>
            </w:pPr>
            <w:r>
              <w:rPr>
                <w:rFonts w:ascii="Arial" w:cs="Arial" w:eastAsia="Arial" w:hAnsi="Arial"/>
                <w:sz w:val="18"/>
                <w:szCs w:val="18"/>
                <w:color w:val="auto"/>
              </w:rPr>
              <w:t>Realized gains on dispositions of available-for-sale T. Rowe Price investment products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Gains recognized upon transfer of an investment in a T. Rowe Price mutual fund from available-for-</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 to held as trading</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520" w:type="dxa"/>
            <w:vAlign w:val="bottom"/>
          </w:tcPr>
          <w:p>
            <w:pPr>
              <w:ind w:left="340"/>
              <w:spacing w:after="0"/>
              <w:rPr>
                <w:sz w:val="20"/>
                <w:szCs w:val="20"/>
                <w:color w:val="auto"/>
              </w:rPr>
            </w:pPr>
            <w:r>
              <w:rPr>
                <w:rFonts w:ascii="Arial" w:cs="Arial" w:eastAsia="Arial" w:hAnsi="Arial"/>
                <w:sz w:val="18"/>
                <w:szCs w:val="18"/>
                <w:color w:val="auto"/>
              </w:rPr>
              <w:t>Net gains recognized on investments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35"/>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investments in T. Rowe Price investment products to economically hedge supplemental savings</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plan liability</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63"/>
        </w:trPr>
        <w:tc>
          <w:tcPr>
            <w:tcW w:w="8520" w:type="dxa"/>
            <w:vAlign w:val="bottom"/>
          </w:tcPr>
          <w:p>
            <w:pPr>
              <w:ind w:left="340"/>
              <w:spacing w:after="0"/>
              <w:rPr>
                <w:sz w:val="20"/>
                <w:szCs w:val="20"/>
                <w:color w:val="auto"/>
              </w:rPr>
            </w:pPr>
            <w:r>
              <w:rPr>
                <w:rFonts w:ascii="Arial" w:cs="Arial" w:eastAsia="Arial" w:hAnsi="Arial"/>
                <w:sz w:val="18"/>
                <w:szCs w:val="18"/>
                <w:color w:val="auto"/>
              </w:rPr>
              <w:t>Net change in securities held by consolidated T. Rowe Price investment products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(1,210.5)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(578.3)</w:t>
            </w: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422.2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352.8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324"/>
        </w:trPr>
        <w:tc>
          <w:tcPr>
            <w:tcW w:w="8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5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T. Rowe Price investment products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(1,118.7)</w:t>
            </w:r>
          </w:p>
        </w:tc>
        <w:tc>
          <w:tcPr>
            <w:tcW w:w="0" w:type="dxa"/>
            <w:vAlign w:val="bottom"/>
          </w:tcPr>
          <w:p>
            <w:pPr>
              <w:spacing w:after="0"/>
              <w:rPr>
                <w:sz w:val="1"/>
                <w:szCs w:val="1"/>
                <w:color w:val="auto"/>
              </w:rPr>
            </w:pP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Dispositions T. Rowe Price investment products</w:t>
            </w: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295.8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of T. Rowe Price investment products on consolidation (deconsolidation)</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(830.4)</w:t>
            </w:r>
          </w:p>
        </w:tc>
        <w:tc>
          <w:tcPr>
            <w:tcW w:w="0" w:type="dxa"/>
            <w:vAlign w:val="bottom"/>
          </w:tcPr>
          <w:p>
            <w:pPr>
              <w:spacing w:after="0"/>
              <w:rPr>
                <w:sz w:val="1"/>
                <w:szCs w:val="1"/>
                <w:color w:val="auto"/>
              </w:rPr>
            </w:pPr>
          </w:p>
        </w:tc>
      </w:tr>
      <w:tr>
        <w:trPr>
          <w:trHeight w:val="324"/>
        </w:trPr>
        <w:tc>
          <w:tcPr>
            <w:tcW w:w="8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5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0" w:type="dxa"/>
            <w:vAlign w:val="bottom"/>
          </w:tcPr>
          <w:p>
            <w:pPr>
              <w:spacing w:after="0"/>
              <w:rPr>
                <w:sz w:val="1"/>
                <w:szCs w:val="1"/>
                <w:color w:val="auto"/>
              </w:rPr>
            </w:pP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 to common stockholders of T. Rowe Price Group</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0" w:type="dxa"/>
            <w:vAlign w:val="bottom"/>
          </w:tcPr>
          <w:p>
            <w:pPr>
              <w:spacing w:after="0"/>
              <w:rPr>
                <w:sz w:val="1"/>
                <w:szCs w:val="1"/>
                <w:color w:val="auto"/>
              </w:rPr>
            </w:pPr>
          </w:p>
        </w:tc>
      </w:tr>
      <w:tr>
        <w:trPr>
          <w:trHeight w:val="264"/>
        </w:trPr>
        <w:tc>
          <w:tcPr>
            <w:tcW w:w="8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subscriptions into consolidated T. Rowe Price investment products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1,005.3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50"/>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270.6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324"/>
        </w:trPr>
        <w:tc>
          <w:tcPr>
            <w:tcW w:w="8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of consolidated</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8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705.7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29"/>
        </w:trPr>
        <w:tc>
          <w:tcPr>
            <w:tcW w:w="852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 including $65.6 million at December 31, 2016, and $103.1</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million at December 31, 2017, held by consolidated T. Rowe Price investment products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1,270.5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2,005.8</w:t>
            </w:r>
          </w:p>
        </w:tc>
        <w:tc>
          <w:tcPr>
            <w:tcW w:w="0" w:type="dxa"/>
            <w:vAlign w:val="bottom"/>
          </w:tcPr>
          <w:p>
            <w:pPr>
              <w:spacing w:after="0"/>
              <w:rPr>
                <w:sz w:val="1"/>
                <w:szCs w:val="1"/>
                <w:color w:val="auto"/>
              </w:rPr>
            </w:pPr>
          </w:p>
        </w:tc>
      </w:tr>
      <w:tr>
        <w:trPr>
          <w:trHeight w:val="215"/>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 including $106.8 million at September 30, 2017, and $105.7</w:t>
            </w:r>
          </w:p>
        </w:tc>
        <w:tc>
          <w:tcPr>
            <w:tcW w:w="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1,976.2</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2,196.3</w:t>
            </w:r>
          </w:p>
        </w:tc>
        <w:tc>
          <w:tcPr>
            <w:tcW w:w="0" w:type="dxa"/>
            <w:vAlign w:val="bottom"/>
          </w:tcPr>
          <w:p>
            <w:pPr>
              <w:spacing w:after="0"/>
              <w:rPr>
                <w:sz w:val="1"/>
                <w:szCs w:val="1"/>
                <w:color w:val="auto"/>
              </w:rPr>
            </w:pPr>
          </w:p>
        </w:tc>
      </w:tr>
      <w:tr>
        <w:trPr>
          <w:trHeight w:val="217"/>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million at September 30, 2018, held by consolidated T. Rowe Price investment products</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8890</wp:posOffset>
            </wp:positionV>
            <wp:extent cx="1818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5" w:lineRule="exact"/>
        <w:rPr>
          <w:sz w:val="20"/>
          <w:szCs w:val="20"/>
          <w:color w:val="auto"/>
        </w:rPr>
      </w:pPr>
    </w:p>
    <w:p>
      <w:pPr>
        <w:ind w:left="140" w:hanging="132"/>
        <w:spacing w:after="0"/>
        <w:tabs>
          <w:tab w:leader="none" w:pos="140" w:val="left"/>
        </w:tabs>
        <w:numPr>
          <w:ilvl w:val="0"/>
          <w:numId w:val="1"/>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note 12 for supplementary consolidating cash flow statements.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572" w:right="259" w:bottom="1440" w:gutter="0" w:footer="0" w:header="0"/>
        </w:sectPr>
      </w:pPr>
    </w:p>
    <w:bookmarkStart w:id="5" w:name="page6"/>
    <w:bookmarkEnd w:id="5"/>
    <w:p>
      <w:pPr>
        <w:ind w:right="3920"/>
        <w:spacing w:after="0" w:line="287" w:lineRule="auto"/>
        <w:rPr>
          <w:sz w:val="20"/>
          <w:szCs w:val="20"/>
          <w:color w:val="auto"/>
        </w:rPr>
      </w:pPr>
      <w:r>
        <w:rPr>
          <w:rFonts w:ascii="Arial" w:cs="Arial" w:eastAsia="Arial" w:hAnsi="Arial"/>
          <w:sz w:val="18"/>
          <w:szCs w:val="18"/>
          <w:b w:val="1"/>
          <w:bCs w:val="1"/>
          <w:color w:val="auto"/>
        </w:rPr>
        <w:t>UNAUDITED CONDENSED CONSOLIDATED STATEMENT OF STOCKHOLDERS’ EQUITY (shares in thousands; dollars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Redeemable</w:t>
            </w:r>
          </w:p>
        </w:tc>
      </w:tr>
      <w:tr>
        <w:trPr>
          <w:trHeight w:val="162"/>
        </w:trPr>
        <w:tc>
          <w:tcPr>
            <w:tcW w:w="39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Common</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capital in</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w w:val="97"/>
              </w:rPr>
              <w:t>other</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rPr>
              <w:t>Total</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center"/>
              <w:ind w:right="53"/>
              <w:spacing w:after="0"/>
              <w:rPr>
                <w:sz w:val="20"/>
                <w:szCs w:val="20"/>
                <w:color w:val="auto"/>
              </w:rPr>
            </w:pPr>
            <w:r>
              <w:rPr>
                <w:rFonts w:ascii="Arial" w:cs="Arial" w:eastAsia="Arial" w:hAnsi="Arial"/>
                <w:sz w:val="14"/>
                <w:szCs w:val="14"/>
                <w:b w:val="1"/>
                <w:bCs w:val="1"/>
                <w:color w:val="auto"/>
              </w:rPr>
              <w:t>non-</w:t>
            </w:r>
          </w:p>
        </w:tc>
      </w:tr>
      <w:tr>
        <w:trPr>
          <w:trHeight w:val="162"/>
        </w:trPr>
        <w:tc>
          <w:tcPr>
            <w:tcW w:w="39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Common</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excess of</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Retained</w:t>
            </w:r>
          </w:p>
        </w:tc>
        <w:tc>
          <w:tcPr>
            <w:tcW w:w="12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comprehensive</w:t>
            </w:r>
          </w:p>
        </w:tc>
        <w:tc>
          <w:tcPr>
            <w:tcW w:w="1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stockholders’</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center"/>
              <w:ind w:right="53"/>
              <w:spacing w:after="0"/>
              <w:rPr>
                <w:sz w:val="20"/>
                <w:szCs w:val="20"/>
                <w:color w:val="auto"/>
              </w:rPr>
            </w:pPr>
            <w:r>
              <w:rPr>
                <w:rFonts w:ascii="Arial" w:cs="Arial" w:eastAsia="Arial" w:hAnsi="Arial"/>
                <w:sz w:val="14"/>
                <w:szCs w:val="14"/>
                <w:b w:val="1"/>
                <w:bCs w:val="1"/>
                <w:color w:val="auto"/>
              </w:rPr>
              <w:t>controlling</w:t>
            </w:r>
          </w:p>
        </w:tc>
      </w:tr>
      <w:tr>
        <w:trPr>
          <w:trHeight w:val="196"/>
        </w:trPr>
        <w:tc>
          <w:tcPr>
            <w:tcW w:w="39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outstanding</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stock</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par value</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earnings</w:t>
            </w:r>
          </w:p>
        </w:tc>
        <w:tc>
          <w:tcPr>
            <w:tcW w:w="12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income (loss)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equity</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right="53"/>
              <w:spacing w:after="0"/>
              <w:rPr>
                <w:sz w:val="20"/>
                <w:szCs w:val="20"/>
                <w:color w:val="auto"/>
              </w:rPr>
            </w:pPr>
            <w:r>
              <w:rPr>
                <w:rFonts w:ascii="Arial" w:cs="Arial" w:eastAsia="Arial" w:hAnsi="Arial"/>
                <w:sz w:val="14"/>
                <w:szCs w:val="14"/>
                <w:b w:val="1"/>
                <w:bCs w:val="1"/>
                <w:color w:val="auto"/>
              </w:rPr>
              <w:t>interests</w:t>
            </w:r>
          </w:p>
        </w:tc>
      </w:tr>
      <w:tr>
        <w:trPr>
          <w:trHeight w:val="249"/>
        </w:trPr>
        <w:tc>
          <w:tcPr>
            <w:tcW w:w="3940" w:type="dxa"/>
            <w:vAlign w:val="bottom"/>
          </w:tcPr>
          <w:p>
            <w:pPr>
              <w:ind w:left="40"/>
              <w:spacing w:after="0"/>
              <w:rPr>
                <w:sz w:val="20"/>
                <w:szCs w:val="20"/>
                <w:color w:val="auto"/>
              </w:rPr>
            </w:pPr>
            <w:r>
              <w:rPr>
                <w:rFonts w:ascii="Arial" w:cs="Arial" w:eastAsia="Arial" w:hAnsi="Arial"/>
                <w:sz w:val="18"/>
                <w:szCs w:val="18"/>
                <w:color w:val="auto"/>
              </w:rPr>
              <w:t>Balances at December 31, 2017</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245,111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846.1</w:t>
            </w:r>
          </w:p>
        </w:tc>
        <w:tc>
          <w:tcPr>
            <w:tcW w:w="120" w:type="dxa"/>
            <w:vAlign w:val="bottom"/>
          </w:tcPr>
          <w:p>
            <w:pPr>
              <w:spacing w:after="0"/>
              <w:rPr>
                <w:sz w:val="21"/>
                <w:szCs w:val="21"/>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$4,932.9</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6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5,824.4</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992.8</w:t>
            </w:r>
          </w:p>
        </w:tc>
      </w:tr>
      <w:tr>
        <w:trPr>
          <w:trHeight w:val="235"/>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Cumulative effect adjustment upon adoption of</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03"/>
        </w:trPr>
        <w:tc>
          <w:tcPr>
            <w:tcW w:w="3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new financial instruments and accumulated</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0"/>
        </w:trPr>
        <w:tc>
          <w:tcPr>
            <w:tcW w:w="394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other comprehensive income guidance on</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3"/>
        </w:trPr>
        <w:tc>
          <w:tcPr>
            <w:tcW w:w="3940" w:type="dxa"/>
            <w:vAlign w:val="bottom"/>
            <w:shd w:val="clear" w:color="auto" w:fill="CCEEFF"/>
          </w:tcPr>
          <w:p>
            <w:pPr>
              <w:ind w:left="40"/>
              <w:spacing w:after="0" w:line="233" w:lineRule="exact"/>
              <w:rPr>
                <w:sz w:val="20"/>
                <w:szCs w:val="20"/>
                <w:color w:val="auto"/>
              </w:rPr>
            </w:pPr>
            <w:r>
              <w:rPr>
                <w:rFonts w:ascii="Arial" w:cs="Arial" w:eastAsia="Arial" w:hAnsi="Arial"/>
                <w:sz w:val="18"/>
                <w:szCs w:val="18"/>
                <w:color w:val="auto"/>
              </w:rPr>
              <w:t>January 1, 2018</w:t>
            </w:r>
            <w:r>
              <w:rPr>
                <w:rFonts w:ascii="Arial" w:cs="Arial" w:eastAsia="Arial" w:hAnsi="Arial"/>
                <w:sz w:val="21"/>
                <w:szCs w:val="21"/>
                <w:color w:val="auto"/>
                <w:vertAlign w:val="superscript"/>
              </w:rPr>
              <w:t>(1)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tcPr>
          <w:p>
            <w:pPr>
              <w:ind w:left="40"/>
              <w:spacing w:after="0"/>
              <w:rPr>
                <w:sz w:val="20"/>
                <w:szCs w:val="20"/>
                <w:color w:val="auto"/>
              </w:rPr>
            </w:pPr>
            <w:r>
              <w:rPr>
                <w:rFonts w:ascii="Arial" w:cs="Arial" w:eastAsia="Arial" w:hAnsi="Arial"/>
                <w:sz w:val="18"/>
                <w:szCs w:val="18"/>
                <w:color w:val="auto"/>
              </w:rPr>
              <w:t>Reclassification adjustment of stranded tax</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3"/>
        </w:trPr>
        <w:tc>
          <w:tcPr>
            <w:tcW w:w="3940" w:type="dxa"/>
            <w:vAlign w:val="bottom"/>
          </w:tcPr>
          <w:p>
            <w:pPr>
              <w:ind w:left="40"/>
              <w:spacing w:after="0" w:line="202" w:lineRule="exact"/>
              <w:rPr>
                <w:sz w:val="20"/>
                <w:szCs w:val="20"/>
                <w:color w:val="auto"/>
              </w:rPr>
            </w:pPr>
            <w:r>
              <w:rPr>
                <w:rFonts w:ascii="Arial" w:cs="Arial" w:eastAsia="Arial" w:hAnsi="Arial"/>
                <w:sz w:val="18"/>
                <w:szCs w:val="18"/>
                <w:color w:val="auto"/>
              </w:rPr>
              <w:t>benefits on currency translation adjustments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940" w:type="dxa"/>
            <w:vAlign w:val="bottom"/>
          </w:tcPr>
          <w:p>
            <w:pPr>
              <w:ind w:left="40"/>
              <w:spacing w:after="0" w:line="202" w:lineRule="exact"/>
              <w:rPr>
                <w:sz w:val="20"/>
                <w:szCs w:val="20"/>
                <w:color w:val="auto"/>
              </w:rPr>
            </w:pPr>
            <w:r>
              <w:rPr>
                <w:rFonts w:ascii="Arial" w:cs="Arial" w:eastAsia="Arial" w:hAnsi="Arial"/>
                <w:sz w:val="18"/>
                <w:szCs w:val="18"/>
                <w:color w:val="auto"/>
              </w:rPr>
              <w:t>upon adoption of new accumulated other</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940" w:type="dxa"/>
            <w:vAlign w:val="bottom"/>
          </w:tcPr>
          <w:p>
            <w:pPr>
              <w:ind w:left="40"/>
              <w:spacing w:after="0" w:line="202" w:lineRule="exact"/>
              <w:rPr>
                <w:sz w:val="20"/>
                <w:szCs w:val="20"/>
                <w:color w:val="auto"/>
              </w:rPr>
            </w:pPr>
            <w:r>
              <w:rPr>
                <w:rFonts w:ascii="Arial" w:cs="Arial" w:eastAsia="Arial" w:hAnsi="Arial"/>
                <w:sz w:val="18"/>
                <w:szCs w:val="18"/>
                <w:color w:val="auto"/>
              </w:rPr>
              <w:t>comprehensive income guidance on January 1,</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4"/>
        </w:trPr>
        <w:tc>
          <w:tcPr>
            <w:tcW w:w="3940" w:type="dxa"/>
            <w:vAlign w:val="bottom"/>
          </w:tcPr>
          <w:p>
            <w:pPr>
              <w:ind w:left="40"/>
              <w:spacing w:after="0"/>
              <w:rPr>
                <w:sz w:val="20"/>
                <w:szCs w:val="20"/>
                <w:color w:val="auto"/>
              </w:rPr>
            </w:pPr>
            <w:r>
              <w:rPr>
                <w:rFonts w:ascii="Arial" w:cs="Arial" w:eastAsia="Arial" w:hAnsi="Arial"/>
                <w:sz w:val="18"/>
                <w:szCs w:val="18"/>
                <w:color w:val="auto"/>
              </w:rPr>
              <w:t>2018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3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January 1, 2018</w:t>
            </w:r>
          </w:p>
        </w:tc>
        <w:tc>
          <w:tcPr>
            <w:tcW w:w="9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245,111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846.1</w:t>
            </w:r>
          </w:p>
        </w:tc>
        <w:tc>
          <w:tcPr>
            <w:tcW w:w="12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4,957.6</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5,838.9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992.8</w:t>
            </w:r>
          </w:p>
        </w:tc>
      </w:tr>
      <w:tr>
        <w:trPr>
          <w:trHeight w:val="263"/>
        </w:trPr>
        <w:tc>
          <w:tcPr>
            <w:tcW w:w="39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1,485.6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1,485.6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11.1</w:t>
            </w:r>
          </w:p>
        </w:tc>
      </w:tr>
      <w:tr>
        <w:trPr>
          <w:trHeight w:val="277"/>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63"/>
        </w:trPr>
        <w:tc>
          <w:tcPr>
            <w:tcW w:w="394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(522.5)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35"/>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stock-based compensation plans</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activity</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63"/>
        </w:trPr>
        <w:tc>
          <w:tcPr>
            <w:tcW w:w="3940" w:type="dxa"/>
            <w:vAlign w:val="bottom"/>
          </w:tcPr>
          <w:p>
            <w:pPr>
              <w:ind w:left="180"/>
              <w:spacing w:after="0"/>
              <w:rPr>
                <w:sz w:val="20"/>
                <w:szCs w:val="20"/>
                <w:color w:val="auto"/>
              </w:rPr>
            </w:pPr>
            <w:r>
              <w:rPr>
                <w:rFonts w:ascii="Arial" w:cs="Arial" w:eastAsia="Arial" w:hAnsi="Arial"/>
                <w:sz w:val="18"/>
                <w:szCs w:val="18"/>
                <w:color w:val="auto"/>
              </w:rPr>
              <w:t>Shares issued upon option exercises</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2,770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35"/>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shares issued, net of shares</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withheld for taxes</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tcPr>
          <w:p>
            <w:pPr>
              <w:ind w:left="180"/>
              <w:spacing w:after="0"/>
              <w:rPr>
                <w:sz w:val="20"/>
                <w:szCs w:val="20"/>
                <w:color w:val="auto"/>
              </w:rPr>
            </w:pPr>
            <w:r>
              <w:rPr>
                <w:rFonts w:ascii="Arial" w:cs="Arial" w:eastAsia="Arial" w:hAnsi="Arial"/>
                <w:sz w:val="18"/>
                <w:szCs w:val="18"/>
                <w:color w:val="auto"/>
              </w:rPr>
              <w:t>Shares issued upon vesting of restricted stock</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3940" w:type="dxa"/>
            <w:vAlign w:val="bottom"/>
          </w:tcPr>
          <w:p>
            <w:pPr>
              <w:ind w:left="180"/>
              <w:spacing w:after="0"/>
              <w:rPr>
                <w:sz w:val="20"/>
                <w:szCs w:val="20"/>
                <w:color w:val="auto"/>
              </w:rPr>
            </w:pPr>
            <w:r>
              <w:rPr>
                <w:rFonts w:ascii="Arial" w:cs="Arial" w:eastAsia="Arial" w:hAnsi="Arial"/>
                <w:sz w:val="18"/>
                <w:szCs w:val="18"/>
                <w:color w:val="auto"/>
              </w:rPr>
              <w:t>units, net of shares withheld for taxes</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Forfeiture of restricted awards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3"/>
        </w:trPr>
        <w:tc>
          <w:tcPr>
            <w:tcW w:w="394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35"/>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units issued as dividend</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3"/>
        </w:trPr>
        <w:tc>
          <w:tcPr>
            <w:tcW w:w="3940" w:type="dxa"/>
            <w:vAlign w:val="bottom"/>
          </w:tcPr>
          <w:p>
            <w:pPr>
              <w:ind w:left="40"/>
              <w:spacing w:after="0"/>
              <w:rPr>
                <w:sz w:val="20"/>
                <w:szCs w:val="20"/>
                <w:color w:val="auto"/>
              </w:rPr>
            </w:pPr>
            <w:r>
              <w:rPr>
                <w:rFonts w:ascii="Arial" w:cs="Arial" w:eastAsia="Arial" w:hAnsi="Arial"/>
                <w:sz w:val="18"/>
                <w:szCs w:val="18"/>
                <w:color w:val="auto"/>
              </w:rPr>
              <w:t>Common shares repurchased</w:t>
            </w:r>
          </w:p>
        </w:tc>
        <w:tc>
          <w:tcPr>
            <w:tcW w:w="900" w:type="dxa"/>
            <w:vAlign w:val="bottom"/>
          </w:tcPr>
          <w:p>
            <w:pPr>
              <w:jc w:val="right"/>
              <w:spacing w:after="0"/>
              <w:rPr>
                <w:sz w:val="20"/>
                <w:szCs w:val="20"/>
                <w:color w:val="auto"/>
              </w:rPr>
            </w:pPr>
            <w:r>
              <w:rPr>
                <w:rFonts w:ascii="Arial" w:cs="Arial" w:eastAsia="Arial" w:hAnsi="Arial"/>
                <w:sz w:val="18"/>
                <w:szCs w:val="18"/>
                <w:color w:val="auto"/>
              </w:rPr>
              <w:t>(5,353)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(441.6)</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35"/>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subscriptions into consolidated T. Rowe</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Price investment products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468.5</w:t>
            </w:r>
          </w:p>
        </w:tc>
      </w:tr>
      <w:tr>
        <w:trPr>
          <w:trHeight w:val="229"/>
        </w:trPr>
        <w:tc>
          <w:tcPr>
            <w:tcW w:w="3940" w:type="dxa"/>
            <w:vAlign w:val="bottom"/>
          </w:tcPr>
          <w:p>
            <w:pPr>
              <w:ind w:left="40"/>
              <w:spacing w:after="0"/>
              <w:rPr>
                <w:sz w:val="20"/>
                <w:szCs w:val="20"/>
                <w:color w:val="auto"/>
              </w:rPr>
            </w:pPr>
            <w:r>
              <w:rPr>
                <w:rFonts w:ascii="Arial" w:cs="Arial" w:eastAsia="Arial" w:hAnsi="Arial"/>
                <w:sz w:val="18"/>
                <w:szCs w:val="18"/>
                <w:color w:val="auto"/>
              </w:rPr>
              <w:t>Net deconsolidations of T. Rowe Price</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3940" w:type="dxa"/>
            <w:vAlign w:val="bottom"/>
          </w:tcPr>
          <w:p>
            <w:pPr>
              <w:ind w:left="40"/>
              <w:spacing w:after="0"/>
              <w:rPr>
                <w:sz w:val="20"/>
                <w:szCs w:val="20"/>
                <w:color w:val="auto"/>
              </w:rPr>
            </w:pPr>
            <w:r>
              <w:rPr>
                <w:rFonts w:ascii="Arial" w:cs="Arial" w:eastAsia="Arial" w:hAnsi="Arial"/>
                <w:sz w:val="18"/>
                <w:szCs w:val="18"/>
                <w:color w:val="auto"/>
              </w:rPr>
              <w:t>investment products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(595.0)</w:t>
            </w:r>
          </w:p>
        </w:tc>
      </w:tr>
      <w:tr>
        <w:trPr>
          <w:trHeight w:val="257"/>
        </w:trPr>
        <w:tc>
          <w:tcPr>
            <w:tcW w:w="3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September 30, 2018</w:t>
            </w:r>
          </w:p>
        </w:tc>
        <w:tc>
          <w:tcPr>
            <w:tcW w:w="9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242,599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654.5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$5,788.5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6,460.5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8890</wp:posOffset>
            </wp:positionV>
            <wp:extent cx="4751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5" w:lineRule="exact"/>
        <w:rPr>
          <w:sz w:val="20"/>
          <w:szCs w:val="20"/>
          <w:color w:val="auto"/>
        </w:rPr>
      </w:pPr>
    </w:p>
    <w:p>
      <w:pPr>
        <w:ind w:right="40" w:firstLine="8"/>
        <w:spacing w:after="0" w:line="295" w:lineRule="auto"/>
        <w:tabs>
          <w:tab w:leader="none" w:pos="172" w:val="left"/>
        </w:tabs>
        <w:numPr>
          <w:ilvl w:val="0"/>
          <w:numId w:val="2"/>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Includes the reclassification of $1.7 million of stranded income taxes on available-for-sale investments resulting from U.S. tax law changes enacted on December 22, 2017, from accumulated other comprehensive income to retained earnings.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57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NOTE 1 – THE COMPANY AND BASIS OF PREPARATION.</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 Rowe Price Group (Price Group) derives its consolidated revenues and net income primarily from investment advisory services that its subsidiaries provide to individual and institutional investors in the T. Rowe Price U.S. mutual funds (U.S. mutual funds) and other investment products, including separately managed accounts, subadvised funds, and other T. Rowe Price investment products.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20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w:t>
      </w:r>
    </w:p>
    <w:p>
      <w:pPr>
        <w:spacing w:after="0" w:line="2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order to increase transparency of operating expenses and better align expenses that have similar cost drivers, we have changed, as of January 1, 2018, the presentation of certain line items of our income statement. In doing so, we have reclassified certain prior year amounts to conform to the 2018 presentation. These reclassifications are shown along with the impact of the new revenue recognition accounting standard adopted on January 1, 2018, in the </w:t>
      </w:r>
      <w:r>
        <w:rPr>
          <w:rFonts w:ascii="Arial" w:cs="Arial" w:eastAsia="Arial" w:hAnsi="Arial"/>
          <w:sz w:val="18"/>
          <w:szCs w:val="18"/>
          <w:i w:val="1"/>
          <w:iCs w:val="1"/>
          <w:color w:val="auto"/>
        </w:rPr>
        <w:t>New Accounting Guidance</w:t>
      </w:r>
      <w:r>
        <w:rPr>
          <w:rFonts w:ascii="Arial" w:cs="Arial" w:eastAsia="Arial" w:hAnsi="Arial"/>
          <w:sz w:val="18"/>
          <w:szCs w:val="18"/>
          <w:color w:val="auto"/>
        </w:rPr>
        <w:t xml:space="preserve"> section below.</w:t>
      </w:r>
    </w:p>
    <w:p>
      <w:pPr>
        <w:spacing w:after="0" w:line="204"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The unaudited interim financial information contained in these unaudited condensed consolidated financial statements should be read in conjunction with the consolidated financial statements contained in our 2017 Annual Report.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GUIDANCE.</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adopted Accounting Standards Codification Topic 606: Revenue from Contracts with Customers (ASC 606), on January 1, 2018, using the retrospective method, which required adjustments to be reflected as of January 1, 2016. In connection with the adoption of this guidance, we reevaluated all of our revenue contracts and determined that the new guidance does not change the timing of when we recognize revenue. However, we did conclude that certain fees earned from the U.S. mutual funds associated with our mutual fund transfer agent, accounting, shareholder servicing, and participant recordkeeping activities could no longer be reported net of the expenses paid to third parties that perform such services, as we are deemed, under the guidance, to have control over the services before they are transferred to the U.S. mutual funds. No transition-related practical expedients were applied. Certain immaterial balance sheet reclassifications were made to conform to the 2018 presentation and all related note disclosures have been recast. Updates to our revenue recognition disclosures are included in </w:t>
      </w:r>
      <w:r>
        <w:rPr>
          <w:rFonts w:ascii="Arial" w:cs="Arial" w:eastAsia="Arial" w:hAnsi="Arial"/>
          <w:sz w:val="18"/>
          <w:szCs w:val="18"/>
          <w:i w:val="1"/>
          <w:iCs w:val="1"/>
          <w:color w:val="auto"/>
        </w:rPr>
        <w:t>Note 2 -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about Receivables, Revenues, and Services </w:t>
      </w:r>
      <w:r>
        <w:rPr>
          <w:rFonts w:ascii="Arial" w:cs="Arial" w:eastAsia="Arial" w:hAnsi="Arial"/>
          <w:sz w:val="18"/>
          <w:szCs w:val="18"/>
          <w:color w:val="auto"/>
        </w:rPr>
        <w:t>and our updated revenue recognition accounting policy is included in the</w:t>
      </w:r>
      <w:r>
        <w:rPr>
          <w:rFonts w:ascii="Arial" w:cs="Arial" w:eastAsia="Arial" w:hAnsi="Arial"/>
          <w:sz w:val="18"/>
          <w:szCs w:val="18"/>
          <w:i w:val="1"/>
          <w:iCs w:val="1"/>
          <w:color w:val="auto"/>
        </w:rPr>
        <w:t xml:space="preserve"> Summary of Significant Accounting Policies </w:t>
      </w:r>
      <w:r>
        <w:rPr>
          <w:rFonts w:ascii="Arial" w:cs="Arial" w:eastAsia="Arial" w:hAnsi="Arial"/>
          <w:sz w:val="18"/>
          <w:szCs w:val="18"/>
          <w:color w:val="auto"/>
        </w:rPr>
        <w:t>section below.</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40" w:top="576" w:right="259" w:bottom="1440" w:gutter="0" w:footer="0" w:header="0"/>
        </w:sectPr>
      </w:pPr>
    </w:p>
    <w:bookmarkStart w:id="7" w:name="page8"/>
    <w:bookmarkEnd w:id="7"/>
    <w:p>
      <w:pPr>
        <w:ind w:right="20"/>
        <w:spacing w:after="0" w:line="312" w:lineRule="auto"/>
        <w:rPr>
          <w:sz w:val="20"/>
          <w:szCs w:val="20"/>
          <w:color w:val="auto"/>
        </w:rPr>
      </w:pPr>
      <w:r>
        <w:rPr>
          <w:rFonts w:ascii="Arial" w:cs="Arial" w:eastAsia="Arial" w:hAnsi="Arial"/>
          <w:sz w:val="15"/>
          <w:szCs w:val="15"/>
          <w:color w:val="auto"/>
        </w:rPr>
        <w:t xml:space="preserve">The impact of ASC 606 and other income statement reclassifications, as previously described, on the </w:t>
      </w:r>
      <w:r>
        <w:rPr>
          <w:rFonts w:ascii="Arial" w:cs="Arial" w:eastAsia="Arial" w:hAnsi="Arial"/>
          <w:sz w:val="16"/>
          <w:szCs w:val="16"/>
          <w:color w:val="auto"/>
        </w:rPr>
        <w:t>unaudited</w:t>
      </w:r>
      <w:r>
        <w:rPr>
          <w:rFonts w:ascii="Arial" w:cs="Arial" w:eastAsia="Arial" w:hAnsi="Arial"/>
          <w:sz w:val="15"/>
          <w:szCs w:val="15"/>
          <w:color w:val="auto"/>
        </w:rPr>
        <w:t xml:space="preserve"> condensed consolidated statements of income for each quarter of 2017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720" w:type="dxa"/>
            <w:vAlign w:val="bottom"/>
            <w:tcBorders>
              <w:bottom w:val="single" w:sz="8" w:color="auto"/>
            </w:tcBorders>
            <w:gridSpan w:val="9"/>
            <w:shd w:val="clear" w:color="auto" w:fill="CCEEFF"/>
          </w:tcPr>
          <w:p>
            <w:pPr>
              <w:jc w:val="right"/>
              <w:spacing w:after="0"/>
              <w:rPr>
                <w:sz w:val="20"/>
                <w:szCs w:val="20"/>
                <w:color w:val="auto"/>
              </w:rPr>
            </w:pPr>
            <w:r>
              <w:rPr>
                <w:rFonts w:ascii="Arial" w:cs="Arial" w:eastAsia="Arial" w:hAnsi="Arial"/>
                <w:sz w:val="14"/>
                <w:szCs w:val="14"/>
                <w:b w:val="1"/>
                <w:bCs w:val="1"/>
                <w:color w:val="auto"/>
              </w:rPr>
              <w:t>Three months ended 3/31/2017</w:t>
            </w:r>
          </w:p>
        </w:tc>
        <w:tc>
          <w:tcPr>
            <w:tcW w:w="660" w:type="dxa"/>
            <w:vAlign w:val="bottom"/>
            <w:tcBorders>
              <w:bottom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2200" w:type="dxa"/>
            <w:vAlign w:val="bottom"/>
            <w:tcBorders>
              <w:bottom w:val="single" w:sz="8" w:color="auto"/>
            </w:tcBorders>
            <w:gridSpan w:val="9"/>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Three months ended 6/30/2017</w:t>
            </w:r>
          </w:p>
        </w:tc>
        <w:tc>
          <w:tcPr>
            <w:tcW w:w="660" w:type="dxa"/>
            <w:vAlign w:val="bottom"/>
            <w:tcBorders>
              <w:bottom w:val="single" w:sz="8" w:color="auto"/>
            </w:tcBorders>
            <w:shd w:val="clear" w:color="auto" w:fill="CCEEFF"/>
          </w:tcPr>
          <w:p>
            <w:pPr>
              <w:spacing w:after="0"/>
              <w:rPr>
                <w:sz w:val="22"/>
                <w:szCs w:val="22"/>
                <w:color w:val="auto"/>
              </w:rPr>
            </w:pPr>
          </w:p>
        </w:tc>
      </w:tr>
      <w:tr>
        <w:trPr>
          <w:trHeight w:val="175"/>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As</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Impact</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center"/>
              <w:ind w:right="20"/>
              <w:spacing w:after="0"/>
              <w:rPr>
                <w:sz w:val="20"/>
                <w:szCs w:val="20"/>
                <w:color w:val="auto"/>
              </w:rPr>
            </w:pPr>
            <w:r>
              <w:rPr>
                <w:rFonts w:ascii="Arial" w:cs="Arial" w:eastAsia="Arial" w:hAnsi="Arial"/>
                <w:sz w:val="14"/>
                <w:szCs w:val="14"/>
                <w:b w:val="1"/>
                <w:bCs w:val="1"/>
                <w:color w:val="auto"/>
              </w:rPr>
              <w:t>As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62"/>
        </w:trPr>
        <w:tc>
          <w:tcPr>
            <w:tcW w:w="408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previously</w:t>
            </w:r>
          </w:p>
        </w:tc>
        <w:tc>
          <w:tcPr>
            <w:tcW w:w="1020" w:type="dxa"/>
            <w:vAlign w:val="bottom"/>
            <w:gridSpan w:val="3"/>
          </w:tcPr>
          <w:p>
            <w:pPr>
              <w:ind w:left="100"/>
              <w:spacing w:after="0"/>
              <w:rPr>
                <w:sz w:val="20"/>
                <w:szCs w:val="20"/>
                <w:color w:val="auto"/>
              </w:rPr>
            </w:pPr>
            <w:r>
              <w:rPr>
                <w:rFonts w:ascii="Arial" w:cs="Arial" w:eastAsia="Arial" w:hAnsi="Arial"/>
                <w:sz w:val="14"/>
                <w:szCs w:val="14"/>
                <w:b w:val="1"/>
                <w:bCs w:val="1"/>
                <w:color w:val="auto"/>
              </w:rPr>
              <w:t>Change in</w:t>
            </w: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of ASC</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previously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ind w:left="100"/>
              <w:spacing w:after="0"/>
              <w:rPr>
                <w:sz w:val="20"/>
                <w:szCs w:val="20"/>
                <w:color w:val="auto"/>
              </w:rPr>
            </w:pPr>
            <w:r>
              <w:rPr>
                <w:rFonts w:ascii="Arial" w:cs="Arial" w:eastAsia="Arial" w:hAnsi="Arial"/>
                <w:sz w:val="14"/>
                <w:szCs w:val="14"/>
                <w:b w:val="1"/>
                <w:bCs w:val="1"/>
                <w:color w:val="auto"/>
              </w:rPr>
              <w:t>Change in</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Impact of</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6"/>
        </w:trPr>
        <w:tc>
          <w:tcPr>
            <w:tcW w:w="40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reported</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Presentation</w:t>
            </w:r>
          </w:p>
        </w:tc>
        <w:tc>
          <w:tcPr>
            <w:tcW w:w="180" w:type="dxa"/>
            <w:vAlign w:val="bottom"/>
          </w:tcPr>
          <w:p>
            <w:pPr>
              <w:spacing w:after="0"/>
              <w:rPr>
                <w:sz w:val="17"/>
                <w:szCs w:val="17"/>
                <w:color w:val="auto"/>
              </w:rPr>
            </w:pPr>
          </w:p>
        </w:tc>
        <w:tc>
          <w:tcPr>
            <w:tcW w:w="500" w:type="dxa"/>
            <w:vAlign w:val="bottom"/>
          </w:tcPr>
          <w:p>
            <w:pPr>
              <w:jc w:val="center"/>
              <w:ind w:right="100"/>
              <w:spacing w:after="0"/>
              <w:rPr>
                <w:sz w:val="20"/>
                <w:szCs w:val="20"/>
                <w:color w:val="auto"/>
              </w:rPr>
            </w:pPr>
            <w:r>
              <w:rPr>
                <w:rFonts w:ascii="Arial" w:cs="Arial" w:eastAsia="Arial" w:hAnsi="Arial"/>
                <w:sz w:val="14"/>
                <w:szCs w:val="14"/>
                <w:b w:val="1"/>
                <w:bCs w:val="1"/>
                <w:color w:val="auto"/>
              </w:rPr>
              <w:t>606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Recast</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reported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Presentation</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ASC 606</w:t>
            </w:r>
          </w:p>
        </w:tc>
        <w:tc>
          <w:tcPr>
            <w:tcW w:w="140" w:type="dxa"/>
            <w:vAlign w:val="bottom"/>
          </w:tcPr>
          <w:p>
            <w:pPr>
              <w:spacing w:after="0"/>
              <w:rPr>
                <w:sz w:val="17"/>
                <w:szCs w:val="17"/>
                <w:color w:val="auto"/>
              </w:rPr>
            </w:pPr>
          </w:p>
        </w:tc>
        <w:tc>
          <w:tcPr>
            <w:tcW w:w="660" w:type="dxa"/>
            <w:vAlign w:val="bottom"/>
          </w:tcPr>
          <w:p>
            <w:pPr>
              <w:jc w:val="right"/>
              <w:ind w:right="80"/>
              <w:spacing w:after="0"/>
              <w:rPr>
                <w:sz w:val="20"/>
                <w:szCs w:val="20"/>
                <w:color w:val="auto"/>
              </w:rPr>
            </w:pPr>
            <w:r>
              <w:rPr>
                <w:rFonts w:ascii="Arial" w:cs="Arial" w:eastAsia="Arial" w:hAnsi="Arial"/>
                <w:sz w:val="14"/>
                <w:szCs w:val="14"/>
                <w:b w:val="1"/>
                <w:bCs w:val="1"/>
                <w:color w:val="auto"/>
              </w:rPr>
              <w:t>Recast</w:t>
            </w:r>
          </w:p>
        </w:tc>
      </w:tr>
      <w:tr>
        <w:trPr>
          <w:trHeight w:val="270"/>
        </w:trPr>
        <w:tc>
          <w:tcPr>
            <w:tcW w:w="4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r>
      <w:tr>
        <w:trPr>
          <w:trHeight w:val="260"/>
        </w:trPr>
        <w:tc>
          <w:tcPr>
            <w:tcW w:w="4080" w:type="dxa"/>
            <w:vAlign w:val="bottom"/>
          </w:tcPr>
          <w:p>
            <w:pPr>
              <w:ind w:left="180"/>
              <w:spacing w:after="0"/>
              <w:rPr>
                <w:sz w:val="20"/>
                <w:szCs w:val="20"/>
                <w:color w:val="auto"/>
              </w:rPr>
            </w:pPr>
            <w:r>
              <w:rPr>
                <w:rFonts w:ascii="Arial" w:cs="Arial" w:eastAsia="Arial" w:hAnsi="Arial"/>
                <w:sz w:val="16"/>
                <w:szCs w:val="16"/>
                <w:color w:val="auto"/>
              </w:rPr>
              <w:t>Investment advisory fees</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991.1</w:t>
            </w:r>
          </w:p>
        </w:tc>
        <w:tc>
          <w:tcPr>
            <w:tcW w:w="12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992.7</w:t>
            </w:r>
          </w:p>
        </w:tc>
        <w:tc>
          <w:tcPr>
            <w:tcW w:w="20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$ 1,043.9</w:t>
            </w:r>
          </w:p>
        </w:tc>
        <w:tc>
          <w:tcPr>
            <w:tcW w:w="42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1,046.0</w:t>
            </w:r>
          </w:p>
        </w:tc>
      </w:tr>
      <w:tr>
        <w:trPr>
          <w:trHeight w:val="280"/>
        </w:trPr>
        <w:tc>
          <w:tcPr>
            <w:tcW w:w="4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Administrative, distribution, and servicing fees</w:t>
            </w:r>
            <w:r>
              <w:rPr>
                <w:rFonts w:ascii="Arial" w:cs="Arial" w:eastAsia="Arial" w:hAnsi="Arial"/>
                <w:sz w:val="21"/>
                <w:szCs w:val="21"/>
                <w:color w:val="auto"/>
                <w:vertAlign w:val="superscript"/>
              </w:rPr>
              <w:t>(1)</w:t>
            </w: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122.5</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139.9</w:t>
            </w:r>
          </w:p>
        </w:tc>
        <w:tc>
          <w:tcPr>
            <w:tcW w:w="2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127.7</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140.0</w:t>
            </w:r>
          </w:p>
        </w:tc>
      </w:tr>
      <w:tr>
        <w:trPr>
          <w:trHeight w:val="244"/>
        </w:trPr>
        <w:tc>
          <w:tcPr>
            <w:tcW w:w="4080" w:type="dxa"/>
            <w:vAlign w:val="bottom"/>
          </w:tcPr>
          <w:p>
            <w:pPr>
              <w:ind w:left="180"/>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21"/>
                <w:szCs w:val="21"/>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1,113.6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w w:val="97"/>
              </w:rPr>
              <w:t>1,132.6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1,171.6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1,186.0</w:t>
            </w:r>
          </w:p>
        </w:tc>
      </w:tr>
      <w:tr>
        <w:trPr>
          <w:trHeight w:val="270"/>
        </w:trPr>
        <w:tc>
          <w:tcPr>
            <w:tcW w:w="4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r>
      <w:tr>
        <w:trPr>
          <w:trHeight w:val="260"/>
        </w:trPr>
        <w:tc>
          <w:tcPr>
            <w:tcW w:w="4080" w:type="dxa"/>
            <w:vAlign w:val="bottom"/>
          </w:tcPr>
          <w:p>
            <w:pPr>
              <w:ind w:left="180"/>
              <w:spacing w:after="0"/>
              <w:rPr>
                <w:sz w:val="20"/>
                <w:szCs w:val="20"/>
                <w:color w:val="auto"/>
              </w:rPr>
            </w:pPr>
            <w:r>
              <w:rPr>
                <w:rFonts w:ascii="Arial" w:cs="Arial" w:eastAsia="Arial" w:hAnsi="Arial"/>
                <w:sz w:val="16"/>
                <w:szCs w:val="16"/>
                <w:color w:val="auto"/>
              </w:rPr>
              <w:t>Compensation and related costs</w:t>
            </w:r>
          </w:p>
        </w:tc>
        <w:tc>
          <w:tcPr>
            <w:tcW w:w="120" w:type="dxa"/>
            <w:vAlign w:val="bottom"/>
          </w:tcPr>
          <w:p>
            <w:pPr>
              <w:spacing w:after="0"/>
              <w:rPr>
                <w:sz w:val="22"/>
                <w:szCs w:val="22"/>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397.4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397.4</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403.8</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403.8</w:t>
            </w:r>
          </w:p>
        </w:tc>
      </w:tr>
      <w:tr>
        <w:trPr>
          <w:trHeight w:val="280"/>
        </w:trPr>
        <w:tc>
          <w:tcPr>
            <w:tcW w:w="4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 and servicing</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59.8</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64.8</w:t>
            </w:r>
          </w:p>
        </w:tc>
      </w:tr>
      <w:tr>
        <w:trPr>
          <w:trHeight w:val="260"/>
        </w:trPr>
        <w:tc>
          <w:tcPr>
            <w:tcW w:w="4080" w:type="dxa"/>
            <w:vAlign w:val="bottom"/>
          </w:tcPr>
          <w:p>
            <w:pPr>
              <w:ind w:left="180"/>
              <w:spacing w:after="0"/>
              <w:rPr>
                <w:sz w:val="20"/>
                <w:szCs w:val="20"/>
                <w:color w:val="auto"/>
              </w:rPr>
            </w:pPr>
            <w:r>
              <w:rPr>
                <w:rFonts w:ascii="Arial" w:cs="Arial" w:eastAsia="Arial" w:hAnsi="Arial"/>
                <w:sz w:val="16"/>
                <w:szCs w:val="16"/>
                <w:color w:val="auto"/>
              </w:rPr>
              <w:t>Advertising and promotion</w:t>
            </w:r>
          </w:p>
        </w:tc>
        <w:tc>
          <w:tcPr>
            <w:tcW w:w="120" w:type="dxa"/>
            <w:vAlign w:val="bottom"/>
          </w:tcPr>
          <w:p>
            <w:pPr>
              <w:spacing w:after="0"/>
              <w:rPr>
                <w:sz w:val="22"/>
                <w:szCs w:val="22"/>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25.7</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18.6</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18.7</w:t>
            </w:r>
          </w:p>
        </w:tc>
      </w:tr>
      <w:tr>
        <w:trPr>
          <w:trHeight w:val="280"/>
        </w:trPr>
        <w:tc>
          <w:tcPr>
            <w:tcW w:w="4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Product-related costs</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38.6</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34.4</w:t>
            </w: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Technology, occupancy, and facility costs</w:t>
            </w:r>
            <w:r>
              <w:rPr>
                <w:rFonts w:ascii="Arial" w:cs="Arial" w:eastAsia="Arial" w:hAnsi="Arial"/>
                <w:sz w:val="21"/>
                <w:szCs w:val="21"/>
                <w:color w:val="auto"/>
                <w:vertAlign w:val="superscript"/>
              </w:rPr>
              <w:t>(2)</w:t>
            </w:r>
          </w:p>
        </w:tc>
        <w:tc>
          <w:tcPr>
            <w:tcW w:w="120" w:type="dxa"/>
            <w:vAlign w:val="bottom"/>
          </w:tcPr>
          <w:p>
            <w:pPr>
              <w:spacing w:after="0"/>
              <w:rPr>
                <w:sz w:val="23"/>
                <w:szCs w:val="23"/>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81.0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82.8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83.1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85.6</w:t>
            </w:r>
          </w:p>
        </w:tc>
      </w:tr>
      <w:tr>
        <w:trPr>
          <w:trHeight w:val="270"/>
        </w:trPr>
        <w:tc>
          <w:tcPr>
            <w:tcW w:w="4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General, administrative, and other</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56.6</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71.1</w:t>
            </w:r>
          </w:p>
        </w:tc>
      </w:tr>
      <w:tr>
        <w:trPr>
          <w:trHeight w:val="218"/>
        </w:trPr>
        <w:tc>
          <w:tcPr>
            <w:tcW w:w="4080" w:type="dxa"/>
            <w:vAlign w:val="bottom"/>
          </w:tcPr>
          <w:p>
            <w:pPr>
              <w:ind w:left="180"/>
              <w:spacing w:after="0"/>
              <w:rPr>
                <w:sz w:val="20"/>
                <w:szCs w:val="20"/>
                <w:color w:val="auto"/>
              </w:rPr>
            </w:pPr>
            <w:r>
              <w:rPr>
                <w:rFonts w:ascii="Arial" w:cs="Arial" w:eastAsia="Arial" w:hAnsi="Arial"/>
                <w:sz w:val="16"/>
                <w:szCs w:val="16"/>
                <w:color w:val="auto"/>
              </w:rPr>
              <w:t>Nonrecurring insurance recoveries related to Dell</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8"/>
        </w:trPr>
        <w:tc>
          <w:tcPr>
            <w:tcW w:w="4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appraisal rights matter</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50"/>
        </w:trPr>
        <w:tc>
          <w:tcPr>
            <w:tcW w:w="4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591.9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610.9</w:t>
            </w:r>
          </w:p>
        </w:tc>
        <w:tc>
          <w:tcPr>
            <w:tcW w:w="2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664.0</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678.4</w:t>
            </w:r>
          </w:p>
        </w:tc>
      </w:tr>
      <w:tr>
        <w:trPr>
          <w:trHeight w:val="280"/>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operating income</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521.7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521.7</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507.6</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507.6</w:t>
            </w:r>
          </w:p>
        </w:tc>
      </w:tr>
      <w:tr>
        <w:trPr>
          <w:trHeight w:val="159"/>
        </w:trPr>
        <w:tc>
          <w:tcPr>
            <w:tcW w:w="4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264"/>
        </w:trPr>
        <w:tc>
          <w:tcPr>
            <w:tcW w:w="40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9/30/2017</w:t>
            </w:r>
          </w:p>
        </w:tc>
        <w:tc>
          <w:tcPr>
            <w:tcW w:w="66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Three months ended 12/31/2017</w:t>
            </w:r>
          </w:p>
        </w:tc>
        <w:tc>
          <w:tcPr>
            <w:tcW w:w="660" w:type="dxa"/>
            <w:vAlign w:val="bottom"/>
            <w:tcBorders>
              <w:bottom w:val="single" w:sz="8" w:color="auto"/>
            </w:tcBorders>
          </w:tcPr>
          <w:p>
            <w:pPr>
              <w:spacing w:after="0"/>
              <w:rPr>
                <w:sz w:val="22"/>
                <w:szCs w:val="22"/>
                <w:color w:val="auto"/>
              </w:rPr>
            </w:pPr>
          </w:p>
        </w:tc>
      </w:tr>
      <w:tr>
        <w:trPr>
          <w:trHeight w:val="175"/>
        </w:trPr>
        <w:tc>
          <w:tcPr>
            <w:tcW w:w="4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As</w:t>
            </w: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Impact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As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center"/>
              <w:ind w:right="20"/>
              <w:spacing w:after="0"/>
              <w:rPr>
                <w:sz w:val="20"/>
                <w:szCs w:val="20"/>
                <w:color w:val="auto"/>
              </w:rPr>
            </w:pPr>
            <w:r>
              <w:rPr>
                <w:rFonts w:ascii="Arial" w:cs="Arial" w:eastAsia="Arial" w:hAnsi="Arial"/>
                <w:sz w:val="14"/>
                <w:szCs w:val="14"/>
                <w:b w:val="1"/>
                <w:bCs w:val="1"/>
                <w:color w:val="auto"/>
              </w:rPr>
              <w:t>As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62"/>
        </w:trPr>
        <w:tc>
          <w:tcPr>
            <w:tcW w:w="40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previously</w:t>
            </w:r>
          </w:p>
        </w:tc>
        <w:tc>
          <w:tcPr>
            <w:tcW w:w="1020" w:type="dxa"/>
            <w:vAlign w:val="bottom"/>
            <w:gridSpan w:val="3"/>
            <w:shd w:val="clear" w:color="auto" w:fill="CCEEFF"/>
          </w:tcPr>
          <w:p>
            <w:pPr>
              <w:ind w:left="100"/>
              <w:spacing w:after="0"/>
              <w:rPr>
                <w:sz w:val="20"/>
                <w:szCs w:val="20"/>
                <w:color w:val="auto"/>
              </w:rPr>
            </w:pPr>
            <w:r>
              <w:rPr>
                <w:rFonts w:ascii="Arial" w:cs="Arial" w:eastAsia="Arial" w:hAnsi="Arial"/>
                <w:sz w:val="14"/>
                <w:szCs w:val="14"/>
                <w:b w:val="1"/>
                <w:bCs w:val="1"/>
                <w:color w:val="auto"/>
              </w:rPr>
              <w:t>Change in</w:t>
            </w:r>
          </w:p>
        </w:tc>
        <w:tc>
          <w:tcPr>
            <w:tcW w:w="78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of ASC</w:t>
            </w:r>
          </w:p>
        </w:tc>
        <w:tc>
          <w:tcPr>
            <w:tcW w:w="100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reported</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previously</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ind w:left="100"/>
              <w:spacing w:after="0"/>
              <w:rPr>
                <w:sz w:val="20"/>
                <w:szCs w:val="20"/>
                <w:color w:val="auto"/>
              </w:rPr>
            </w:pPr>
            <w:r>
              <w:rPr>
                <w:rFonts w:ascii="Arial" w:cs="Arial" w:eastAsia="Arial" w:hAnsi="Arial"/>
                <w:sz w:val="14"/>
                <w:szCs w:val="14"/>
                <w:b w:val="1"/>
                <w:bCs w:val="1"/>
                <w:color w:val="auto"/>
              </w:rPr>
              <w:t>Change in</w:t>
            </w:r>
          </w:p>
        </w:tc>
        <w:tc>
          <w:tcPr>
            <w:tcW w:w="90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Impact of</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202"/>
        </w:trPr>
        <w:tc>
          <w:tcPr>
            <w:tcW w:w="4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90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reported</w:t>
            </w:r>
          </w:p>
        </w:tc>
        <w:tc>
          <w:tcPr>
            <w:tcW w:w="10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Presentation</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606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herein</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reported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Presentation</w:t>
            </w:r>
          </w:p>
        </w:tc>
        <w:tc>
          <w:tcPr>
            <w:tcW w:w="90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ASC 606</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Recast</w:t>
            </w:r>
          </w:p>
        </w:tc>
      </w:tr>
      <w:tr>
        <w:trPr>
          <w:trHeight w:val="254"/>
        </w:trPr>
        <w:tc>
          <w:tcPr>
            <w:tcW w:w="4080" w:type="dxa"/>
            <w:vAlign w:val="bottom"/>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r>
      <w:tr>
        <w:trPr>
          <w:trHeight w:val="280"/>
        </w:trPr>
        <w:tc>
          <w:tcPr>
            <w:tcW w:w="4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advisory fees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8"/>
              </w:rPr>
              <w:t>$ 1,096.7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7"/>
              </w:rPr>
              <w:t>1,098.9</w:t>
            </w: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$ 1,156.0</w:t>
            </w:r>
          </w:p>
        </w:tc>
        <w:tc>
          <w:tcPr>
            <w:tcW w:w="4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1,158.2</w:t>
            </w:r>
          </w:p>
        </w:tc>
      </w:tr>
      <w:tr>
        <w:trPr>
          <w:trHeight w:val="270"/>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Administrative, distribution, and servicing fees</w:t>
            </w:r>
            <w:r>
              <w:rPr>
                <w:rFonts w:ascii="Arial" w:cs="Arial" w:eastAsia="Arial" w:hAnsi="Arial"/>
                <w:sz w:val="21"/>
                <w:szCs w:val="21"/>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125.0</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139.8</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139.4</w:t>
            </w:r>
          </w:p>
        </w:tc>
      </w:tr>
      <w:tr>
        <w:trPr>
          <w:trHeight w:val="250"/>
        </w:trPr>
        <w:tc>
          <w:tcPr>
            <w:tcW w:w="4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1,221.7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7"/>
              </w:rPr>
              <w:t>1,238.7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1,286.1</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1,297.6</w:t>
            </w:r>
          </w:p>
        </w:tc>
      </w:tr>
      <w:tr>
        <w:trPr>
          <w:trHeight w:val="254"/>
        </w:trPr>
        <w:tc>
          <w:tcPr>
            <w:tcW w:w="40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r>
      <w:tr>
        <w:trPr>
          <w:trHeight w:val="280"/>
        </w:trPr>
        <w:tc>
          <w:tcPr>
            <w:tcW w:w="4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 and related costs</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417.4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417.4</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446.3</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446.3</w:t>
            </w:r>
          </w:p>
        </w:tc>
      </w:tr>
      <w:tr>
        <w:trPr>
          <w:trHeight w:val="260"/>
        </w:trPr>
        <w:tc>
          <w:tcPr>
            <w:tcW w:w="4080" w:type="dxa"/>
            <w:vAlign w:val="bottom"/>
          </w:tcPr>
          <w:p>
            <w:pPr>
              <w:ind w:left="40"/>
              <w:spacing w:after="0"/>
              <w:rPr>
                <w:sz w:val="20"/>
                <w:szCs w:val="20"/>
                <w:color w:val="auto"/>
              </w:rPr>
            </w:pPr>
            <w:r>
              <w:rPr>
                <w:rFonts w:ascii="Arial" w:cs="Arial" w:eastAsia="Arial" w:hAnsi="Arial"/>
                <w:sz w:val="16"/>
                <w:szCs w:val="16"/>
                <w:color w:val="auto"/>
              </w:rPr>
              <w:t>Distribution and servicing</w:t>
            </w:r>
          </w:p>
        </w:tc>
        <w:tc>
          <w:tcPr>
            <w:tcW w:w="120" w:type="dxa"/>
            <w:vAlign w:val="bottom"/>
          </w:tcPr>
          <w:p>
            <w:pPr>
              <w:spacing w:after="0"/>
              <w:rPr>
                <w:sz w:val="22"/>
                <w:szCs w:val="22"/>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67.4</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70.6</w:t>
            </w:r>
          </w:p>
        </w:tc>
      </w:tr>
      <w:tr>
        <w:trPr>
          <w:trHeight w:val="280"/>
        </w:trPr>
        <w:tc>
          <w:tcPr>
            <w:tcW w:w="4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Advertising and promotion</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14.0</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34.0</w:t>
            </w:r>
          </w:p>
        </w:tc>
      </w:tr>
      <w:tr>
        <w:trPr>
          <w:trHeight w:val="260"/>
        </w:trPr>
        <w:tc>
          <w:tcPr>
            <w:tcW w:w="4080" w:type="dxa"/>
            <w:vAlign w:val="bottom"/>
          </w:tcPr>
          <w:p>
            <w:pPr>
              <w:ind w:left="40"/>
              <w:spacing w:after="0"/>
              <w:rPr>
                <w:sz w:val="20"/>
                <w:szCs w:val="20"/>
                <w:color w:val="auto"/>
              </w:rPr>
            </w:pPr>
            <w:r>
              <w:rPr>
                <w:rFonts w:ascii="Arial" w:cs="Arial" w:eastAsia="Arial" w:hAnsi="Arial"/>
                <w:sz w:val="16"/>
                <w:szCs w:val="16"/>
                <w:color w:val="auto"/>
              </w:rPr>
              <w:t>Product-related costs</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37.9</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35.1</w:t>
            </w:r>
          </w:p>
        </w:tc>
      </w:tr>
      <w:tr>
        <w:trPr>
          <w:trHeight w:val="280"/>
        </w:trPr>
        <w:tc>
          <w:tcPr>
            <w:tcW w:w="4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Technology, occupancy, and facility costs</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84.0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86.3</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95.8</w:t>
            </w:r>
          </w:p>
        </w:tc>
      </w:tr>
      <w:tr>
        <w:trPr>
          <w:trHeight w:val="264"/>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administrative, and other</w:t>
            </w: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67.2</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84.8</w:t>
            </w:r>
          </w:p>
        </w:tc>
      </w:tr>
      <w:tr>
        <w:trPr>
          <w:trHeight w:val="250"/>
        </w:trPr>
        <w:tc>
          <w:tcPr>
            <w:tcW w:w="4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673.2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690.2</w:t>
            </w:r>
          </w:p>
        </w:tc>
        <w:tc>
          <w:tcPr>
            <w:tcW w:w="2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755.1</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766.6</w:t>
            </w:r>
          </w:p>
        </w:tc>
      </w:tr>
      <w:tr>
        <w:trPr>
          <w:trHeight w:val="240"/>
        </w:trPr>
        <w:tc>
          <w:tcPr>
            <w:tcW w:w="4080" w:type="dxa"/>
            <w:vAlign w:val="bottom"/>
          </w:tcPr>
          <w:p>
            <w:pPr>
              <w:ind w:left="40"/>
              <w:spacing w:after="0"/>
              <w:rPr>
                <w:sz w:val="20"/>
                <w:szCs w:val="20"/>
                <w:color w:val="auto"/>
              </w:rPr>
            </w:pPr>
            <w:r>
              <w:rPr>
                <w:rFonts w:ascii="Arial" w:cs="Arial" w:eastAsia="Arial" w:hAnsi="Arial"/>
                <w:sz w:val="16"/>
                <w:szCs w:val="16"/>
                <w:color w:val="auto"/>
              </w:rPr>
              <w:t>Net operating income</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548.5</w:t>
            </w:r>
          </w:p>
        </w:tc>
        <w:tc>
          <w:tcPr>
            <w:tcW w:w="1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548.5</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531.0</w:t>
            </w:r>
          </w:p>
        </w:tc>
        <w:tc>
          <w:tcPr>
            <w:tcW w:w="42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531.0</w:t>
            </w:r>
          </w:p>
        </w:tc>
      </w:tr>
      <w:tr>
        <w:trPr>
          <w:trHeight w:val="20"/>
        </w:trPr>
        <w:tc>
          <w:tcPr>
            <w:tcW w:w="4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“As previously reported” column aggregates the administrative fees and distribution and servicing fees lines presented in the income statement in prior year.</w:t>
      </w:r>
    </w:p>
    <w:p>
      <w:pPr>
        <w:ind w:right="300" w:firstLine="8"/>
        <w:spacing w:after="0"/>
        <w:tabs>
          <w:tab w:leader="none" w:pos="135" w:val="left"/>
        </w:tabs>
        <w:numPr>
          <w:ilvl w:val="0"/>
          <w:numId w:val="3"/>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“As previously reported” column aggregates the depreciation and amortization of property and equipment and occupancy and facility costs lines presented in the income statement in prior year.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452" w:right="239" w:bottom="1440" w:gutter="0" w:footer="0" w:header="0"/>
        </w:sectPr>
      </w:pPr>
    </w:p>
    <w:bookmarkStart w:id="8" w:name="page9"/>
    <w:bookmarkEnd w:id="8"/>
    <w:p>
      <w:pPr>
        <w:ind w:right="40"/>
        <w:spacing w:after="0" w:line="251" w:lineRule="auto"/>
        <w:rPr>
          <w:sz w:val="20"/>
          <w:szCs w:val="20"/>
          <w:color w:val="auto"/>
        </w:rPr>
      </w:pPr>
      <w:r>
        <w:rPr>
          <w:rFonts w:ascii="Arial" w:cs="Arial" w:eastAsia="Arial" w:hAnsi="Arial"/>
          <w:sz w:val="18"/>
          <w:szCs w:val="18"/>
          <w:color w:val="auto"/>
        </w:rPr>
        <w:t xml:space="preserve">We adopted Accounting Standards Update No. 2016-01 — Financial Instruments—Overall (Subtopic 825-10): Recognition and Measurement of Financial Assets and Financial Liabilities on January 1, 2018. This update addresses certain aspects of recognition, measurement, presentation, and disclosure of financial instruments. After January 1, 2018, the guidance requires substantially all equity investments in non-consolidated entities to be measured at fair value with changes recognized in earnings, except for those accounted for using the equity method of accounting. As such, the guidance eliminated the available-for-sale investment category for equity securities. Prior to this guidance, unrealized holding gains for available-for-sale equity securities were recognized in accumulated other comprehensive income. Upon adoption, we reclassified a net unrealized holding gain of $7.9 million, net of taxes, related to our $597.1 million available-for-sale investment portfolio from accumulated other comprehensive income to retained earnings. Additionally, certain investments that do not have readily available market prices or quotations will be measured at fair value, under the new guidance, as we elected to use their calculated and reported net asset value (NAV) per share as a practical expedient for measuring their fair value in accordance with ASC 946. As such, we recognized a cumulative adjustment to retained earnings of $14.5 million to adjust investments previously accounted for as cost method investments to fair value on January 1, 2018. The corresponding increase in the investments’ carrying value and related deferred taxes was $19.5 million and $5.0 million, respectively. Our updated investments policy is included in the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section below.</w:t>
      </w:r>
    </w:p>
    <w:p>
      <w:pPr>
        <w:spacing w:after="0" w:line="21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We adopted Accounting Standards Update No. 2018-02 — Reclassification of certain tax effects from accumulated other comprehensive income on January 1, 2018. This guidance permits tax effects stranded in accumulated other comprehensive income resulting primarily from the enactment of U.S. tax reform bill, originally known as the Tax Cuts and Jobs Act of 2017, to be reclassified to retained earnings either on January 1, 2018, or retrospectively. We elected to adopt the guidance on January 1, 2018, and reclassified $2.3 million of stranded tax benefits related to currency translation adjustments to retained earnings. The stranded income taxes related to our available-for-sale investment portfolio at December 31, 2017, were reclassified to retained earnings with the adoption of Accounting Standards Update No. 2016-01 on January 1, 2018. Our updated comprehensive income policy is included in the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section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NEWLY ISSUED BUT NOT YET ADOPTED ACCOUNTING GUIDANCE.</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February 2016, the FASB issued Accounting Standards Update No. 2016-02 — Leases (Topic 842). The update seeks to increase transparency and comparability among organizations by recognizing lease assets and lease liabilities on the balance sheet and disclosing key information about leasing arrangements. The standards update is effective for fiscal years beginning after December 15, 2018, including interim periods within those fiscal years. We plan to adopt this standard on January 1, 2019, using a modified retrospective approach without restating prior comparative periods. We will also adopt certain available practical expedients that will alleviate complexities related to the implementation. While we continue to finalize the impact this standard will have on our financial position and results of operations, we currently expect to record a right-of-use asset and a lease liability in the range of approximately $115 million to $140 million related to our operating leases, primarily our real-estate leases. We do not expect the adoption will have a material impact on our results of operations.</w:t>
      </w:r>
    </w:p>
    <w:p>
      <w:pPr>
        <w:spacing w:after="0" w:line="20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August 2018, the FASB issued Accounting Standards Update No. 2018-15 — Intangibles—Goodwill and Other— Internal-Use Software (Subtopic 350-40): Customer’s Accounting for Implementation Costs Incurred in a Cloud Computing Arrangement That Is a Service Contract. This update provides additional guidance on the accounting for costs of implementation activities performed in a cloud computing arrangement that is a service contract. The amendments in this update are effective for fiscal years beginning after December 15, 2019, including interim periods within those fiscal years. Early adoption is permitted. We are currently evaluating the impact this standard will have on our financial position and results of operations.</w:t>
      </w:r>
    </w:p>
    <w:p>
      <w:pPr>
        <w:spacing w:after="0" w:line="20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unaudited condensed consolidated statements, including those we have not yet adopted. We do not believe that any such guidance has or will have a material effect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38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U.S. TAX REFORM AND NEWLY ENACTED MARYLAND TAX LEGISLATION.</w:t>
      </w:r>
    </w:p>
    <w:p>
      <w:pPr>
        <w:spacing w:after="0" w:line="22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income tax provision for the nine months ended September 30, 2018 includes an additional nonrecurring charge of $20.8 million related to the enactment of U.S. tax reform as the firm adjusted its deferred tax asset and liability re-measurement estimates recorded at December 31, 2017. We also recognized a nonrecurring charge of $7.9 million during the nine months ended September 30, 2018 for the re-measurement of our deferred tax assets and liabilities to reflect the effect of Maryland state tax legislation enacted on April 24, 2018. This new state tax legislation, effective in 2018, adopted a five-year phase-in of the single sales factor method of apportionment for calculating income tax for multi-state companies doing business in Maryland and is expected to result in a net benefit over time. We continue to evaluate the impact of U.S. tax reform and the Maryland state tax legislation on our estimates and expectations due to changes in our interpretations of the law, assumptions used in applying the law, and additional guidance concerning the law that may be issued.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revenue is earned from investment advisory, administrative, and distribution services we provide to our clients. Each distinct service we promise in our agreements is considered a performance obligation and is the basis for determining when we recognize revenue. The fees are allocated to each distinct performance obligation and we recognize revenue when, or as, we satisfy our promises. The consideration for our services is generally variable and included in net revenues, when it is improbable that a significant reversal could occur in the future. For certain client agreements, we have the discretion to hire a third party to provide services to our clients. In these circumstances, we are generally deemed to control the services before transferring them to our clients, and accordingly present the revenues gross of the related third-party costs. The timing of when we bill our clients and related payment terms vary in accordance with agreed-upon contractual terms. For the majority of our agreements, billing occurs after we have recognized revenue, which results in accounts receivable and accrued revenue. For an insignificant portion of our contracts, billing occurs in advance of providing services, which results in deferred revenue within the accounts payable and accrued expenses line of our unaudited condensed consolidated balance sheets.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Taxes billed to our clients based on our fees for services rendered are not included in revenues.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fees.</w:t>
      </w:r>
    </w:p>
    <w:p>
      <w:pPr>
        <w:spacing w:after="0" w:line="18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majority of our investment advisory agreements, including those with the U.S. mutual funds, have a single performance obligation as the promised services are not separately identifiable from other promises in the agreements and, therefore, are not distinct. Substantially all performance obligations for providing advisory services are satisfied over time and revenue is recognized as time passes.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Investment advisory agreements with T. Rowe Price investment products regulated outside the U.S. generally have two performance obligations; one for investment management and one for distribution. For these agreements, we allocate the management fee to each performance obligation using our best estimate of the standalone fee of each of these services. The performance obligation for providing investment management services, like our other advisory contracts, is satisfied over time and revenue is recognized as time passes. The performance obligation for distribution is satisfied at the point in time when an investor makes an investment into the product. Accordingly, a portion of the investment advisory fees earned from these products relate to distribution performance obligations that were satisfied during prior periods. These distribution fees are reported within the investment advisory fees line of our unaudited condensed consolidated statements of income.</w:t>
      </w:r>
    </w:p>
    <w:p>
      <w:pPr>
        <w:spacing w:after="0" w:line="1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management fee for our investment advisory agreements are based on our assets under management, which change based on fluctuations in financial markets, and represent variable consideration. Therefore, investment advisory fees are generally constrained, and excluded from revenue, until the asset values on which our client is billed are no longer subject to financial market volatility. Investment advisory fees for investment products are presented net of fees waived pursuant to the contractual expense limitations of the product. Our assets under management are valued in accordance with valuation and pricing processes for each major type of investment. Fair values used in our processes are primarily determined from quoted market prices; prices furnished by dealers who make markets in such securities; or from data provided by an independent pricing service that considers yield or price of investments of comparable quality, coupon, maturity, and type. Investments for which market prices are not readily available are not a material portion of our total assets under management.</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00"/>
          </w:cols>
          <w:pgMar w:left="240" w:top="382"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We provide all services to the U.S. mutual funds under contracts that are subject to periodic review and approval by the funds’ Boards.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Regulations require that the funds’ shareholders also approve material changes to investment advisory contracts.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Administrative, distribution, and servicing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Administrative fees.</w:t>
      </w:r>
    </w:p>
    <w:p>
      <w:pPr>
        <w:spacing w:after="0" w:line="27"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The administrative services we provide include distribution, mutual fund transfer agent, accounting and shareholder services; participant recordkeeping and transfer agent services for defined contribution retirement plans; brokerage, and trust services.</w:t>
      </w:r>
    </w:p>
    <w:p>
      <w:pPr>
        <w:spacing w:after="0" w:line="19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administrative service agreements with the U.S. mutual funds for accounting oversight, transfer agency, and recordkeeping services generally have one performance obligation as the promised services in each agreement are not separately identifiable from other promises in the agreement and, therefore, are not distinct. The fees for performing these services are generally equal to the costs incurred and represent variable consideration. The fees are generally constrained, and are recognized as revenue when costs are incurred to perform the services. These fees are generally offset by the costs incurred to provide such services.</w:t>
      </w:r>
    </w:p>
    <w:p>
      <w:pPr>
        <w:spacing w:after="0" w:line="20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Other administrative service agreements for participant recordkeeping and transfer agent services for defined contribution retirement plans; brokerage services, and trust services generally have one performance obligation as the promised services in each agreement are not separately identifiable from other performance obligations in the contract and, therefore, are not distinct. Our performance obligation in each agreement is satisfied over time and revenue is recognized as time passes. The fees for these services vary by contract and are both fixed and variable.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and servicing fees.</w:t>
      </w:r>
    </w:p>
    <w:p>
      <w:pPr>
        <w:spacing w:after="0" w:line="2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The agreements for distribution and servicing fees earned from 12b-1 plans of the Advisor Class, R Class, and Variable Annuity II Class shares of the U.S. mutual funds have one performance obligation, as distribution services are not separately identifiable from shareholder servicing promises in the agreements and, therefore, are not distinct. Our performance obligation is satisfied at the point in time when an investor makes an investment into these share classes of the U.S. mutual funds. The fees for these distribution and servicing agreements are based on the assets under management in these shares classes, which change based on fluctuations in financial markets, and represent variable consideration. These fees are generally constrained, and excluded from revenue, until the asset values on which our client is billed are not subject to financial market volatility. Accordingly, the majority of the distribution and servicing revenue disclosed in </w:t>
      </w:r>
      <w:r>
        <w:rPr>
          <w:rFonts w:ascii="Arial" w:cs="Arial" w:eastAsia="Arial" w:hAnsi="Arial"/>
          <w:sz w:val="17"/>
          <w:szCs w:val="17"/>
          <w:i w:val="1"/>
          <w:iCs w:val="1"/>
          <w:color w:val="auto"/>
        </w:rPr>
        <w:t>Note 2 - Information about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Receivables, Revenues and Services </w:t>
      </w:r>
      <w:r>
        <w:rPr>
          <w:rFonts w:ascii="Arial" w:cs="Arial" w:eastAsia="Arial" w:hAnsi="Arial"/>
          <w:sz w:val="17"/>
          <w:szCs w:val="17"/>
          <w:color w:val="auto"/>
        </w:rPr>
        <w:t>relates to distribution and servicing obligations that were satisfied during prior periods. These fees are</w:t>
      </w:r>
      <w:r>
        <w:rPr>
          <w:rFonts w:ascii="Arial" w:cs="Arial" w:eastAsia="Arial" w:hAnsi="Arial"/>
          <w:sz w:val="17"/>
          <w:szCs w:val="17"/>
          <w:i w:val="1"/>
          <w:iCs w:val="1"/>
          <w:color w:val="auto"/>
        </w:rPr>
        <w:t xml:space="preserve"> </w:t>
      </w:r>
      <w:r>
        <w:rPr>
          <w:rFonts w:ascii="Arial" w:cs="Arial" w:eastAsia="Arial" w:hAnsi="Arial"/>
          <w:sz w:val="17"/>
          <w:szCs w:val="17"/>
          <w:color w:val="auto"/>
        </w:rPr>
        <w:t>offset entirely by the distribution and servicing costs paid to third-party financial intermediaries that source the assets of these share classes.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held at fair value</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Investments in T. Rowe Price investment products have been made for both general corporate investment purposes and to provide seed capital for newly formed products. Those investments that we do not consolidate are carried at fair value using the quoted closing NAV per share of each fund as of the balance sheet date. The underlying investments held by our consolidated T. Rowe Price investment products retain investment company specialized accounting in consolidation, are considered trading securities for cash flow reporting purposes, and are valued in accordance with the valuation and pricing policy used to value our assets under management which is further described in the Revenue recognition policy above.</w:t>
      </w:r>
    </w:p>
    <w:p>
      <w:pPr>
        <w:spacing w:after="0" w:line="20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elected to value our interest in investment partnerships, for which market prices or quotations are not readily available, at fair value using the NAV per share as a practical expedient for measuring fair value.</w:t>
      </w:r>
    </w:p>
    <w:p>
      <w:pPr>
        <w:spacing w:after="0" w:line="19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Changes in the fair values of all these investments are reflected in non-operating income in our unaudited condensed consolidated statements of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Equity method investments consist of investments in entities, including T. Rowe Price investment products, for which we have the ability to exercise significant influence over the operating and financial policies of the investee. The carrying values of these investments are adjusted to reflect our proportionate share of the investee's net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382" w:right="239" w:bottom="1440" w:gutter="0" w:footer="0" w:header="0"/>
        </w:sectPr>
      </w:pPr>
    </w:p>
    <w:bookmarkStart w:id="11" w:name="page12"/>
    <w:bookmarkEnd w:id="11"/>
    <w:p>
      <w:pPr>
        <w:ind w:right="20"/>
        <w:spacing w:after="0" w:line="252" w:lineRule="auto"/>
        <w:rPr>
          <w:sz w:val="20"/>
          <w:szCs w:val="20"/>
          <w:color w:val="auto"/>
        </w:rPr>
      </w:pPr>
      <w:r>
        <w:rPr>
          <w:rFonts w:ascii="Arial" w:cs="Arial" w:eastAsia="Arial" w:hAnsi="Arial"/>
          <w:sz w:val="18"/>
          <w:szCs w:val="18"/>
          <w:color w:val="auto"/>
        </w:rPr>
        <w:t>income or loss, any unrealized gain or loss resulting from the translation of foreign-denominated financial statements into U.S. dollars, and dividends received. Our proportionate share of income or loss is included in non-operating income in our unaudited condensed consolidated statements of income. As permitted under existing accounting guidance, we adopted a policy by which we recognize our share of UTI Asset Management Company Limited’s (UTI) earnings on a quarter lag as current financial information is not available in a timely manner. The basis difference between our carrying value and our proportionate share of UTI’s book value is primarily related to consideration paid in excess of the stepped-up basis of assets and liabilities on the date of purchase.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Comprehensive income.</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components of comprehensive income are presented in a separate statement following our unaudited condensed consolidated statements of income and include net income, the change in our currency translation adjustments, and prior to 2018, the change in net unrealized security holding gains (losses) on investments classified as available-for-sale. The currency translation adjustments result from translating our proportionate share of the financial statements of UTI, our equity method investment, and certain consolidated T. Rowe Price investment products into U.S. dollars. Assets and liabilities are translated into U.S. dollars using year-end exchange rates, and revenues and expenses are translated using weighted-average exchange rates for the period.</w:t>
      </w:r>
    </w:p>
    <w:p>
      <w:pPr>
        <w:spacing w:after="0" w:line="20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changes in accumulated balances of each component of other comprehensive income, the deferred tax impacts of each component, and information about significant items reclassified out of accumulated other comprehensive income are presented in the notes to the financial statements. The notes also indicate the line item of our unaudited condensed consolidated statements of income to which the significant reclassifications were recognized.</w:t>
      </w:r>
    </w:p>
    <w:p>
      <w:pPr>
        <w:spacing w:after="0" w:line="20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reclassify income tax effects relating to currency translation adjustments to tax expense when there is a reduction in our ownership interest in the related investment. The amount of the reclassification depends on the investment’s accounting treatment before and after the change in ownership percentage. Prior to 2018, tax effects relating to each available-for-sale investment’s unrealized holding gain or loss, were reclassified upon the sale of the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00"/>
          </w:cols>
          <w:pgMar w:left="240" w:top="382"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during the three- and nine-month periods ended September 30, 2017 and 2018 under agreements with clients include: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9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gridSpan w:val="5"/>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rPr>
              <w:t>Three months ended 9/30/2017</w:t>
            </w:r>
          </w:p>
        </w:tc>
        <w:tc>
          <w:tcPr>
            <w:tcW w:w="2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gridSpan w:val="5"/>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Three months ended 9/30/2018</w:t>
            </w: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r>
      <w:tr>
        <w:trPr>
          <w:trHeight w:val="163"/>
        </w:trPr>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rPr>
              <w:t>Administrative, distribution, and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rPr>
              <w:t>Administrative, distribution, and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2"/>
        </w:trPr>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ind w:right="44"/>
              <w:spacing w:after="0"/>
              <w:rPr>
                <w:sz w:val="20"/>
                <w:szCs w:val="20"/>
                <w:color w:val="auto"/>
              </w:rPr>
            </w:pPr>
            <w:r>
              <w:rPr>
                <w:rFonts w:ascii="Arial" w:cs="Arial" w:eastAsia="Arial" w:hAnsi="Arial"/>
                <w:sz w:val="13"/>
                <w:szCs w:val="13"/>
                <w:b w:val="1"/>
                <w:bCs w:val="1"/>
                <w:color w:val="auto"/>
              </w:rPr>
              <w:t>servicing fees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ind w:right="44"/>
              <w:spacing w:after="0"/>
              <w:rPr>
                <w:sz w:val="20"/>
                <w:szCs w:val="20"/>
                <w:color w:val="auto"/>
              </w:rPr>
            </w:pPr>
            <w:r>
              <w:rPr>
                <w:rFonts w:ascii="Arial" w:cs="Arial" w:eastAsia="Arial" w:hAnsi="Arial"/>
                <w:sz w:val="13"/>
                <w:szCs w:val="13"/>
                <w:b w:val="1"/>
                <w:bCs w:val="1"/>
                <w:color w:val="auto"/>
              </w:rPr>
              <w:t>servicing fees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r>
      <w:tr>
        <w:trPr>
          <w:trHeight w:val="163"/>
        </w:trPr>
        <w:tc>
          <w:tcPr>
            <w:tcW w:w="1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Distribution</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8"/>
              </w:rPr>
              <w:t>Distribution</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49"/>
        </w:trPr>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Investment</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rPr>
              <w:t>Administrative</w:t>
            </w:r>
          </w:p>
        </w:tc>
        <w:tc>
          <w:tcPr>
            <w:tcW w:w="112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and servicing</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rPr>
              <w:t>Investment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Administrative</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rPr>
              <w:t>and servicing</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82"/>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advisory fees</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9"/>
              </w:rPr>
              <w:t>fees</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9"/>
              </w:rPr>
              <w:t>fees</w:t>
            </w:r>
          </w:p>
        </w:tc>
        <w:tc>
          <w:tcPr>
            <w:tcW w:w="1140" w:type="dxa"/>
            <w:vAlign w:val="bottom"/>
            <w:gridSpan w:val="3"/>
            <w:shd w:val="clear" w:color="auto" w:fill="CCEEFF"/>
          </w:tcPr>
          <w:p>
            <w:pPr>
              <w:ind w:left="100"/>
              <w:spacing w:after="0"/>
              <w:rPr>
                <w:sz w:val="20"/>
                <w:szCs w:val="20"/>
                <w:color w:val="auto"/>
              </w:rPr>
            </w:pPr>
            <w:r>
              <w:rPr>
                <w:rFonts w:ascii="Arial" w:cs="Arial" w:eastAsia="Arial" w:hAnsi="Arial"/>
                <w:sz w:val="13"/>
                <w:szCs w:val="13"/>
                <w:b w:val="1"/>
                <w:bCs w:val="1"/>
                <w:color w:val="auto"/>
              </w:rPr>
              <w:t>Net revenues</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rPr>
              <w:t>advisory fees</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fees</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fees</w:t>
            </w:r>
          </w:p>
        </w:tc>
        <w:tc>
          <w:tcPr>
            <w:tcW w:w="1020" w:type="dxa"/>
            <w:vAlign w:val="bottom"/>
            <w:gridSpan w:val="2"/>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Net revenues</w:t>
            </w:r>
          </w:p>
        </w:tc>
      </w:tr>
      <w:tr>
        <w:trPr>
          <w:trHeight w:val="246"/>
        </w:trPr>
        <w:tc>
          <w:tcPr>
            <w:tcW w:w="1960" w:type="dxa"/>
            <w:vAlign w:val="bottom"/>
          </w:tcPr>
          <w:p>
            <w:pPr>
              <w:ind w:left="40"/>
              <w:spacing w:after="0"/>
              <w:rPr>
                <w:sz w:val="20"/>
                <w:szCs w:val="20"/>
                <w:color w:val="auto"/>
              </w:rPr>
            </w:pPr>
            <w:r>
              <w:rPr>
                <w:rFonts w:ascii="Arial" w:cs="Arial" w:eastAsia="Arial" w:hAnsi="Arial"/>
                <w:sz w:val="16"/>
                <w:szCs w:val="16"/>
                <w:color w:val="auto"/>
              </w:rPr>
              <w:t>U.S. mutual funds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786.1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6"/>
                <w:szCs w:val="16"/>
                <w:color w:val="auto"/>
              </w:rPr>
              <w:t>83.2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906.7</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877.3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984.2</w:t>
            </w:r>
          </w:p>
        </w:tc>
      </w:tr>
      <w:tr>
        <w:trPr>
          <w:trHeight w:val="228"/>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Subadvised and separate</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189"/>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and other</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4"/>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products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312.8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386.0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386.0</w:t>
            </w:r>
          </w:p>
        </w:tc>
      </w:tr>
      <w:tr>
        <w:trPr>
          <w:trHeight w:val="264"/>
        </w:trPr>
        <w:tc>
          <w:tcPr>
            <w:tcW w:w="1960" w:type="dxa"/>
            <w:vAlign w:val="bottom"/>
          </w:tcPr>
          <w:p>
            <w:pPr>
              <w:ind w:left="4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24.4</w:t>
            </w:r>
          </w:p>
        </w:tc>
      </w:tr>
      <w:tr>
        <w:trPr>
          <w:trHeight w:val="237"/>
        </w:trPr>
        <w:tc>
          <w:tcPr>
            <w:tcW w:w="19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1,098.9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102.4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37.4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1,238.7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1,263.3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96.7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34.6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1,394.6</w:t>
            </w:r>
          </w:p>
        </w:tc>
      </w:tr>
      <w:tr>
        <w:trPr>
          <w:trHeight w:val="20"/>
        </w:trPr>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1"/>
        </w:trPr>
        <w:tc>
          <w:tcPr>
            <w:tcW w:w="19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64"/>
        </w:trPr>
        <w:tc>
          <w:tcPr>
            <w:tcW w:w="19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gridSpan w:val="5"/>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w w:val="99"/>
              </w:rPr>
              <w:t>Nine months ended 9/30/2017</w:t>
            </w:r>
          </w:p>
        </w:tc>
        <w:tc>
          <w:tcPr>
            <w:tcW w:w="2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gridSpan w:val="5"/>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Nine months ended 9/30/2018</w:t>
            </w: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r>
      <w:tr>
        <w:trPr>
          <w:trHeight w:val="163"/>
        </w:trPr>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rPr>
              <w:t>Administrative, distribution, and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rPr>
              <w:t>Administrative, distribution, and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2"/>
        </w:trPr>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ind w:right="44"/>
              <w:spacing w:after="0"/>
              <w:rPr>
                <w:sz w:val="20"/>
                <w:szCs w:val="20"/>
                <w:color w:val="auto"/>
              </w:rPr>
            </w:pPr>
            <w:r>
              <w:rPr>
                <w:rFonts w:ascii="Arial" w:cs="Arial" w:eastAsia="Arial" w:hAnsi="Arial"/>
                <w:sz w:val="13"/>
                <w:szCs w:val="13"/>
                <w:b w:val="1"/>
                <w:bCs w:val="1"/>
                <w:color w:val="auto"/>
              </w:rPr>
              <w:t>servicing fees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ind w:right="44"/>
              <w:spacing w:after="0"/>
              <w:rPr>
                <w:sz w:val="20"/>
                <w:szCs w:val="20"/>
                <w:color w:val="auto"/>
              </w:rPr>
            </w:pPr>
            <w:r>
              <w:rPr>
                <w:rFonts w:ascii="Arial" w:cs="Arial" w:eastAsia="Arial" w:hAnsi="Arial"/>
                <w:sz w:val="13"/>
                <w:szCs w:val="13"/>
                <w:b w:val="1"/>
                <w:bCs w:val="1"/>
                <w:color w:val="auto"/>
              </w:rPr>
              <w:t>servicing fees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r>
      <w:tr>
        <w:trPr>
          <w:trHeight w:val="163"/>
        </w:trPr>
        <w:tc>
          <w:tcPr>
            <w:tcW w:w="1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Distribution</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8"/>
              </w:rPr>
              <w:t>Distribution</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49"/>
        </w:trPr>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Investment</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rPr>
              <w:t>Administrative</w:t>
            </w:r>
          </w:p>
        </w:tc>
        <w:tc>
          <w:tcPr>
            <w:tcW w:w="112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and servicing</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rPr>
              <w:t>Investment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Administrative</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rPr>
              <w:t>and servicing</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82"/>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advisory fees</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9"/>
              </w:rPr>
              <w:t>fees</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9"/>
              </w:rPr>
              <w:t>fees</w:t>
            </w:r>
          </w:p>
        </w:tc>
        <w:tc>
          <w:tcPr>
            <w:tcW w:w="1140" w:type="dxa"/>
            <w:vAlign w:val="bottom"/>
            <w:gridSpan w:val="3"/>
            <w:shd w:val="clear" w:color="auto" w:fill="CCEEFF"/>
          </w:tcPr>
          <w:p>
            <w:pPr>
              <w:ind w:left="100"/>
              <w:spacing w:after="0"/>
              <w:rPr>
                <w:sz w:val="20"/>
                <w:szCs w:val="20"/>
                <w:color w:val="auto"/>
              </w:rPr>
            </w:pPr>
            <w:r>
              <w:rPr>
                <w:rFonts w:ascii="Arial" w:cs="Arial" w:eastAsia="Arial" w:hAnsi="Arial"/>
                <w:sz w:val="13"/>
                <w:szCs w:val="13"/>
                <w:b w:val="1"/>
                <w:bCs w:val="1"/>
                <w:color w:val="auto"/>
              </w:rPr>
              <w:t>Net revenues</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rPr>
              <w:t>advisory fees</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fees</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fees</w:t>
            </w:r>
          </w:p>
        </w:tc>
        <w:tc>
          <w:tcPr>
            <w:tcW w:w="1020" w:type="dxa"/>
            <w:vAlign w:val="bottom"/>
            <w:gridSpan w:val="2"/>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Net revenues</w:t>
            </w:r>
          </w:p>
        </w:tc>
      </w:tr>
      <w:tr>
        <w:trPr>
          <w:trHeight w:val="246"/>
        </w:trPr>
        <w:tc>
          <w:tcPr>
            <w:tcW w:w="1960" w:type="dxa"/>
            <w:vAlign w:val="bottom"/>
          </w:tcPr>
          <w:p>
            <w:pPr>
              <w:ind w:left="40"/>
              <w:spacing w:after="0"/>
              <w:rPr>
                <w:sz w:val="20"/>
                <w:szCs w:val="20"/>
                <w:color w:val="auto"/>
              </w:rPr>
            </w:pPr>
            <w:r>
              <w:rPr>
                <w:rFonts w:ascii="Arial" w:cs="Arial" w:eastAsia="Arial" w:hAnsi="Arial"/>
                <w:sz w:val="16"/>
                <w:szCs w:val="16"/>
                <w:color w:val="auto"/>
              </w:rPr>
              <w:t>U.S. mutual funds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2,259.9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6"/>
                <w:szCs w:val="16"/>
                <w:color w:val="auto"/>
              </w:rPr>
              <w:t>253.1</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109.0</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2,622.0</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2,557.1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6"/>
                <w:szCs w:val="16"/>
                <w:color w:val="auto"/>
              </w:rPr>
              <w:t>228.5</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106.7</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2,892.3</w:t>
            </w:r>
          </w:p>
        </w:tc>
      </w:tr>
      <w:tr>
        <w:trPr>
          <w:trHeight w:val="228"/>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Subadvised and separate</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189"/>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and other</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4"/>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products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877.7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1,109.8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1,109.8</w:t>
            </w:r>
          </w:p>
        </w:tc>
      </w:tr>
      <w:tr>
        <w:trPr>
          <w:trHeight w:val="264"/>
        </w:trPr>
        <w:tc>
          <w:tcPr>
            <w:tcW w:w="1960" w:type="dxa"/>
            <w:vAlign w:val="bottom"/>
          </w:tcPr>
          <w:p>
            <w:pPr>
              <w:ind w:left="4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65.5</w:t>
            </w:r>
          </w:p>
        </w:tc>
      </w:tr>
      <w:tr>
        <w:trPr>
          <w:trHeight w:val="237"/>
        </w:trPr>
        <w:tc>
          <w:tcPr>
            <w:tcW w:w="19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3,137.6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310.7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109.0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3,557.3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3,666.9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294.0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106.7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4,067.6</w:t>
            </w:r>
          </w:p>
        </w:tc>
      </w:tr>
      <w:tr>
        <w:trPr>
          <w:trHeight w:val="20"/>
        </w:trPr>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investment advisory fees earned from clients by their underlying asset class.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140" w:type="dxa"/>
            <w:vAlign w:val="bottom"/>
            <w:gridSpan w:val="5"/>
            <w:shd w:val="clear" w:color="auto" w:fill="CCEEFF"/>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shd w:val="clear" w:color="auto" w:fill="CCEEFF"/>
          </w:tcPr>
          <w:p>
            <w:pPr>
              <w:spacing w:after="0"/>
              <w:rPr>
                <w:sz w:val="22"/>
                <w:szCs w:val="22"/>
                <w:color w:val="auto"/>
              </w:rPr>
            </w:pPr>
          </w:p>
        </w:tc>
        <w:tc>
          <w:tcPr>
            <w:tcW w:w="2020" w:type="dxa"/>
            <w:vAlign w:val="bottom"/>
            <w:gridSpan w:val="4"/>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9/30/2017</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9/30/2018</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9/30/2017</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9/30/2018</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mutual funds</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3"/>
        </w:trPr>
        <w:tc>
          <w:tcPr>
            <w:tcW w:w="6940" w:type="dxa"/>
            <w:vAlign w:val="bottom"/>
          </w:tcPr>
          <w:p>
            <w:pPr>
              <w:ind w:left="280"/>
              <w:spacing w:after="0"/>
              <w:rPr>
                <w:sz w:val="20"/>
                <w:szCs w:val="20"/>
                <w:color w:val="auto"/>
              </w:rPr>
            </w:pPr>
            <w:r>
              <w:rPr>
                <w:rFonts w:ascii="Arial" w:cs="Arial" w:eastAsia="Arial" w:hAnsi="Arial"/>
                <w:sz w:val="18"/>
                <w:szCs w:val="18"/>
                <w:color w:val="auto"/>
              </w:rPr>
              <w:t>Equity and blended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657.0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745.5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1,880.1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2,169.0</w:t>
            </w:r>
          </w:p>
        </w:tc>
      </w:tr>
      <w:tr>
        <w:trPr>
          <w:trHeight w:val="277"/>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Fixed income, including money market</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388.1</w:t>
            </w:r>
          </w:p>
        </w:tc>
      </w:tr>
      <w:tr>
        <w:trPr>
          <w:trHeight w:val="244"/>
        </w:trPr>
        <w:tc>
          <w:tcPr>
            <w:tcW w:w="69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786.1</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877.3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2,259.9</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2,557.1</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Subadvised and separate accounts and other investment products</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3"/>
        </w:trPr>
        <w:tc>
          <w:tcPr>
            <w:tcW w:w="6940" w:type="dxa"/>
            <w:vAlign w:val="bottom"/>
          </w:tcPr>
          <w:p>
            <w:pPr>
              <w:ind w:left="280"/>
              <w:spacing w:after="0"/>
              <w:rPr>
                <w:sz w:val="20"/>
                <w:szCs w:val="20"/>
                <w:color w:val="auto"/>
              </w:rPr>
            </w:pPr>
            <w:r>
              <w:rPr>
                <w:rFonts w:ascii="Arial" w:cs="Arial" w:eastAsia="Arial" w:hAnsi="Arial"/>
                <w:sz w:val="18"/>
                <w:szCs w:val="18"/>
                <w:color w:val="auto"/>
              </w:rPr>
              <w:t>Equity and blended assets</w:t>
            </w:r>
          </w:p>
        </w:tc>
        <w:tc>
          <w:tcPr>
            <w:tcW w:w="160" w:type="dxa"/>
            <w:vAlign w:val="bottom"/>
          </w:tcPr>
          <w:p>
            <w:pPr>
              <w:spacing w:after="0"/>
              <w:rPr>
                <w:sz w:val="22"/>
                <w:szCs w:val="22"/>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259.6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326.0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727.8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931.0</w:t>
            </w:r>
          </w:p>
        </w:tc>
      </w:tr>
      <w:tr>
        <w:trPr>
          <w:trHeight w:val="277"/>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Fixed income, including money market</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178.8</w:t>
            </w:r>
          </w:p>
        </w:tc>
      </w:tr>
      <w:tr>
        <w:trPr>
          <w:trHeight w:val="244"/>
        </w:trPr>
        <w:tc>
          <w:tcPr>
            <w:tcW w:w="69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312.8</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386.0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877.7</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1,109.8</w:t>
            </w:r>
          </w:p>
        </w:tc>
      </w:tr>
      <w:tr>
        <w:trPr>
          <w:trHeight w:val="257"/>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1,098.9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1,263.3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3,137.6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3,666.9</w:t>
            </w: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59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summarizes the investment portfolios and assets under management on which we earn investment advisory fees.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120" w:type="dxa"/>
            <w:vAlign w:val="bottom"/>
            <w:gridSpan w:val="5"/>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Average during</w:t>
            </w:r>
          </w:p>
        </w:tc>
        <w:tc>
          <w:tcPr>
            <w:tcW w:w="160" w:type="dxa"/>
            <w:vAlign w:val="bottom"/>
            <w:shd w:val="clear" w:color="auto" w:fill="CCEEFF"/>
          </w:tcPr>
          <w:p>
            <w:pPr>
              <w:spacing w:after="0"/>
              <w:rPr>
                <w:sz w:val="23"/>
                <w:szCs w:val="23"/>
                <w:color w:val="auto"/>
              </w:rPr>
            </w:pPr>
          </w:p>
        </w:tc>
        <w:tc>
          <w:tcPr>
            <w:tcW w:w="2140" w:type="dxa"/>
            <w:vAlign w:val="bottom"/>
            <w:gridSpan w:val="5"/>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Average during</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4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2"/>
                <w:szCs w:val="22"/>
                <w:color w:val="auto"/>
              </w:rPr>
            </w:pPr>
          </w:p>
        </w:tc>
        <w:tc>
          <w:tcPr>
            <w:tcW w:w="21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22"/>
                <w:szCs w:val="22"/>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860" w:type="dxa"/>
            <w:vAlign w:val="bottom"/>
          </w:tcPr>
          <w:p>
            <w:pPr>
              <w:spacing w:after="0"/>
              <w:rPr>
                <w:sz w:val="22"/>
                <w:szCs w:val="22"/>
                <w:color w:val="auto"/>
              </w:rPr>
            </w:pPr>
          </w:p>
        </w:tc>
      </w:tr>
      <w:tr>
        <w:trPr>
          <w:trHeight w:val="270"/>
        </w:trPr>
        <w:tc>
          <w:tcPr>
            <w:tcW w:w="4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 billions)</w:t>
            </w: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8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9/30/2018</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9/30/2018</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90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b w:val="1"/>
                <w:bCs w:val="1"/>
                <w:color w:val="auto"/>
              </w:rPr>
              <w:t>12/31/2017</w:t>
            </w:r>
          </w:p>
        </w:tc>
        <w:tc>
          <w:tcPr>
            <w:tcW w:w="10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8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9/30/2018</w:t>
            </w: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U.S. mutual funds</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7"/>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Equity and blended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515.1</w:t>
            </w:r>
          </w:p>
        </w:tc>
      </w:tr>
      <w:tr>
        <w:trPr>
          <w:trHeight w:val="264"/>
        </w:trPr>
        <w:tc>
          <w:tcPr>
            <w:tcW w:w="4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123.2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119.6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129.7</w:t>
            </w:r>
          </w:p>
        </w:tc>
      </w:tr>
      <w:tr>
        <w:trPr>
          <w:trHeight w:val="257"/>
        </w:trPr>
        <w:tc>
          <w:tcPr>
            <w:tcW w:w="46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576.1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641.5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557.8</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629.4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606.3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644.8</w:t>
            </w:r>
          </w:p>
        </w:tc>
      </w:tr>
      <w:tr>
        <w:trPr>
          <w:trHeight w:val="209"/>
        </w:trPr>
        <w:tc>
          <w:tcPr>
            <w:tcW w:w="4620" w:type="dxa"/>
            <w:vAlign w:val="bottom"/>
          </w:tcPr>
          <w:p>
            <w:pPr>
              <w:ind w:left="40"/>
              <w:spacing w:after="0"/>
              <w:rPr>
                <w:sz w:val="20"/>
                <w:szCs w:val="20"/>
                <w:color w:val="auto"/>
              </w:rPr>
            </w:pPr>
            <w:r>
              <w:rPr>
                <w:rFonts w:ascii="Arial" w:cs="Arial" w:eastAsia="Arial" w:hAnsi="Arial"/>
                <w:sz w:val="18"/>
                <w:szCs w:val="18"/>
                <w:color w:val="auto"/>
              </w:rPr>
              <w:t>Subadvised and separate accounts and other investment</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4"/>
        </w:trPr>
        <w:tc>
          <w:tcPr>
            <w:tcW w:w="4620" w:type="dxa"/>
            <w:vAlign w:val="bottom"/>
          </w:tcPr>
          <w:p>
            <w:pPr>
              <w:ind w:left="40"/>
              <w:spacing w:after="0"/>
              <w:rPr>
                <w:sz w:val="20"/>
                <w:szCs w:val="20"/>
                <w:color w:val="auto"/>
              </w:rPr>
            </w:pPr>
            <w:r>
              <w:rPr>
                <w:rFonts w:ascii="Arial" w:cs="Arial" w:eastAsia="Arial" w:hAnsi="Arial"/>
                <w:sz w:val="18"/>
                <w:szCs w:val="18"/>
                <w:color w:val="auto"/>
              </w:rPr>
              <w:t>products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7"/>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Equity and blended assets</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264.6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338.8</w:t>
            </w:r>
          </w:p>
        </w:tc>
      </w:tr>
      <w:tr>
        <w:trPr>
          <w:trHeight w:val="264"/>
        </w:trPr>
        <w:tc>
          <w:tcPr>
            <w:tcW w:w="4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100.2</w:t>
            </w:r>
          </w:p>
        </w:tc>
      </w:tr>
      <w:tr>
        <w:trPr>
          <w:trHeight w:val="250"/>
        </w:trPr>
        <w:tc>
          <w:tcPr>
            <w:tcW w:w="46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351.3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430.9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328.5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415.6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384.8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439.0</w:t>
            </w: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927.4</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1,072.4</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886.3</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1,045.0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991.1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1,083.8</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5.8% and 6.0% of our assets under management at December 31, 2017, and September 30, 2018, respectively.</w:t>
      </w:r>
    </w:p>
    <w:p>
      <w:pPr>
        <w:spacing w:after="0" w:line="1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Total net revenues earned from T. Rowe Price investment products aggregate $1,031.8 million and $ 1,151.5 million for the three months ended September 30, 2017 and 2018, respectively. Fees earned during the nine months ended September 30, 2017 and 2018 total $2,961.8 million and $3,366.9 million, respectively. Accounts receivable from these products aggregate to $371.9 million at December 31, 2017, and $380.6 million at September 30,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NOTE 3 –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our investments that are not part of the consolidated T. Rowe Price investment products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12/31/2017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9/30/2018</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Investments held at fair value</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T. Rowe Price investment products </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692.1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1,344.2</w:t>
            </w: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rPr>
              <w:t>T. Rowe Price investment products designated as an economic hedge of supplemental savings plan</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834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26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294.6</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partnerships and other investments</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97.2</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Equity method investments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277.4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514.2</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2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158.6</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U.S. Treasury note</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8890</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5" w:lineRule="exact"/>
        <w:rPr>
          <w:sz w:val="20"/>
          <w:szCs w:val="20"/>
          <w:color w:val="auto"/>
        </w:rPr>
      </w:pPr>
    </w:p>
    <w:p>
      <w:pPr>
        <w:ind w:left="180" w:right="700" w:hanging="172"/>
        <w:spacing w:after="0" w:line="264" w:lineRule="auto"/>
        <w:tabs>
          <w:tab w:leader="none" w:pos="177" w:val="left"/>
        </w:tabs>
        <w:numPr>
          <w:ilvl w:val="0"/>
          <w:numId w:val="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$597.1 million of investments at December 31, 2017, that were previously reported as available-for-sale investments prior to the adoption of the new financial instruments guidance on January 1, 2018. Refer to Note 1 for more information.</w:t>
      </w:r>
    </w:p>
    <w:p>
      <w:pPr>
        <w:ind w:left="180" w:right="180" w:hanging="172"/>
        <w:spacing w:after="0" w:line="227" w:lineRule="auto"/>
        <w:tabs>
          <w:tab w:leader="none" w:pos="168" w:val="left"/>
        </w:tabs>
        <w:numPr>
          <w:ilvl w:val="0"/>
          <w:numId w:val="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These investments at December 31, 2017, were carried at cost. Upon adoption of new financial guidance on January 1, 2018, these investments are carried at fair value using NAV per share as a practical expedient. Refer to Note 1 for more information.</w:t>
      </w:r>
    </w:p>
    <w:p>
      <w:pPr>
        <w:spacing w:after="0" w:line="147"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The investment partnerships are carried at fair value using NAV per share as a practical expedient. Our interests in these partnerships are generally not redeemable and are subject to significant restrictions on transferability.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204"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During the three- and nine-month periods ended September 30, 2018, we recognized in net gains on investments $11.3 million and $17.4 million, respectively, of net unrealized gains on investments held at fair value that were still</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598" w:right="239" w:bottom="1440" w:gutter="0" w:footer="0" w:header="0"/>
        </w:sectPr>
      </w:pPr>
    </w:p>
    <w:bookmarkStart w:id="14" w:name="page15"/>
    <w:bookmarkEnd w:id="14"/>
    <w:p>
      <w:pPr>
        <w:ind w:right="220"/>
        <w:spacing w:after="0" w:line="262" w:lineRule="auto"/>
        <w:rPr>
          <w:sz w:val="20"/>
          <w:szCs w:val="20"/>
          <w:color w:val="auto"/>
        </w:rPr>
      </w:pPr>
      <w:r>
        <w:rPr>
          <w:rFonts w:ascii="Arial" w:cs="Arial" w:eastAsia="Arial" w:hAnsi="Arial"/>
          <w:sz w:val="18"/>
          <w:szCs w:val="18"/>
          <w:color w:val="auto"/>
        </w:rPr>
        <w:t>held at September 30, 2018. For the three- and nine-month periods ended September 30, 2017, the majority of unrealized gains or losses on investments held at fair value are included and presented with other comprehensive income.</w:t>
      </w:r>
    </w:p>
    <w:p>
      <w:pPr>
        <w:spacing w:after="0" w:line="196"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During the nine month periods ended September 30, 2017 and September 30, 2018, certain T. Rowe Price investment products in which we provided initial seed capital at the time of formation were deconsolidated, as we no longer had a controlling interest. Depending on our ownership interest, we are now reporting our residual interests in these T. Rowe Price investment products as either an equity method investment or an investment held at fair value. Additionally, during the nine month periods ended September 30, 2017 and September 30, 2018, certain T. Rowe Price investment products that were being accounted for as equity method investments were consolidated, as we regained a controlling interest. The net impact of these changes on our unaudited condensed consolidated balance sheets and statements of income as of the dates the portfolios were deconsolidated or reconsolidated is detailed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gridSpan w:val="5"/>
            <w:shd w:val="clear" w:color="auto" w:fill="CCEEFF"/>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tcBorders>
            <w:gridSpan w:val="4"/>
            <w:shd w:val="clear" w:color="auto" w:fill="CCEEFF"/>
          </w:tcPr>
          <w:p>
            <w:pPr>
              <w:jc w:val="right"/>
              <w:ind w:right="554"/>
              <w:spacing w:after="0"/>
              <w:rPr>
                <w:sz w:val="20"/>
                <w:szCs w:val="20"/>
                <w:color w:val="auto"/>
              </w:rPr>
            </w:pPr>
            <w:r>
              <w:rPr>
                <w:rFonts w:ascii="Arial" w:cs="Arial" w:eastAsia="Arial" w:hAnsi="Arial"/>
                <w:sz w:val="14"/>
                <w:szCs w:val="14"/>
                <w:b w:val="1"/>
                <w:bCs w:val="1"/>
                <w:color w:val="auto"/>
              </w:rPr>
              <w:t>Nine months ended</w:t>
            </w:r>
          </w:p>
        </w:tc>
      </w:tr>
      <w:tr>
        <w:trPr>
          <w:trHeight w:val="258"/>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9/30/2018</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9/30/2018</w:t>
            </w:r>
          </w:p>
        </w:tc>
      </w:tr>
      <w:tr>
        <w:trPr>
          <w:trHeight w:val="21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assets of consolidated T. Rowe Price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products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w:t>
            </w:r>
          </w:p>
        </w:tc>
      </w:tr>
      <w:tr>
        <w:trPr>
          <w:trHeight w:val="229"/>
        </w:trPr>
        <w:tc>
          <w:tcPr>
            <w:tcW w:w="6020" w:type="dxa"/>
            <w:vAlign w:val="bottom"/>
          </w:tcPr>
          <w:p>
            <w:pPr>
              <w:ind w:left="40"/>
              <w:spacing w:after="0"/>
              <w:rPr>
                <w:sz w:val="20"/>
                <w:szCs w:val="20"/>
                <w:color w:val="auto"/>
              </w:rPr>
            </w:pPr>
            <w:r>
              <w:rPr>
                <w:rFonts w:ascii="Arial" w:cs="Arial" w:eastAsia="Arial" w:hAnsi="Arial"/>
                <w:sz w:val="18"/>
                <w:szCs w:val="18"/>
                <w:color w:val="auto"/>
              </w:rPr>
              <w:t>Net increase (decrease) in liabilities of consolidated T. Rowe Price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4"/>
        </w:trPr>
        <w:tc>
          <w:tcPr>
            <w:tcW w:w="6020" w:type="dxa"/>
            <w:vAlign w:val="bottom"/>
          </w:tcPr>
          <w:p>
            <w:pPr>
              <w:ind w:left="40"/>
              <w:spacing w:after="0"/>
              <w:rPr>
                <w:sz w:val="20"/>
                <w:szCs w:val="20"/>
                <w:color w:val="auto"/>
              </w:rPr>
            </w:pPr>
            <w:r>
              <w:rPr>
                <w:rFonts w:ascii="Arial" w:cs="Arial" w:eastAsia="Arial" w:hAnsi="Arial"/>
                <w:sz w:val="18"/>
                <w:szCs w:val="18"/>
                <w:color w:val="auto"/>
              </w:rPr>
              <w:t>investment products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17.9</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redeemable non-controlling interests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r>
      <w:tr>
        <w:trPr>
          <w:trHeight w:val="284"/>
        </w:trPr>
        <w:tc>
          <w:tcPr>
            <w:tcW w:w="6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Gains (losses) recognized upon deconsolidation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r>
    </w:tbl>
    <w:p>
      <w:pPr>
        <w:spacing w:after="0" w:line="21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gains or losses recognized upon deconsolidation were the result of reclassifying currency translation adjustments accumulated on certain T. Rowe Price investment products with non-USD functional currencies from accumulated other comprehensive income to non-operating income.</w:t>
      </w:r>
    </w:p>
    <w:p>
      <w:pPr>
        <w:spacing w:after="0" w:line="202"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During the third quarter of 2018, we sold our 10% holding in Daiwa SB Investments Ltd. The realized gain is recognized in net gains on investments on our unaudited condensed consolidated statement of income and represents the majority of the increase over the prior year periods.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VARIABLE INTEREST ENTITIES.</w:t>
      </w:r>
    </w:p>
    <w:p>
      <w:pPr>
        <w:spacing w:after="0" w:line="22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investments at December 31, 2017 and September 30, 2018, include interests in variable interest entities that we do not consolidate as we are not deemed the primary beneficiary. Our maximum risk of loss related to our involvement with these entities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12/31/2017</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4"/>
                <w:szCs w:val="14"/>
                <w:b w:val="1"/>
                <w:bCs w:val="1"/>
                <w:color w:val="auto"/>
              </w:rPr>
              <w:t>9/30/2018</w:t>
            </w:r>
          </w:p>
        </w:tc>
      </w:tr>
      <w:tr>
        <w:trPr>
          <w:trHeight w:val="249"/>
        </w:trPr>
        <w:tc>
          <w:tcPr>
            <w:tcW w:w="8780" w:type="dxa"/>
            <w:vAlign w:val="bottom"/>
          </w:tcPr>
          <w:p>
            <w:pPr>
              <w:ind w:left="40"/>
              <w:spacing w:after="0"/>
              <w:rPr>
                <w:sz w:val="20"/>
                <w:szCs w:val="20"/>
                <w:color w:val="auto"/>
              </w:rPr>
            </w:pPr>
            <w:r>
              <w:rPr>
                <w:rFonts w:ascii="Arial" w:cs="Arial" w:eastAsia="Arial" w:hAnsi="Arial"/>
                <w:sz w:val="18"/>
                <w:szCs w:val="18"/>
                <w:color w:val="auto"/>
              </w:rPr>
              <w:t>Investment carrying values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136.1</w:t>
            </w:r>
          </w:p>
        </w:tc>
      </w:tr>
      <w:tr>
        <w:trPr>
          <w:trHeight w:val="27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Unfunded capital commitments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30.6</w:t>
            </w:r>
          </w:p>
        </w:tc>
      </w:tr>
      <w:tr>
        <w:trPr>
          <w:trHeight w:val="26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Uncollected investment advisory and administrative fees</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10.7</w:t>
            </w:r>
          </w:p>
        </w:tc>
      </w:tr>
      <w:tr>
        <w:trPr>
          <w:trHeight w:val="250"/>
        </w:trPr>
        <w:tc>
          <w:tcPr>
            <w:tcW w:w="8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177.4</w:t>
            </w:r>
          </w:p>
        </w:tc>
      </w:tr>
      <w:tr>
        <w:trPr>
          <w:trHeight w:val="20"/>
        </w:trPr>
        <w:tc>
          <w:tcPr>
            <w:tcW w:w="8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unfunded capital commitments totaling $38.8 million and $30.6 million at December 31, 2017 and September 30, 2018, respectively, relate primarily to the investment partnerships in which we have an existing investment. In addition to such amounts, a percentage of prior distributions may be called under certain circumstances.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4 – FAIR VALUE MEASUREMENTS.</w:t>
      </w:r>
    </w:p>
    <w:p>
      <w:pPr>
        <w:spacing w:after="0" w:line="22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We determine the fair value of our cash equivalents and certain investments using the following broad levels of inputs as defined by related accounting standards: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598" w:right="239" w:bottom="1440" w:gutter="0" w:footer="0" w:header="0"/>
        </w:sectPr>
      </w:pPr>
    </w:p>
    <w:bookmarkStart w:id="15" w:name="page16"/>
    <w:bookmarkEnd w:id="15"/>
    <w:p>
      <w:pPr>
        <w:ind w:left="1460" w:right="2640" w:hanging="728"/>
        <w:spacing w:after="0" w:line="250" w:lineRule="auto"/>
        <w:rPr>
          <w:sz w:val="20"/>
          <w:szCs w:val="20"/>
          <w:color w:val="auto"/>
        </w:rPr>
      </w:pPr>
      <w:r>
        <w:rPr>
          <w:rFonts w:ascii="Arial" w:cs="Arial" w:eastAsia="Arial" w:hAnsi="Arial"/>
          <w:sz w:val="18"/>
          <w:szCs w:val="18"/>
          <w:color w:val="auto"/>
        </w:rPr>
        <w:t>securities, interest rates, prepayment speeds, and credit risk. These inputs are based on market data obtained from independent sources.</w:t>
      </w:r>
    </w:p>
    <w:p>
      <w:pPr>
        <w:spacing w:after="0" w:line="1" w:lineRule="exact"/>
        <w:rPr>
          <w:sz w:val="20"/>
          <w:szCs w:val="20"/>
          <w:color w:val="auto"/>
        </w:rPr>
      </w:pPr>
    </w:p>
    <w:p>
      <w:pPr>
        <w:ind w:left="1460" w:right="2380" w:hanging="1458"/>
        <w:spacing w:after="0" w:line="262"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14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that are recognized in our unaudited condensed consolidated balance sheets using fair value measurements determined based on the differing levels of inputs. This table excludes investments held by consolidated T. Rowe Price investment products which are presented separately on our unaudited condensed consolidated balance sheets and are detailed in Note 5.</w:t>
      </w:r>
    </w:p>
    <w:p>
      <w:pPr>
        <w:spacing w:after="0" w:line="124" w:lineRule="exact"/>
        <w:rPr>
          <w:sz w:val="20"/>
          <w:szCs w:val="20"/>
          <w:color w:val="auto"/>
        </w:rPr>
      </w:pPr>
    </w:p>
    <w:tbl>
      <w:tblPr>
        <w:tblLayout w:type="fixed"/>
        <w:tblInd w:w="180" w:type="dxa"/>
        <w:tblCellMar>
          <w:top w:w="0" w:type="dxa"/>
          <w:left w:w="0" w:type="dxa"/>
          <w:bottom w:w="0" w:type="dxa"/>
          <w:right w:w="0" w:type="dxa"/>
        </w:tblCellMar>
      </w:tblPr>
      <w:tr>
        <w:trPr>
          <w:trHeight w:val="264"/>
        </w:trPr>
        <w:tc>
          <w:tcPr>
            <w:tcW w:w="63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12/31/17</w:t>
            </w:r>
          </w:p>
        </w:tc>
        <w:tc>
          <w:tcPr>
            <w:tcW w:w="8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9/30/18</w:t>
            </w:r>
          </w:p>
        </w:tc>
        <w:tc>
          <w:tcPr>
            <w:tcW w:w="880" w:type="dxa"/>
            <w:vAlign w:val="bottom"/>
            <w:tcBorders>
              <w:bottom w:val="single" w:sz="8" w:color="auto"/>
            </w:tcBorders>
            <w:shd w:val="clear" w:color="auto" w:fill="CCEEFF"/>
          </w:tcPr>
          <w:p>
            <w:pPr>
              <w:spacing w:after="0"/>
              <w:rPr>
                <w:sz w:val="22"/>
                <w:szCs w:val="22"/>
                <w:color w:val="auto"/>
              </w:rPr>
            </w:pPr>
          </w:p>
        </w:tc>
      </w:tr>
      <w:tr>
        <w:trPr>
          <w:trHeight w:val="26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Level 2</w:t>
            </w:r>
          </w:p>
        </w:tc>
      </w:tr>
      <w:tr>
        <w:trPr>
          <w:trHeight w:val="25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 held in T. Rowe Price money market funds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1,726.4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1,747.9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 Rowe Price investment products</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942.9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1,618.9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19.9</w:t>
            </w: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2,669.3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3,366.8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8890</wp:posOffset>
            </wp:positionV>
            <wp:extent cx="3087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5" w:lineRule="exact"/>
        <w:rPr>
          <w:sz w:val="20"/>
          <w:szCs w:val="20"/>
          <w:color w:val="auto"/>
        </w:rPr>
      </w:pPr>
    </w:p>
    <w:p>
      <w:pPr>
        <w:ind w:left="180" w:right="200" w:hanging="172"/>
        <w:spacing w:after="0" w:line="291" w:lineRule="auto"/>
        <w:tabs>
          <w:tab w:leader="none" w:pos="177" w:val="left"/>
        </w:tabs>
        <w:numPr>
          <w:ilvl w:val="0"/>
          <w:numId w:val="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$597.1 million of investments at December 31, 2017 that were previously reported as available-for sale investments prior to the adoption of new financial instruments guidance on January 1, 2018. Refer to Note 1 for more information.</w:t>
      </w:r>
    </w:p>
    <w:p>
      <w:pPr>
        <w:spacing w:after="0" w:line="183" w:lineRule="exact"/>
        <w:rPr>
          <w:sz w:val="20"/>
          <w:szCs w:val="20"/>
          <w:color w:val="auto"/>
        </w:rPr>
      </w:pPr>
    </w:p>
    <w:p>
      <w:pPr>
        <w:jc w:val="both"/>
        <w:ind w:right="200"/>
        <w:spacing w:after="0" w:line="291" w:lineRule="auto"/>
        <w:rPr>
          <w:sz w:val="20"/>
          <w:szCs w:val="20"/>
          <w:color w:val="auto"/>
        </w:rPr>
      </w:pPr>
      <w:r>
        <w:rPr>
          <w:rFonts w:ascii="Arial" w:cs="Arial" w:eastAsia="Arial" w:hAnsi="Arial"/>
          <w:sz w:val="17"/>
          <w:szCs w:val="17"/>
          <w:color w:val="auto"/>
        </w:rPr>
        <w:t>At September 30, 2018, the reported investments held at fair value in Note 3 include $ 97.2 million of investments that are carried at fair value using the NAV per share as a practical expedient. These investments are not required to be included in the fair value hierarchy levels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NOTE 5 – CONSOLIDATED T. ROWE PRICE INVESTMENT PRODUCTS.</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T. Rowe Price investment products that we consolidate in our unaudited condensed consolidated financial statements are generally those products we provided initial seed capital at the time of their formation and have a controlling interest. Our U.S. mutual funds are considered voting interest entities, while those regulated outside the U.S. are considered variable interest entities.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T. Rowe Price investment products: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6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center"/>
              <w:ind w:right="36"/>
              <w:spacing w:after="0"/>
              <w:rPr>
                <w:sz w:val="20"/>
                <w:szCs w:val="20"/>
                <w:color w:val="auto"/>
              </w:rPr>
            </w:pPr>
            <w:r>
              <w:rPr>
                <w:rFonts w:ascii="Arial" w:cs="Arial" w:eastAsia="Arial" w:hAnsi="Arial"/>
                <w:sz w:val="14"/>
                <w:szCs w:val="14"/>
                <w:b w:val="1"/>
                <w:bCs w:val="1"/>
                <w:color w:val="auto"/>
              </w:rPr>
              <w:t>12/31/2017</w:t>
            </w: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9/30/2018</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r>
      <w:tr>
        <w:trPr>
          <w:trHeight w:val="175"/>
        </w:trPr>
        <w:tc>
          <w:tcPr>
            <w:tcW w:w="4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Variable</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Variable</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2"/>
        </w:trPr>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6"/>
        </w:trPr>
        <w:tc>
          <w:tcPr>
            <w:tcW w:w="46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entities</w:t>
            </w: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2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20" w:type="dxa"/>
            <w:vAlign w:val="bottom"/>
          </w:tcPr>
          <w:p>
            <w:pPr>
              <w:spacing w:after="0"/>
              <w:rPr>
                <w:sz w:val="17"/>
                <w:szCs w:val="17"/>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256"/>
        </w:trPr>
        <w:tc>
          <w:tcPr>
            <w:tcW w:w="4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21"/>
                <w:szCs w:val="21"/>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96.0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103.1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87.8</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105.7</w:t>
            </w: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Investments</w:t>
            </w:r>
            <w:r>
              <w:rPr>
                <w:rFonts w:ascii="Arial" w:cs="Arial" w:eastAsia="Arial" w:hAnsi="Arial"/>
                <w:sz w:val="21"/>
                <w:szCs w:val="21"/>
                <w:color w:val="auto"/>
                <w:vertAlign w:val="superscript"/>
              </w:rPr>
              <w:t>(2)</w:t>
            </w:r>
          </w:p>
        </w:tc>
        <w:tc>
          <w:tcPr>
            <w:tcW w:w="200" w:type="dxa"/>
            <w:vAlign w:val="bottom"/>
          </w:tcPr>
          <w:p>
            <w:pPr>
              <w:spacing w:after="0"/>
              <w:rPr>
                <w:sz w:val="23"/>
                <w:szCs w:val="23"/>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1,725.7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1,914.5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277.4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1,504.1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1,781.5</w:t>
            </w:r>
          </w:p>
        </w:tc>
      </w:tr>
      <w:tr>
        <w:trPr>
          <w:trHeight w:val="264"/>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30.6</w:t>
            </w:r>
          </w:p>
        </w:tc>
      </w:tr>
      <w:tr>
        <w:trPr>
          <w:trHeight w:val="250"/>
        </w:trPr>
        <w:tc>
          <w:tcPr>
            <w:tcW w:w="46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1,839.6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2,048.4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304.0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1,613.8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1,917.8</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74.7</w:t>
            </w:r>
          </w:p>
        </w:tc>
      </w:tr>
      <w:tr>
        <w:trPr>
          <w:trHeight w:val="297"/>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1,800.1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1,992.5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290.3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1,552.8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1,843.1</w:t>
            </w:r>
          </w:p>
        </w:tc>
      </w:tr>
      <w:tr>
        <w:trPr>
          <w:trHeight w:val="305"/>
        </w:trPr>
        <w:tc>
          <w:tcPr>
            <w:tcW w:w="46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Attributable to T. Rowe Price Group</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868.1</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999.7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190.9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791.6</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982.5</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932.0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992.8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761.2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860.6</w:t>
            </w:r>
          </w:p>
        </w:tc>
      </w:tr>
      <w:tr>
        <w:trPr>
          <w:trHeight w:val="243"/>
        </w:trPr>
        <w:tc>
          <w:tcPr>
            <w:tcW w:w="46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1,800.1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1,992.5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290.3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1,552.8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1,843.1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8890</wp:posOffset>
            </wp:positionV>
            <wp:extent cx="430530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05300" cy="26035"/>
                    </a:xfrm>
                    <a:prstGeom prst="rect">
                      <a:avLst/>
                    </a:prstGeom>
                    <a:noFill/>
                  </pic:spPr>
                </pic:pic>
              </a:graphicData>
            </a:graphic>
          </wp:anchor>
        </w:drawing>
      </w:r>
    </w:p>
    <w:p>
      <w:pPr>
        <w:spacing w:after="0" w:line="25" w:lineRule="exact"/>
        <w:rPr>
          <w:sz w:val="20"/>
          <w:szCs w:val="20"/>
          <w:color w:val="auto"/>
        </w:rPr>
      </w:pPr>
    </w:p>
    <w:p>
      <w:pPr>
        <w:ind w:left="180" w:right="120" w:hanging="172"/>
        <w:spacing w:after="0" w:line="227" w:lineRule="auto"/>
        <w:tabs>
          <w:tab w:leader="none" w:pos="153" w:val="left"/>
        </w:tabs>
        <w:numPr>
          <w:ilvl w:val="0"/>
          <w:numId w:val="6"/>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Cash and cash equivalents includes $6.2 million and $17.6 million at December 31, 2017 and September 30, 2018, respectively, of investments in T. Rowe Price money market mutual funds.</w:t>
      </w:r>
    </w:p>
    <w:p>
      <w:pPr>
        <w:ind w:left="140" w:hanging="132"/>
        <w:spacing w:after="0" w:line="224" w:lineRule="auto"/>
        <w:tabs>
          <w:tab w:leader="none" w:pos="140" w:val="left"/>
        </w:tabs>
        <w:numPr>
          <w:ilvl w:val="0"/>
          <w:numId w:val="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Investments include $15.0 million and $46.8 million at December 31, 2017 and September 30, 2018, respectively, of T. Rowe Price investment products.</w:t>
      </w:r>
    </w:p>
    <w:p>
      <w:pPr>
        <w:spacing w:after="0" w:line="20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Although we can redeem our net interest in these T. Rowe Price investment products at any time, we cannot directly access or sell the assets held by these products to obtain cash for general operations. Additionally, the assets of these investment products are not available to our general creditors.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598" w:right="239" w:bottom="1440" w:gutter="0" w:footer="0" w:header="0"/>
        </w:sectPr>
      </w:pPr>
    </w:p>
    <w:bookmarkStart w:id="16" w:name="page17"/>
    <w:bookmarkEnd w:id="16"/>
    <w:p>
      <w:pPr>
        <w:ind w:right="60"/>
        <w:spacing w:after="0" w:line="254" w:lineRule="auto"/>
        <w:rPr>
          <w:sz w:val="20"/>
          <w:szCs w:val="20"/>
          <w:color w:val="auto"/>
        </w:rPr>
      </w:pPr>
      <w:r>
        <w:rPr>
          <w:rFonts w:ascii="Arial" w:cs="Arial" w:eastAsia="Arial" w:hAnsi="Arial"/>
          <w:sz w:val="18"/>
          <w:szCs w:val="18"/>
          <w:color w:val="auto"/>
        </w:rPr>
        <w:t>Since third party investors in these investment products have no recourse to our credit, our overall risk related to the net assets of consolidated T. Rowe Price investment products is limited to valuation changes associated with our net interest. We, however, are required to recognize the valuation changes associated with all underlying investments held by these products in our unaudited condensed consolidated statements of income, and disclose the portion attributable to third party investors as net income attributable to redeemable non-controlling interests.</w:t>
      </w:r>
    </w:p>
    <w:p>
      <w:pPr>
        <w:spacing w:after="0" w:line="20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operating results of the consolidated T. Rowe Price investment products for the three- and nine-months ended September 30, 2017 and 2018 are reflected in our unaudited condensed consolidated statements of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73660</wp:posOffset>
            </wp:positionV>
            <wp:extent cx="72377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64"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26035</wp:posOffset>
            </wp:positionV>
            <wp:extent cx="43053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6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9/30/2018</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4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Voting</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4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entities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49"/>
        </w:trPr>
        <w:tc>
          <w:tcPr>
            <w:tcW w:w="2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20" w:type="dxa"/>
            <w:vAlign w:val="bottom"/>
          </w:tcPr>
          <w:p>
            <w:pPr>
              <w:spacing w:after="0"/>
              <w:rPr>
                <w:sz w:val="23"/>
                <w:szCs w:val="23"/>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 reflected in non-operating income</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8.7</w:t>
            </w:r>
          </w:p>
        </w:tc>
      </w:tr>
      <w:tr>
        <w:trPr>
          <w:trHeight w:val="297"/>
        </w:trPr>
        <w:tc>
          <w:tcPr>
            <w:tcW w:w="20" w:type="dxa"/>
            <w:vAlign w:val="bottom"/>
          </w:tcPr>
          <w:p>
            <w:pPr>
              <w:spacing w:after="0"/>
              <w:rPr>
                <w:sz w:val="24"/>
                <w:szCs w:val="24"/>
                <w:color w:val="auto"/>
              </w:rPr>
            </w:pPr>
          </w:p>
        </w:tc>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w:t>
            </w:r>
          </w:p>
        </w:tc>
      </w:tr>
      <w:tr>
        <w:trPr>
          <w:trHeight w:val="305"/>
        </w:trPr>
        <w:tc>
          <w:tcPr>
            <w:tcW w:w="20" w:type="dxa"/>
            <w:vAlign w:val="bottom"/>
          </w:tcPr>
          <w:p>
            <w:pPr>
              <w:spacing w:after="0"/>
              <w:rPr>
                <w:sz w:val="24"/>
                <w:szCs w:val="24"/>
                <w:color w:val="auto"/>
              </w:rPr>
            </w:pPr>
          </w:p>
        </w:tc>
        <w:tc>
          <w:tcPr>
            <w:tcW w:w="4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6.5</w:t>
            </w:r>
          </w:p>
        </w:tc>
      </w:tr>
      <w:tr>
        <w:trPr>
          <w:trHeight w:val="235"/>
        </w:trPr>
        <w:tc>
          <w:tcPr>
            <w:tcW w:w="20" w:type="dxa"/>
            <w:vAlign w:val="bottom"/>
          </w:tcPr>
          <w:p>
            <w:pPr>
              <w:spacing w:after="0"/>
              <w:rPr>
                <w:sz w:val="20"/>
                <w:szCs w:val="20"/>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redeemable non-controlling</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4"/>
        </w:trPr>
        <w:tc>
          <w:tcPr>
            <w:tcW w:w="20" w:type="dxa"/>
            <w:vAlign w:val="bottom"/>
            <w:shd w:val="clear" w:color="auto" w:fill="CCEEFF"/>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60" w:type="dxa"/>
            <w:vAlign w:val="bottom"/>
            <w:gridSpan w:val="5"/>
            <w:shd w:val="clear" w:color="auto" w:fill="CCEEFF"/>
          </w:tcPr>
          <w:p>
            <w:pPr>
              <w:ind w:left="2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66"/>
        </w:trPr>
        <w:tc>
          <w:tcPr>
            <w:tcW w:w="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86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shd w:val="clear" w:color="auto" w:fill="CCEEFF"/>
          </w:tcPr>
          <w:p>
            <w:pPr>
              <w:spacing w:after="0"/>
              <w:rPr>
                <w:sz w:val="5"/>
                <w:szCs w:val="5"/>
                <w:color w:val="auto"/>
              </w:rPr>
            </w:pPr>
          </w:p>
        </w:tc>
      </w:tr>
      <w:tr>
        <w:trPr>
          <w:trHeight w:val="258"/>
        </w:trPr>
        <w:tc>
          <w:tcPr>
            <w:tcW w:w="20" w:type="dxa"/>
            <w:vAlign w:val="bottom"/>
            <w:tcBorders>
              <w:bottom w:val="single" w:sz="8" w:color="CCEEFF"/>
            </w:tcBorders>
          </w:tcPr>
          <w:p>
            <w:pPr>
              <w:spacing w:after="0"/>
              <w:rPr>
                <w:sz w:val="22"/>
                <w:szCs w:val="22"/>
                <w:color w:val="auto"/>
              </w:rPr>
            </w:pPr>
          </w:p>
        </w:tc>
        <w:tc>
          <w:tcPr>
            <w:tcW w:w="46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9/30/2018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r>
      <w:tr>
        <w:trPr>
          <w:trHeight w:val="175"/>
        </w:trPr>
        <w:tc>
          <w:tcPr>
            <w:tcW w:w="20" w:type="dxa"/>
            <w:vAlign w:val="bottom"/>
            <w:shd w:val="clear" w:color="auto" w:fill="CCEEFF"/>
          </w:tcPr>
          <w:p>
            <w:pPr>
              <w:spacing w:after="0"/>
              <w:rPr>
                <w:sz w:val="15"/>
                <w:szCs w:val="15"/>
                <w:color w:val="auto"/>
              </w:rPr>
            </w:pPr>
          </w:p>
        </w:tc>
        <w:tc>
          <w:tcPr>
            <w:tcW w:w="4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Voting</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9"/>
              </w:rPr>
              <w:t>Variable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9"/>
              </w:rPr>
              <w:t>Variable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62"/>
        </w:trPr>
        <w:tc>
          <w:tcPr>
            <w:tcW w:w="20" w:type="dxa"/>
            <w:vAlign w:val="bottom"/>
            <w:shd w:val="clear" w:color="auto" w:fill="CCEEFF"/>
          </w:tcPr>
          <w:p>
            <w:pPr>
              <w:spacing w:after="0"/>
              <w:rPr>
                <w:sz w:val="14"/>
                <w:szCs w:val="14"/>
                <w:color w:val="auto"/>
              </w:rPr>
            </w:pPr>
          </w:p>
        </w:tc>
        <w:tc>
          <w:tcPr>
            <w:tcW w:w="4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6"/>
        </w:trPr>
        <w:tc>
          <w:tcPr>
            <w:tcW w:w="20" w:type="dxa"/>
            <w:vAlign w:val="bottom"/>
            <w:shd w:val="clear" w:color="auto" w:fill="CCEEFF"/>
          </w:tcPr>
          <w:p>
            <w:pPr>
              <w:spacing w:after="0"/>
              <w:rPr>
                <w:sz w:val="17"/>
                <w:szCs w:val="17"/>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49"/>
        </w:trPr>
        <w:tc>
          <w:tcPr>
            <w:tcW w:w="2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70"/>
        </w:trPr>
        <w:tc>
          <w:tcPr>
            <w:tcW w:w="20" w:type="dxa"/>
            <w:vAlign w:val="bottom"/>
            <w:shd w:val="clear" w:color="auto" w:fill="CCEEFF"/>
          </w:tcPr>
          <w:p>
            <w:pPr>
              <w:spacing w:after="0"/>
              <w:rPr>
                <w:sz w:val="23"/>
                <w:szCs w:val="23"/>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 reflected in non-operating income</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111.1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28.6</w:t>
            </w:r>
          </w:p>
        </w:tc>
      </w:tr>
      <w:tr>
        <w:trPr>
          <w:trHeight w:val="297"/>
        </w:trPr>
        <w:tc>
          <w:tcPr>
            <w:tcW w:w="20" w:type="dxa"/>
            <w:vAlign w:val="bottom"/>
            <w:tcBorders>
              <w:bottom w:val="single" w:sz="8" w:color="CCEEFF"/>
            </w:tcBorders>
          </w:tcPr>
          <w:p>
            <w:pPr>
              <w:spacing w:after="0"/>
              <w:rPr>
                <w:sz w:val="24"/>
                <w:szCs w:val="24"/>
                <w:color w:val="auto"/>
              </w:rPr>
            </w:pPr>
          </w:p>
        </w:tc>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103.5</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19.4</w:t>
            </w:r>
          </w:p>
        </w:tc>
      </w:tr>
      <w:tr>
        <w:trPr>
          <w:trHeight w:val="359"/>
        </w:trPr>
        <w:tc>
          <w:tcPr>
            <w:tcW w:w="20" w:type="dxa"/>
            <w:vAlign w:val="bottom"/>
            <w:shd w:val="clear" w:color="auto" w:fill="CCEEFF"/>
          </w:tcPr>
          <w:p>
            <w:pPr>
              <w:spacing w:after="0"/>
              <w:rPr>
                <w:sz w:val="24"/>
                <w:szCs w:val="24"/>
                <w:color w:val="auto"/>
              </w:rPr>
            </w:pPr>
          </w:p>
        </w:tc>
        <w:tc>
          <w:tcPr>
            <w:tcW w:w="4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8.3</w:t>
            </w:r>
          </w:p>
        </w:tc>
      </w:tr>
      <w:tr>
        <w:trPr>
          <w:trHeight w:val="235"/>
        </w:trPr>
        <w:tc>
          <w:tcPr>
            <w:tcW w:w="20" w:type="dxa"/>
            <w:vAlign w:val="bottom"/>
            <w:shd w:val="clear" w:color="auto" w:fill="CCEEFF"/>
          </w:tcPr>
          <w:p>
            <w:pPr>
              <w:spacing w:after="0"/>
              <w:rPr>
                <w:sz w:val="20"/>
                <w:szCs w:val="20"/>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redeemable non-controlling</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4"/>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r>
      <w:tr>
        <w:trPr>
          <w:trHeight w:val="250"/>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19.4</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The operating expenses of these consolidated investment products are reflected in other operating expenses. In preparing our unaudited condensed consolidated financial statements, we eliminated operating expenses of $1.4 million and $1.5 million for the three months ended September 30, 2017 and 2018, respectively, against the investment advisory and administrative fees earned from these portfolios. Operating expenses eliminated for the nine months ended September 30, 2017 and 2018, were $3.2 million and $4.6 million, respectively. The net investment income reflected in non-operating income includes dividend and interest income and realized and unrealized gains and losses on the underlying securities held by the consolidated T. Rowe Price investment products.</w:t>
      </w:r>
    </w:p>
    <w:p>
      <w:pPr>
        <w:spacing w:after="0" w:line="20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table below details the impact of these consolidated investment products on the individual lines of our unaudited condensed consolidated statements of cash flows for the nine months ended September 30, 2017 and 2018.</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598" w:right="239" w:bottom="1440" w:gutter="0" w:footer="0" w:header="0"/>
        </w:sectPr>
      </w:pPr>
    </w:p>
    <w:bookmarkStart w:id="17" w:name="page18"/>
    <w:bookmarkEnd w:id="17"/>
    <w:p>
      <w:pPr>
        <w:ind w:left="73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26035</wp:posOffset>
            </wp:positionV>
            <wp:extent cx="43053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9/30/2018</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75"/>
        </w:trPr>
        <w:tc>
          <w:tcPr>
            <w:tcW w:w="4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Voting</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9"/>
              </w:rPr>
              <w:t>Variable</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9"/>
              </w:rPr>
              <w:t>Variable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62"/>
        </w:trPr>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interest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6"/>
        </w:trPr>
        <w:tc>
          <w:tcPr>
            <w:tcW w:w="4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entities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249"/>
        </w:trPr>
        <w:tc>
          <w:tcPr>
            <w:tcW w:w="4640" w:type="dxa"/>
            <w:vAlign w:val="bottom"/>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(1,078.1)</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(1,106.1)</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(529.7)</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(570.4)</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1,153.1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1,186.4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545.6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597.9</w:t>
            </w:r>
          </w:p>
        </w:tc>
      </w:tr>
      <w:tr>
        <w:trPr>
          <w:trHeight w:val="235"/>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03"/>
        </w:trPr>
        <w:tc>
          <w:tcPr>
            <w:tcW w:w="4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equivalents of consolidated</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4"/>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 Rowe Price investment products</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50"/>
        </w:trPr>
        <w:tc>
          <w:tcPr>
            <w:tcW w:w="4640" w:type="dxa"/>
            <w:vAlign w:val="bottom"/>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103.1</w:t>
            </w:r>
          </w:p>
        </w:tc>
      </w:tr>
      <w:tr>
        <w:trPr>
          <w:trHeight w:val="257"/>
        </w:trPr>
        <w:tc>
          <w:tcPr>
            <w:tcW w:w="46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105.7</w:t>
            </w:r>
          </w:p>
        </w:tc>
      </w:tr>
      <w:tr>
        <w:trPr>
          <w:trHeight w:val="20"/>
        </w:trPr>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net cash provided by financing activities during nine months ended September 30, 2017 and 2018 includes $181.1 million and $111.7 million, respectively, of net subscriptions we made into the consolidated T. Rowe Price investment products, net of dividends received. These cash flows were eliminated in consolidation.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22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determine the fair value of investments held by consolidated T. Rowe Price investment products using the following broad levels of inputs as defined by related accounting standards: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ind w:left="740" w:right="40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100" w:hanging="728"/>
        <w:spacing w:after="0" w:line="262"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value of investments using Level 3 inputs is insignificant.</w:t>
      </w:r>
    </w:p>
    <w:p>
      <w:pPr>
        <w:spacing w:after="0" w:line="14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T. Rowe Price investment products using fair value measurements determined based on the differing levels of inputs.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9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12/31/17</w:t>
            </w:r>
          </w:p>
        </w:tc>
        <w:tc>
          <w:tcPr>
            <w:tcW w:w="7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9/30/18</w:t>
            </w:r>
          </w:p>
        </w:tc>
        <w:tc>
          <w:tcPr>
            <w:tcW w:w="800" w:type="dxa"/>
            <w:vAlign w:val="bottom"/>
            <w:tcBorders>
              <w:bottom w:val="single" w:sz="8" w:color="auto"/>
            </w:tcBorders>
            <w:shd w:val="clear" w:color="auto" w:fill="CCEEFF"/>
          </w:tcPr>
          <w:p>
            <w:pPr>
              <w:spacing w:after="0"/>
              <w:rPr>
                <w:sz w:val="22"/>
                <w:szCs w:val="22"/>
                <w:color w:val="auto"/>
              </w:rPr>
            </w:pPr>
          </w:p>
        </w:tc>
      </w:tr>
      <w:tr>
        <w:trPr>
          <w:trHeight w:val="264"/>
        </w:trPr>
        <w:tc>
          <w:tcPr>
            <w:tcW w:w="69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2"/>
                <w:szCs w:val="22"/>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22"/>
                <w:szCs w:val="22"/>
                <w:color w:val="auto"/>
              </w:rPr>
            </w:pPr>
          </w:p>
        </w:tc>
        <w:tc>
          <w:tcPr>
            <w:tcW w:w="800" w:type="dxa"/>
            <w:vAlign w:val="bottom"/>
          </w:tcPr>
          <w:p>
            <w:pPr>
              <w:jc w:val="right"/>
              <w:ind w:right="193"/>
              <w:spacing w:after="0"/>
              <w:rPr>
                <w:sz w:val="20"/>
                <w:szCs w:val="20"/>
                <w:color w:val="auto"/>
              </w:rPr>
            </w:pPr>
            <w:r>
              <w:rPr>
                <w:rFonts w:ascii="Arial" w:cs="Arial" w:eastAsia="Arial" w:hAnsi="Arial"/>
                <w:sz w:val="14"/>
                <w:szCs w:val="14"/>
                <w:b w:val="1"/>
                <w:bCs w:val="1"/>
                <w:color w:val="auto"/>
              </w:rPr>
              <w:t>Level 2</w:t>
            </w:r>
          </w:p>
        </w:tc>
      </w:tr>
      <w:tr>
        <w:trPr>
          <w:trHeight w:val="270"/>
        </w:trPr>
        <w:tc>
          <w:tcPr>
            <w:tcW w:w="6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r>
      <w:tr>
        <w:trPr>
          <w:trHeight w:val="263"/>
        </w:trPr>
        <w:tc>
          <w:tcPr>
            <w:tcW w:w="694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7"/>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536.0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667.5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224.3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601.9</w:t>
            </w:r>
          </w:p>
        </w:tc>
      </w:tr>
      <w:tr>
        <w:trPr>
          <w:trHeight w:val="263"/>
        </w:trPr>
        <w:tc>
          <w:tcPr>
            <w:tcW w:w="694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687.4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933.2</w:t>
            </w:r>
          </w:p>
        </w:tc>
      </w:tr>
      <w:tr>
        <w:trPr>
          <w:trHeight w:val="27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20.5</w:t>
            </w:r>
          </w:p>
        </w:tc>
      </w:tr>
      <w:tr>
        <w:trPr>
          <w:trHeight w:val="290"/>
        </w:trPr>
        <w:tc>
          <w:tcPr>
            <w:tcW w:w="69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543.5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1,377.9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243.5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1,555.7</w:t>
            </w:r>
          </w:p>
        </w:tc>
      </w:tr>
      <w:tr>
        <w:trPr>
          <w:trHeight w:val="284"/>
        </w:trPr>
        <w:tc>
          <w:tcPr>
            <w:tcW w:w="6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57"/>
        </w:trPr>
        <w:tc>
          <w:tcPr>
            <w:tcW w:w="694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88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NOTE 6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Regular cash dividends declared per share during the nine months ended September 30, 2017and 2018 were $1.71 and $2.10, respectively.</w:t>
      </w:r>
    </w:p>
    <w:p>
      <w:pPr>
        <w:spacing w:after="0" w:line="22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At September 30, 2018, a liability of $31.8 million is included in accounts payable and accrued expenses for common stock repurchases that settled by October 2,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NOTE 7 –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nine months ended September 30,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85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average</w:t>
            </w:r>
          </w:p>
        </w:tc>
      </w:tr>
      <w:tr>
        <w:trPr>
          <w:trHeight w:val="162"/>
        </w:trPr>
        <w:tc>
          <w:tcPr>
            <w:tcW w:w="85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858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4"/>
                <w:szCs w:val="14"/>
                <w:b w:val="1"/>
                <w:bCs w:val="1"/>
                <w:color w:val="auto"/>
              </w:rPr>
              <w:t>Options</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price</w:t>
            </w:r>
          </w:p>
        </w:tc>
      </w:tr>
      <w:tr>
        <w:trPr>
          <w:trHeight w:val="249"/>
        </w:trPr>
        <w:tc>
          <w:tcPr>
            <w:tcW w:w="8580" w:type="dxa"/>
            <w:vAlign w:val="bottom"/>
          </w:tcPr>
          <w:p>
            <w:pPr>
              <w:ind w:left="40"/>
              <w:spacing w:after="0"/>
              <w:rPr>
                <w:sz w:val="20"/>
                <w:szCs w:val="20"/>
                <w:color w:val="auto"/>
              </w:rPr>
            </w:pPr>
            <w:r>
              <w:rPr>
                <w:rFonts w:ascii="Arial" w:cs="Arial" w:eastAsia="Arial" w:hAnsi="Arial"/>
                <w:sz w:val="18"/>
                <w:szCs w:val="18"/>
                <w:color w:val="auto"/>
              </w:rPr>
              <w:t>Outstanding at December 31, 2017</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15,221,123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66.98</w:t>
            </w:r>
          </w:p>
        </w:tc>
      </w:tr>
      <w:tr>
        <w:trPr>
          <w:trHeight w:val="27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(3,678,053)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60.64</w:t>
            </w:r>
          </w:p>
        </w:tc>
      </w:tr>
      <w:tr>
        <w:trPr>
          <w:trHeight w:val="263"/>
        </w:trPr>
        <w:tc>
          <w:tcPr>
            <w:tcW w:w="85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60" w:type="dxa"/>
            <w:vAlign w:val="bottom"/>
          </w:tcPr>
          <w:p>
            <w:pPr>
              <w:jc w:val="right"/>
              <w:spacing w:after="0"/>
              <w:rPr>
                <w:sz w:val="20"/>
                <w:szCs w:val="20"/>
                <w:color w:val="auto"/>
              </w:rPr>
            </w:pPr>
            <w:r>
              <w:rPr>
                <w:rFonts w:ascii="Arial" w:cs="Arial" w:eastAsia="Arial" w:hAnsi="Arial"/>
                <w:sz w:val="18"/>
                <w:szCs w:val="18"/>
                <w:color w:val="auto"/>
              </w:rPr>
              <w:t>(46,490)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75.96</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71.15</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September 30, 2018</w:t>
            </w:r>
          </w:p>
        </w:tc>
        <w:tc>
          <w:tcPr>
            <w:tcW w:w="14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11,482,216</w:t>
            </w:r>
          </w:p>
        </w:tc>
        <w:tc>
          <w:tcPr>
            <w:tcW w:w="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68.97</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September 30, 2018</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7,460,677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65.35</w:t>
            </w:r>
          </w:p>
        </w:tc>
      </w:tr>
      <w:tr>
        <w:trPr>
          <w:trHeight w:val="20"/>
        </w:trPr>
        <w:tc>
          <w:tcPr>
            <w:tcW w:w="85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SHARES AND STOCK UNITS.</w:t>
      </w:r>
    </w:p>
    <w:p>
      <w:pPr>
        <w:spacing w:after="0" w:line="225"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the nine months ended September 30, 2018.</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4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Restricted</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stock</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average</w:t>
            </w:r>
          </w:p>
        </w:tc>
      </w:tr>
      <w:tr>
        <w:trPr>
          <w:trHeight w:val="196"/>
        </w:trPr>
        <w:tc>
          <w:tcPr>
            <w:tcW w:w="744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4"/>
                <w:szCs w:val="14"/>
                <w:b w:val="1"/>
                <w:bCs w:val="1"/>
                <w:color w:val="auto"/>
              </w:rPr>
              <w:t>shares</w:t>
            </w:r>
          </w:p>
        </w:tc>
        <w:tc>
          <w:tcPr>
            <w:tcW w:w="1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center"/>
              <w:ind w:right="137"/>
              <w:spacing w:after="0"/>
              <w:rPr>
                <w:sz w:val="20"/>
                <w:szCs w:val="20"/>
                <w:color w:val="auto"/>
              </w:rPr>
            </w:pPr>
            <w:r>
              <w:rPr>
                <w:rFonts w:ascii="Arial" w:cs="Arial" w:eastAsia="Arial" w:hAnsi="Arial"/>
                <w:sz w:val="14"/>
                <w:szCs w:val="14"/>
                <w:b w:val="1"/>
                <w:bCs w:val="1"/>
                <w:color w:val="auto"/>
              </w:rPr>
              <w:t>fair value</w:t>
            </w:r>
          </w:p>
        </w:tc>
      </w:tr>
      <w:tr>
        <w:trPr>
          <w:trHeight w:val="249"/>
        </w:trPr>
        <w:tc>
          <w:tcPr>
            <w:tcW w:w="7440" w:type="dxa"/>
            <w:vAlign w:val="bottom"/>
          </w:tcPr>
          <w:p>
            <w:pPr>
              <w:ind w:left="40"/>
              <w:spacing w:after="0"/>
              <w:rPr>
                <w:sz w:val="20"/>
                <w:szCs w:val="20"/>
                <w:color w:val="auto"/>
              </w:rPr>
            </w:pPr>
            <w:r>
              <w:rPr>
                <w:rFonts w:ascii="Arial" w:cs="Arial" w:eastAsia="Arial" w:hAnsi="Arial"/>
                <w:sz w:val="18"/>
                <w:szCs w:val="18"/>
                <w:color w:val="auto"/>
              </w:rPr>
              <w:t>Nonvested at December 31, 2017</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473,115</w:t>
            </w:r>
          </w:p>
        </w:tc>
        <w:tc>
          <w:tcPr>
            <w:tcW w:w="10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5,556,911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82.37</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Time-based grants</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8,775</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29,587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112.46</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Vested</w:t>
            </w:r>
          </w:p>
        </w:tc>
        <w:tc>
          <w:tcPr>
            <w:tcW w:w="1260" w:type="dxa"/>
            <w:vAlign w:val="bottom"/>
          </w:tcPr>
          <w:p>
            <w:pPr>
              <w:jc w:val="right"/>
              <w:spacing w:after="0"/>
              <w:rPr>
                <w:sz w:val="20"/>
                <w:szCs w:val="20"/>
                <w:color w:val="auto"/>
              </w:rPr>
            </w:pPr>
            <w:r>
              <w:rPr>
                <w:rFonts w:ascii="Arial" w:cs="Arial" w:eastAsia="Arial" w:hAnsi="Arial"/>
                <w:sz w:val="18"/>
                <w:szCs w:val="18"/>
                <w:color w:val="auto"/>
              </w:rPr>
              <w:t>(20,580)</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(55,148)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71.62</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(8,092)</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(99,186)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78.16</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Nonvested at September 30, 2018</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453,218</w:t>
            </w:r>
          </w:p>
        </w:tc>
        <w:tc>
          <w:tcPr>
            <w:tcW w:w="100" w:type="dxa"/>
            <w:vAlign w:val="bottom"/>
          </w:tcPr>
          <w:p>
            <w:pPr>
              <w:spacing w:after="0"/>
              <w:rPr>
                <w:sz w:val="22"/>
                <w:szCs w:val="22"/>
                <w:color w:val="auto"/>
              </w:rPr>
            </w:pP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5,432,164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82.78</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Nonvested at September 30, 2018, includes 7,200 performance-based restricted shares and 406,412 performance-based restricted stock units. These performance-based restricted shares and units include 7,200 restricted shares and 291,958 restricted stock units for which the performance period has lapsed, and the performance threshold has been met.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59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FUTURE STOCK-BASED COMPENSATION EXPENSE.</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following table presents the compensation expense (in millions) to be recognized over the remaining vesting periods of the stock-based awards outstanding at September 30, 2018. Estimated future compensation expense will change to reflect future grants of restricted stock awards and units, future option grants, changes in the probability of performance thresholds being met, and adjustments for actual forfeitures.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Fourth quarter 2018</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r>
      <w:tr>
        <w:trPr>
          <w:trHeight w:val="250"/>
        </w:trPr>
        <w:tc>
          <w:tcPr>
            <w:tcW w:w="10160" w:type="dxa"/>
            <w:vAlign w:val="bottom"/>
          </w:tcPr>
          <w:p>
            <w:pPr>
              <w:ind w:left="4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96.2</w:t>
            </w:r>
          </w:p>
        </w:tc>
      </w:tr>
      <w:tr>
        <w:trPr>
          <w:trHeight w:val="257"/>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 through 2023</w:t>
            </w: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79.5</w:t>
            </w:r>
          </w:p>
        </w:tc>
      </w:tr>
      <w:tr>
        <w:trPr>
          <w:trHeight w:val="257"/>
        </w:trPr>
        <w:tc>
          <w:tcPr>
            <w:tcW w:w="10160" w:type="dxa"/>
            <w:vAlign w:val="bottom"/>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216.1</w:t>
            </w:r>
          </w:p>
        </w:tc>
      </w:tr>
      <w:tr>
        <w:trPr>
          <w:trHeight w:val="20"/>
        </w:trPr>
        <w:tc>
          <w:tcPr>
            <w:tcW w:w="10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8 – EARNINGS PER SHARE CALCULATIONS.</w:t>
      </w:r>
    </w:p>
    <w:p>
      <w:pPr>
        <w:spacing w:after="0" w:line="22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following table presents the reconciliation of net income attributable to T. Rowe Price Group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540" w:type="dxa"/>
            <w:vAlign w:val="bottom"/>
            <w:gridSpan w:val="5"/>
            <w:shd w:val="clear" w:color="auto" w:fill="CCEEFF"/>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22"/>
                <w:szCs w:val="22"/>
                <w:color w:val="auto"/>
              </w:rPr>
            </w:pPr>
          </w:p>
        </w:tc>
        <w:tc>
          <w:tcPr>
            <w:tcW w:w="2420" w:type="dxa"/>
            <w:vAlign w:val="bottom"/>
            <w:gridSpan w:val="4"/>
            <w:shd w:val="clear" w:color="auto" w:fill="CCEEFF"/>
          </w:tcPr>
          <w:p>
            <w:pPr>
              <w:jc w:val="right"/>
              <w:ind w:right="55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9/30/2018</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9/30/2018</w:t>
            </w:r>
          </w:p>
        </w:tc>
      </w:tr>
      <w:tr>
        <w:trPr>
          <w:trHeight w:val="256"/>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390.9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583.0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1,150.7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1,485.6</w:t>
            </w:r>
          </w:p>
        </w:tc>
      </w:tr>
      <w:tr>
        <w:trPr>
          <w:trHeight w:val="229"/>
        </w:trPr>
        <w:tc>
          <w:tcPr>
            <w:tcW w:w="6020" w:type="dxa"/>
            <w:vAlign w:val="bottom"/>
          </w:tcPr>
          <w:p>
            <w:pPr>
              <w:ind w:left="40"/>
              <w:spacing w:after="0"/>
              <w:rPr>
                <w:sz w:val="20"/>
                <w:szCs w:val="20"/>
                <w:color w:val="auto"/>
              </w:rPr>
            </w:pPr>
            <w:r>
              <w:rPr>
                <w:rFonts w:ascii="Arial" w:cs="Arial" w:eastAsia="Arial" w:hAnsi="Arial"/>
                <w:sz w:val="18"/>
                <w:szCs w:val="18"/>
                <w:color w:val="auto"/>
              </w:rPr>
              <w:t>Less: net income allocated to outstanding restricted stock and stock unit</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holders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34.8</w:t>
            </w: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382.1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569.3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1,124.7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1,450.8</w:t>
            </w: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05"/>
        </w:trPr>
        <w:tc>
          <w:tcPr>
            <w:tcW w:w="6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common shares</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97"/>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240.3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242.8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240.7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243.1</w:t>
            </w:r>
          </w:p>
        </w:tc>
      </w:tr>
      <w:tr>
        <w:trPr>
          <w:trHeight w:val="237"/>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assuming dilution</w:t>
            </w: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244.4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244.3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248.2</w:t>
            </w: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The following table shows the weighted-average outstanding stock options that are excluded from the calculation of diluted earnings per common share as the inclusion of such shares would be anti-dilutive.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60" w:type="dxa"/>
            <w:vAlign w:val="bottom"/>
            <w:shd w:val="clear" w:color="auto" w:fill="CCEEFF"/>
          </w:tcPr>
          <w:p>
            <w:pPr>
              <w:spacing w:after="0"/>
              <w:rPr>
                <w:sz w:val="22"/>
                <w:szCs w:val="22"/>
                <w:color w:val="auto"/>
              </w:rPr>
            </w:pPr>
          </w:p>
        </w:tc>
        <w:tc>
          <w:tcPr>
            <w:tcW w:w="2360" w:type="dxa"/>
            <w:vAlign w:val="bottom"/>
            <w:tcBorders>
              <w:bottom w:val="single" w:sz="8" w:color="auto"/>
            </w:tcBorders>
            <w:gridSpan w:val="3"/>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0" w:type="dxa"/>
            <w:vAlign w:val="bottom"/>
            <w:tcBorders>
              <w:bottom w:val="single" w:sz="8" w:color="auto"/>
            </w:tcBorders>
            <w:gridSpan w:val="3"/>
            <w:shd w:val="clear" w:color="auto" w:fill="CCEEFF"/>
          </w:tcPr>
          <w:p>
            <w:pPr>
              <w:jc w:val="right"/>
              <w:ind w:right="539"/>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12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9/30/2018</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9/30/2018</w:t>
            </w:r>
          </w:p>
        </w:tc>
      </w:tr>
      <w:tr>
        <w:trPr>
          <w:trHeight w:val="25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outstanding stock options excluded</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59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NOTE 9 – OTHER COMPREHENSIVE INCOME AND ACCUMULATED OTHER COMPREHENSIVE INCOME.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impact of the components of other comprehensive income or loss on deferred tax benefits (income taxes).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540" w:type="dxa"/>
            <w:vAlign w:val="bottom"/>
            <w:gridSpan w:val="5"/>
            <w:shd w:val="clear" w:color="auto" w:fill="CCEEFF"/>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22"/>
                <w:szCs w:val="22"/>
                <w:color w:val="auto"/>
              </w:rPr>
            </w:pPr>
          </w:p>
        </w:tc>
        <w:tc>
          <w:tcPr>
            <w:tcW w:w="2420" w:type="dxa"/>
            <w:vAlign w:val="bottom"/>
            <w:gridSpan w:val="4"/>
            <w:shd w:val="clear" w:color="auto" w:fill="CCEEFF"/>
          </w:tcPr>
          <w:p>
            <w:pPr>
              <w:jc w:val="right"/>
              <w:ind w:right="55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9/30/2018</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9/30/2018</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tax benefits (income taxes) on:</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Net unrealized holding gains or losses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5"/>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adjustments recognized in the provision for income</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63"/>
        </w:trPr>
        <w:tc>
          <w:tcPr>
            <w:tcW w:w="6020" w:type="dxa"/>
            <w:vAlign w:val="bottom"/>
          </w:tcPr>
          <w:p>
            <w:pPr>
              <w:ind w:left="220"/>
              <w:spacing w:after="0"/>
              <w:rPr>
                <w:sz w:val="20"/>
                <w:szCs w:val="20"/>
                <w:color w:val="auto"/>
              </w:rPr>
            </w:pPr>
            <w:r>
              <w:rPr>
                <w:rFonts w:ascii="Arial" w:cs="Arial" w:eastAsia="Arial" w:hAnsi="Arial"/>
                <w:sz w:val="18"/>
                <w:szCs w:val="18"/>
                <w:color w:val="auto"/>
              </w:rPr>
              <w:t>Net gains realized on dispositions</w:t>
            </w:r>
          </w:p>
        </w:tc>
        <w:tc>
          <w:tcPr>
            <w:tcW w:w="2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5"/>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gains recognized upon transfer to trading</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09"/>
        </w:trPr>
        <w:tc>
          <w:tcPr>
            <w:tcW w:w="6020" w:type="dxa"/>
            <w:vAlign w:val="bottom"/>
          </w:tcPr>
          <w:p>
            <w:pPr>
              <w:ind w:left="40"/>
              <w:spacing w:after="0"/>
              <w:rPr>
                <w:sz w:val="20"/>
                <w:szCs w:val="20"/>
                <w:color w:val="auto"/>
              </w:rPr>
            </w:pPr>
            <w:r>
              <w:rPr>
                <w:rFonts w:ascii="Arial" w:cs="Arial" w:eastAsia="Arial" w:hAnsi="Arial"/>
                <w:sz w:val="18"/>
                <w:szCs w:val="18"/>
                <w:color w:val="auto"/>
              </w:rPr>
              <w:t>Net deferred tax benefits (income taxes) on net unrealized holding gains or</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24"/>
        </w:trPr>
        <w:tc>
          <w:tcPr>
            <w:tcW w:w="6020" w:type="dxa"/>
            <w:vAlign w:val="bottom"/>
          </w:tcPr>
          <w:p>
            <w:pPr>
              <w:ind w:left="40"/>
              <w:spacing w:after="0"/>
              <w:rPr>
                <w:sz w:val="20"/>
                <w:szCs w:val="20"/>
                <w:color w:val="auto"/>
              </w:rPr>
            </w:pPr>
            <w:r>
              <w:rPr>
                <w:rFonts w:ascii="Arial" w:cs="Arial" w:eastAsia="Arial" w:hAnsi="Arial"/>
                <w:sz w:val="18"/>
                <w:szCs w:val="18"/>
                <w:color w:val="auto"/>
              </w:rPr>
              <w:t>losses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6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r>
      <w:tr>
        <w:trPr>
          <w:trHeight w:val="229"/>
        </w:trPr>
        <w:tc>
          <w:tcPr>
            <w:tcW w:w="6020" w:type="dxa"/>
            <w:vAlign w:val="bottom"/>
          </w:tcPr>
          <w:p>
            <w:pPr>
              <w:ind w:left="180"/>
              <w:spacing w:after="0"/>
              <w:rPr>
                <w:sz w:val="20"/>
                <w:szCs w:val="20"/>
                <w:color w:val="auto"/>
              </w:rPr>
            </w:pPr>
            <w:r>
              <w:rPr>
                <w:rFonts w:ascii="Arial" w:cs="Arial" w:eastAsia="Arial" w:hAnsi="Arial"/>
                <w:sz w:val="18"/>
                <w:szCs w:val="18"/>
                <w:color w:val="auto"/>
              </w:rPr>
              <w:t>Reclassification adjustment recognized in the provision for income taxes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4"/>
        </w:trPr>
        <w:tc>
          <w:tcPr>
            <w:tcW w:w="6020" w:type="dxa"/>
            <w:vAlign w:val="bottom"/>
          </w:tcPr>
          <w:p>
            <w:pPr>
              <w:ind w:left="180"/>
              <w:spacing w:after="0"/>
              <w:rPr>
                <w:sz w:val="20"/>
                <w:szCs w:val="20"/>
                <w:color w:val="auto"/>
              </w:rPr>
            </w:pPr>
            <w:r>
              <w:rPr>
                <w:rFonts w:ascii="Arial" w:cs="Arial" w:eastAsia="Arial" w:hAnsi="Arial"/>
                <w:sz w:val="18"/>
                <w:szCs w:val="18"/>
                <w:color w:val="auto"/>
              </w:rPr>
              <w:t>upon deconsolidation of T. Rowe Price investment products</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15"/>
        </w:trPr>
        <w:tc>
          <w:tcPr>
            <w:tcW w:w="6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benefits (income taxes) on currency translation</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4"/>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r>
      <w:tr>
        <w:trPr>
          <w:trHeight w:val="257"/>
        </w:trPr>
        <w:tc>
          <w:tcPr>
            <w:tcW w:w="6020" w:type="dxa"/>
            <w:vAlign w:val="bottom"/>
          </w:tcPr>
          <w:p>
            <w:pPr>
              <w:ind w:left="40"/>
              <w:spacing w:after="0"/>
              <w:rPr>
                <w:sz w:val="20"/>
                <w:szCs w:val="20"/>
                <w:color w:val="auto"/>
              </w:rPr>
            </w:pPr>
            <w:r>
              <w:rPr>
                <w:rFonts w:ascii="Arial" w:cs="Arial" w:eastAsia="Arial" w:hAnsi="Arial"/>
                <w:sz w:val="18"/>
                <w:szCs w:val="18"/>
                <w:color w:val="auto"/>
              </w:rPr>
              <w:t>Total net deferred tax benefits (income taxes)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w:t>
            </w: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changes in each component of accumulated other comprehensive income (loss), including reclassification adjustments for nine months ended September 30, 2018 are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8" w:lineRule="exact"/>
        <w:rPr>
          <w:sz w:val="20"/>
          <w:szCs w:val="20"/>
          <w:color w:val="auto"/>
        </w:rPr>
      </w:pPr>
    </w:p>
    <w:p>
      <w:pPr>
        <w:ind w:left="6900"/>
        <w:spacing w:after="0"/>
        <w:rPr>
          <w:sz w:val="20"/>
          <w:szCs w:val="20"/>
          <w:color w:val="auto"/>
        </w:rPr>
      </w:pPr>
      <w:r>
        <w:rPr>
          <w:rFonts w:ascii="Arial" w:cs="Arial" w:eastAsia="Arial" w:hAnsi="Arial"/>
          <w:sz w:val="14"/>
          <w:szCs w:val="14"/>
          <w:b w:val="1"/>
          <w:bCs w:val="1"/>
          <w:color w:val="auto"/>
        </w:rPr>
        <w:t>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26035</wp:posOffset>
            </wp:positionV>
            <wp:extent cx="25558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Consolidated T.</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 currency</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Net unrealized</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 method</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translation</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46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holding gains</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7"/>
                <w:szCs w:val="17"/>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56"/>
        </w:trPr>
        <w:tc>
          <w:tcPr>
            <w:tcW w:w="4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4640" w:type="dxa"/>
            <w:vAlign w:val="bottom"/>
          </w:tcPr>
          <w:p>
            <w:pPr>
              <w:ind w:left="40"/>
              <w:spacing w:after="0"/>
              <w:rPr>
                <w:sz w:val="20"/>
                <w:szCs w:val="20"/>
                <w:color w:val="auto"/>
              </w:rPr>
            </w:pPr>
            <w:r>
              <w:rPr>
                <w:rFonts w:ascii="Arial" w:cs="Arial" w:eastAsia="Arial" w:hAnsi="Arial"/>
                <w:sz w:val="18"/>
                <w:szCs w:val="18"/>
                <w:color w:val="auto"/>
              </w:rPr>
              <w:t>Reclassification of unrealized holding gains to retained</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0"/>
        </w:trPr>
        <w:tc>
          <w:tcPr>
            <w:tcW w:w="4640" w:type="dxa"/>
            <w:vAlign w:val="bottom"/>
          </w:tcPr>
          <w:p>
            <w:pPr>
              <w:ind w:left="40"/>
              <w:spacing w:after="0" w:line="201" w:lineRule="exact"/>
              <w:rPr>
                <w:sz w:val="20"/>
                <w:szCs w:val="20"/>
                <w:color w:val="auto"/>
              </w:rPr>
            </w:pPr>
            <w:r>
              <w:rPr>
                <w:rFonts w:ascii="Arial" w:cs="Arial" w:eastAsia="Arial" w:hAnsi="Arial"/>
                <w:sz w:val="18"/>
                <w:szCs w:val="18"/>
                <w:color w:val="auto"/>
              </w:rPr>
              <w:t>earnings upon adoption of new financial instruments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3"/>
        </w:trPr>
        <w:tc>
          <w:tcPr>
            <w:tcW w:w="4640" w:type="dxa"/>
            <w:vAlign w:val="bottom"/>
          </w:tcPr>
          <w:p>
            <w:pPr>
              <w:ind w:left="40"/>
              <w:spacing w:after="0" w:line="233" w:lineRule="exact"/>
              <w:rPr>
                <w:sz w:val="20"/>
                <w:szCs w:val="20"/>
                <w:color w:val="auto"/>
              </w:rPr>
            </w:pPr>
            <w:r>
              <w:rPr>
                <w:rFonts w:ascii="Arial" w:cs="Arial" w:eastAsia="Arial" w:hAnsi="Arial"/>
                <w:sz w:val="18"/>
                <w:szCs w:val="18"/>
                <w:color w:val="auto"/>
              </w:rPr>
              <w:t>guidance</w:t>
            </w:r>
            <w:r>
              <w:rPr>
                <w:rFonts w:ascii="Arial" w:cs="Arial" w:eastAsia="Arial" w:hAnsi="Arial"/>
                <w:sz w:val="21"/>
                <w:szCs w:val="21"/>
                <w:color w:val="auto"/>
                <w:vertAlign w:val="superscript"/>
              </w:rPr>
              <w:t>(1)</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 of stranded tax benefits on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03"/>
        </w:trPr>
        <w:tc>
          <w:tcPr>
            <w:tcW w:w="4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currency translation adjustments upon adoption of new</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4"/>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guidance</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4640" w:type="dxa"/>
            <w:vAlign w:val="bottom"/>
          </w:tcPr>
          <w:p>
            <w:pPr>
              <w:ind w:left="40"/>
              <w:spacing w:after="0"/>
              <w:rPr>
                <w:sz w:val="20"/>
                <w:szCs w:val="20"/>
                <w:color w:val="auto"/>
              </w:rPr>
            </w:pPr>
            <w:r>
              <w:rPr>
                <w:rFonts w:ascii="Arial" w:cs="Arial" w:eastAsia="Arial" w:hAnsi="Arial"/>
                <w:sz w:val="18"/>
                <w:szCs w:val="18"/>
                <w:color w:val="auto"/>
              </w:rPr>
              <w:t>Balance at January 1, 2018</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5"/>
        </w:trPr>
        <w:tc>
          <w:tcPr>
            <w:tcW w:w="4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and income taxes</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9"/>
        </w:trPr>
        <w:tc>
          <w:tcPr>
            <w:tcW w:w="4640" w:type="dxa"/>
            <w:vAlign w:val="bottom"/>
          </w:tcPr>
          <w:p>
            <w:pPr>
              <w:ind w:left="40"/>
              <w:spacing w:after="0"/>
              <w:rPr>
                <w:sz w:val="20"/>
                <w:szCs w:val="20"/>
                <w:color w:val="auto"/>
              </w:rPr>
            </w:pPr>
            <w:r>
              <w:rPr>
                <w:rFonts w:ascii="Arial" w:cs="Arial" w:eastAsia="Arial" w:hAnsi="Arial"/>
                <w:sz w:val="18"/>
                <w:szCs w:val="18"/>
                <w:color w:val="auto"/>
              </w:rPr>
              <w:t>Reclassification adjustments recognized in non-operating</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57"/>
        </w:trPr>
        <w:tc>
          <w:tcPr>
            <w:tcW w:w="46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64"/>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deferred tax income taxes</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w:t>
            </w:r>
          </w:p>
        </w:tc>
      </w:tr>
      <w:tr>
        <w:trPr>
          <w:trHeight w:val="25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57"/>
        </w:trPr>
        <w:tc>
          <w:tcPr>
            <w:tcW w:w="4640" w:type="dxa"/>
            <w:vAlign w:val="bottom"/>
          </w:tcPr>
          <w:p>
            <w:pPr>
              <w:ind w:left="40"/>
              <w:spacing w:after="0"/>
              <w:rPr>
                <w:sz w:val="20"/>
                <w:szCs w:val="20"/>
                <w:color w:val="auto"/>
              </w:rPr>
            </w:pPr>
            <w:r>
              <w:rPr>
                <w:rFonts w:ascii="Arial" w:cs="Arial" w:eastAsia="Arial" w:hAnsi="Arial"/>
                <w:sz w:val="18"/>
                <w:szCs w:val="18"/>
                <w:color w:val="auto"/>
              </w:rPr>
              <w:t>Balances at September 30, 2018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0</wp:posOffset>
            </wp:positionV>
            <wp:extent cx="430530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05300" cy="26035"/>
                    </a:xfrm>
                    <a:prstGeom prst="rect">
                      <a:avLst/>
                    </a:prstGeom>
                    <a:noFill/>
                  </pic:spPr>
                </pic:pic>
              </a:graphicData>
            </a:graphic>
          </wp:anchor>
        </w:drawing>
      </w:r>
    </w:p>
    <w:p>
      <w:pPr>
        <w:spacing w:after="0" w:line="38" w:lineRule="exact"/>
        <w:rPr>
          <w:sz w:val="20"/>
          <w:szCs w:val="20"/>
          <w:color w:val="auto"/>
        </w:rPr>
      </w:pPr>
    </w:p>
    <w:p>
      <w:pPr>
        <w:ind w:left="180" w:right="40" w:hanging="172"/>
        <w:spacing w:after="0" w:line="233" w:lineRule="auto"/>
        <w:tabs>
          <w:tab w:leader="none" w:pos="190" w:val="left"/>
        </w:tabs>
        <w:numPr>
          <w:ilvl w:val="0"/>
          <w:numId w:val="7"/>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Includes the reclassification of $1.7 million of stranded income taxes on available-for-sale investments resulting from U.S. tax law changes enacted on December 22, 2017, from accumulated other comprehensive income to retained earnings.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65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NOTE 10 – DELL APPRAISAL RIGHTS MATTER.</w:t>
      </w:r>
    </w:p>
    <w:p>
      <w:pPr>
        <w:spacing w:after="0" w:line="225"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In 2016, we paid $166.2 million to compensate certain U.S. mutual funds, trusts, separately managed accounts, and subadvised clients (collectively, Clients) for the denial of their appraisal rights by the Delaware Chancery Court (Court) in connection with the 2013 leveraged buyout of Dell, Inc. (Dell).</w:t>
      </w:r>
    </w:p>
    <w:p>
      <w:pPr>
        <w:spacing w:after="0" w:line="14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December 30, 2016, we entered into a settlement agreement for $100.0 million with our insurance carrier for insurance proceeds related to this matter. We recognized the proceeds as a reduction to the $166.2 million nonrecurring charge that we recognized earlier in 2016 and received the proceeds in January 2017. We received an additional $50 million in insurance proceeds from other insurance carriers in early 2017 and recognized a related reduction in operating expenses.</w:t>
      </w:r>
    </w:p>
    <w:p>
      <w:pPr>
        <w:spacing w:after="0" w:line="1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accordance with the compensation payment, the Clients agreed that in the event the findings made by the Court regarding the fair value of Dell or the amount of interest to be applied were modified by a final, non-appealable judgment, T. Rowe Price and the Clients would make an appropriate adjustment between themselves, calculated in a manner that is consistent with the methodology used to compensate Clients. In December 2016, several parties, including Dell and the successful appraisal petitioners, filed appeals to the Delaware Supreme Court to challenge the Court’s valuation ruling. On December 14, 2017, the Delaware Supreme Court reversed the judgment and remanded the case for further proceedings, with language suggesting that the deal price of $13.75 may be the ultimate outcome. All parties have settled with Dell for amounts ranging from $13.75 to $13.83 per share.</w:t>
      </w:r>
    </w:p>
    <w:p>
      <w:pPr>
        <w:spacing w:after="0" w:line="20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October 9, 2018, the Court entered the last final non-appealable order dismissing the case with prejudice, so Clients will be expected to repay any overpayment using the methodology used to calculate the original payment. We estimate that the first $15.2 million reclaimed from our Clients would be paid back to T. Rowe Price Group. We would then be required to repay any additional reclaimed funds to our insurers in a specific order.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NOTE 11 – COMMITMENTS AND CONTINGENCIES.</w:t>
      </w:r>
    </w:p>
    <w:p>
      <w:pPr>
        <w:spacing w:after="0" w:line="17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plaintiffs are seeking certification of the complaint as a class action. T. Rowe Price believes the claims are without merit and is vigorously defending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pacing w:after="0" w:line="15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 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 T. Rowe Price believes the claims are without merit and is vigorously defending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pacing w:after="0" w:line="158"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59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NOTE 12 – SUPPLEMENTARY CONSOLIDATING CASH FLOW STATEMENTS.</w:t>
      </w:r>
    </w:p>
    <w:p>
      <w:pPr>
        <w:spacing w:after="0" w:line="2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following table summarizes the cash flows for the nine months ended September 30, 2017 and 2018, that are attributable to T. Rowe Price Group, our consolidated T. Rowe Price investment products and the related eliminations (elims) required in preparing the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4"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26035</wp:posOffset>
            </wp:positionV>
            <wp:extent cx="50768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9/30/2017</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9/30/2018</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Cash flow</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Cash flow</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attributable to</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attributable to</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Cash flow</w:t>
            </w:r>
          </w:p>
        </w:tc>
        <w:tc>
          <w:tcPr>
            <w:tcW w:w="114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consolidated</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Cash flow</w:t>
            </w: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consolidated</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attributable</w:t>
            </w:r>
          </w:p>
        </w:tc>
        <w:tc>
          <w:tcPr>
            <w:tcW w:w="114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T. Rowe Price</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attributable</w:t>
            </w: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T. Rowe Price</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to T. Rowe</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investment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As</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 T. Rowe</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investment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Price Group</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Elims</w:t>
            </w: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reported</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Price Group</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Elims</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57"/>
        </w:trPr>
        <w:tc>
          <w:tcPr>
            <w:tcW w:w="342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$ 1,150.7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$1,194.6</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$ 1,485.6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$1,496.7</w:t>
            </w:r>
          </w:p>
        </w:tc>
        <w:tc>
          <w:tcPr>
            <w:tcW w:w="0" w:type="dxa"/>
            <w:vAlign w:val="bottom"/>
          </w:tcPr>
          <w:p>
            <w:pPr>
              <w:spacing w:after="0"/>
              <w:rPr>
                <w:sz w:val="1"/>
                <w:szCs w:val="1"/>
                <w:color w:val="auto"/>
              </w:rPr>
            </w:pPr>
          </w:p>
        </w:tc>
      </w:tr>
      <w:tr>
        <w:trPr>
          <w:trHeight w:val="229"/>
        </w:trPr>
        <w:tc>
          <w:tcPr>
            <w:tcW w:w="3420" w:type="dxa"/>
            <w:vAlign w:val="bottom"/>
          </w:tcPr>
          <w:p>
            <w:pPr>
              <w:ind w:left="180"/>
              <w:spacing w:after="0"/>
              <w:rPr>
                <w:sz w:val="20"/>
                <w:szCs w:val="20"/>
                <w:color w:val="auto"/>
              </w:rPr>
            </w:pPr>
            <w:r>
              <w:rPr>
                <w:rFonts w:ascii="Arial" w:cs="Arial" w:eastAsia="Arial" w:hAnsi="Arial"/>
                <w:sz w:val="18"/>
                <w:szCs w:val="18"/>
                <w:color w:val="auto"/>
              </w:rPr>
              <w:t>Adjustments to reconcile net income to</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180"/>
              <w:spacing w:after="0" w:line="202" w:lineRule="exact"/>
              <w:rPr>
                <w:sz w:val="20"/>
                <w:szCs w:val="20"/>
                <w:color w:val="auto"/>
              </w:rPr>
            </w:pPr>
            <w:r>
              <w:rPr>
                <w:rFonts w:ascii="Arial" w:cs="Arial" w:eastAsia="Arial" w:hAnsi="Arial"/>
                <w:sz w:val="18"/>
                <w:szCs w:val="18"/>
                <w:color w:val="auto"/>
              </w:rPr>
              <w:t>net cash provided by (used in) operating</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2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w:t>
            </w: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106.9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106.9</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63"/>
        </w:trPr>
        <w:tc>
          <w:tcPr>
            <w:tcW w:w="34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22"/>
                <w:szCs w:val="22"/>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35"/>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Realized gains on dispositions of</w:t>
            </w: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available-for-sale T. Rowe Price</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products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20" w:type="dxa"/>
            <w:vAlign w:val="bottom"/>
          </w:tcPr>
          <w:p>
            <w:pPr>
              <w:ind w:left="180"/>
              <w:spacing w:after="0"/>
              <w:rPr>
                <w:sz w:val="20"/>
                <w:szCs w:val="20"/>
                <w:color w:val="auto"/>
              </w:rPr>
            </w:pPr>
            <w:r>
              <w:rPr>
                <w:rFonts w:ascii="Arial" w:cs="Arial" w:eastAsia="Arial" w:hAnsi="Arial"/>
                <w:sz w:val="18"/>
                <w:szCs w:val="18"/>
                <w:color w:val="auto"/>
              </w:rPr>
              <w:t>Gains recognized upon transfer of an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180"/>
              <w:spacing w:after="0" w:line="202" w:lineRule="exact"/>
              <w:rPr>
                <w:sz w:val="20"/>
                <w:szCs w:val="20"/>
                <w:color w:val="auto"/>
              </w:rPr>
            </w:pPr>
            <w:r>
              <w:rPr>
                <w:rFonts w:ascii="Arial" w:cs="Arial" w:eastAsia="Arial" w:hAnsi="Arial"/>
                <w:sz w:val="18"/>
                <w:szCs w:val="18"/>
                <w:color w:val="auto"/>
              </w:rPr>
              <w:t>investment in a T. Rowe Price mutual</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180"/>
              <w:spacing w:after="0" w:line="202" w:lineRule="exact"/>
              <w:rPr>
                <w:sz w:val="20"/>
                <w:szCs w:val="20"/>
                <w:color w:val="auto"/>
              </w:rPr>
            </w:pPr>
            <w:r>
              <w:rPr>
                <w:rFonts w:ascii="Arial" w:cs="Arial" w:eastAsia="Arial" w:hAnsi="Arial"/>
                <w:sz w:val="18"/>
                <w:szCs w:val="18"/>
                <w:color w:val="auto"/>
              </w:rPr>
              <w:t>fund from available-for-sale to held as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20" w:type="dxa"/>
            <w:vAlign w:val="bottom"/>
          </w:tcPr>
          <w:p>
            <w:pPr>
              <w:ind w:left="180"/>
              <w:spacing w:after="0"/>
              <w:rPr>
                <w:sz w:val="20"/>
                <w:szCs w:val="20"/>
                <w:color w:val="auto"/>
              </w:rPr>
            </w:pPr>
            <w:r>
              <w:rPr>
                <w:rFonts w:ascii="Arial" w:cs="Arial" w:eastAsia="Arial" w:hAnsi="Arial"/>
                <w:sz w:val="18"/>
                <w:szCs w:val="18"/>
                <w:color w:val="auto"/>
              </w:rPr>
              <w:t>trading</w:t>
            </w:r>
          </w:p>
        </w:tc>
        <w:tc>
          <w:tcPr>
            <w:tcW w:w="92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gains recognized on investments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29"/>
        </w:trPr>
        <w:tc>
          <w:tcPr>
            <w:tcW w:w="3420" w:type="dxa"/>
            <w:vAlign w:val="bottom"/>
          </w:tcPr>
          <w:p>
            <w:pPr>
              <w:ind w:left="180"/>
              <w:spacing w:after="0"/>
              <w:rPr>
                <w:sz w:val="20"/>
                <w:szCs w:val="20"/>
                <w:color w:val="auto"/>
              </w:rPr>
            </w:pPr>
            <w:r>
              <w:rPr>
                <w:rFonts w:ascii="Arial" w:cs="Arial" w:eastAsia="Arial" w:hAnsi="Arial"/>
                <w:sz w:val="18"/>
                <w:szCs w:val="18"/>
                <w:color w:val="auto"/>
              </w:rPr>
              <w:t>Net investments in T. Rowe Price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180"/>
              <w:spacing w:after="0" w:line="202" w:lineRule="exact"/>
              <w:rPr>
                <w:sz w:val="20"/>
                <w:szCs w:val="20"/>
                <w:color w:val="auto"/>
              </w:rPr>
            </w:pPr>
            <w:r>
              <w:rPr>
                <w:rFonts w:ascii="Arial" w:cs="Arial" w:eastAsia="Arial" w:hAnsi="Arial"/>
                <w:sz w:val="18"/>
                <w:szCs w:val="18"/>
                <w:color w:val="auto"/>
              </w:rPr>
              <w:t>investment products to economically</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180"/>
              <w:spacing w:after="0" w:line="202" w:lineRule="exact"/>
              <w:rPr>
                <w:sz w:val="20"/>
                <w:szCs w:val="20"/>
                <w:color w:val="auto"/>
              </w:rPr>
            </w:pPr>
            <w:r>
              <w:rPr>
                <w:rFonts w:ascii="Arial" w:cs="Arial" w:eastAsia="Arial" w:hAnsi="Arial"/>
                <w:sz w:val="18"/>
                <w:szCs w:val="18"/>
                <w:color w:val="auto"/>
              </w:rPr>
              <w:t>hedge supplemental savings plan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2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920" w:type="dxa"/>
            <w:vAlign w:val="bottom"/>
          </w:tcPr>
          <w:p>
            <w:pPr>
              <w:jc w:val="right"/>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5"/>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trading securities held by</w:t>
            </w: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consolidated T. Rowe Price investment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(1,210.5)</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changes in assets and liabilities</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438.6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422.2</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454.0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215"/>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1,462.4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352.8</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2,060.9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229"/>
        </w:trPr>
        <w:tc>
          <w:tcPr>
            <w:tcW w:w="3420" w:type="dxa"/>
            <w:vAlign w:val="bottom"/>
          </w:tcPr>
          <w:p>
            <w:pPr>
              <w:ind w:left="40"/>
              <w:spacing w:after="0"/>
              <w:rPr>
                <w:sz w:val="20"/>
                <w:szCs w:val="20"/>
                <w:color w:val="auto"/>
              </w:rPr>
            </w:pPr>
            <w:r>
              <w:rPr>
                <w:rFonts w:ascii="Arial" w:cs="Arial" w:eastAsia="Arial" w:hAnsi="Arial"/>
                <w:sz w:val="18"/>
                <w:szCs w:val="18"/>
                <w:color w:val="auto"/>
              </w:rPr>
              <w:t>Net cash provided by (used in) investing</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2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92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(830.4)</w:t>
            </w:r>
          </w:p>
        </w:tc>
        <w:tc>
          <w:tcPr>
            <w:tcW w:w="0" w:type="dxa"/>
            <w:vAlign w:val="bottom"/>
          </w:tcPr>
          <w:p>
            <w:pPr>
              <w:spacing w:after="0"/>
              <w:rPr>
                <w:sz w:val="1"/>
                <w:szCs w:val="1"/>
                <w:color w:val="auto"/>
              </w:rPr>
            </w:pPr>
          </w:p>
        </w:tc>
      </w:tr>
      <w:tr>
        <w:trPr>
          <w:trHeight w:val="235"/>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w:t>
            </w: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1,186.4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270.6</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597.9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29"/>
        </w:trPr>
        <w:tc>
          <w:tcPr>
            <w:tcW w:w="34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40"/>
              <w:spacing w:after="0" w:line="202" w:lineRule="exact"/>
              <w:rPr>
                <w:sz w:val="20"/>
                <w:szCs w:val="20"/>
                <w:color w:val="auto"/>
              </w:rPr>
            </w:pPr>
            <w:r>
              <w:rPr>
                <w:rFonts w:ascii="Arial" w:cs="Arial" w:eastAsia="Arial" w:hAnsi="Arial"/>
                <w:sz w:val="18"/>
                <w:szCs w:val="18"/>
                <w:color w:val="auto"/>
              </w:rPr>
              <w:t>and cash equivalents of consolidated T.</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20" w:type="dxa"/>
            <w:vAlign w:val="bottom"/>
          </w:tcPr>
          <w:p>
            <w:pPr>
              <w:ind w:left="40"/>
              <w:spacing w:after="0"/>
              <w:rPr>
                <w:sz w:val="20"/>
                <w:szCs w:val="20"/>
                <w:color w:val="auto"/>
              </w:rPr>
            </w:pPr>
            <w:r>
              <w:rPr>
                <w:rFonts w:ascii="Arial" w:cs="Arial" w:eastAsia="Arial" w:hAnsi="Arial"/>
                <w:sz w:val="18"/>
                <w:szCs w:val="18"/>
                <w:color w:val="auto"/>
              </w:rPr>
              <w:t>Rowe Price investment products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5"/>
        </w:trPr>
        <w:tc>
          <w:tcPr>
            <w:tcW w:w="3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during period</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664.5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705.7</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29"/>
        </w:trPr>
        <w:tc>
          <w:tcPr>
            <w:tcW w:w="3420" w:type="dxa"/>
            <w:vAlign w:val="bottom"/>
          </w:tcPr>
          <w:p>
            <w:pPr>
              <w:ind w:left="40"/>
              <w:spacing w:after="0"/>
              <w:rPr>
                <w:sz w:val="20"/>
                <w:szCs w:val="20"/>
                <w:color w:val="auto"/>
              </w:rPr>
            </w:pPr>
            <w:r>
              <w:rPr>
                <w:rFonts w:ascii="Arial" w:cs="Arial" w:eastAsia="Arial" w:hAnsi="Arial"/>
                <w:sz w:val="18"/>
                <w:szCs w:val="18"/>
                <w:color w:val="auto"/>
              </w:rPr>
              <w:t>Cash and cash equivalents at beginning</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of year</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1,204.9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1,270.5</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1,902.7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103.1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2,005.8</w:t>
            </w:r>
          </w:p>
        </w:tc>
        <w:tc>
          <w:tcPr>
            <w:tcW w:w="0" w:type="dxa"/>
            <w:vAlign w:val="bottom"/>
          </w:tcPr>
          <w:p>
            <w:pPr>
              <w:spacing w:after="0"/>
              <w:rPr>
                <w:sz w:val="1"/>
                <w:szCs w:val="1"/>
                <w:color w:val="auto"/>
              </w:rPr>
            </w:pPr>
          </w:p>
        </w:tc>
      </w:tr>
      <w:tr>
        <w:trPr>
          <w:trHeight w:val="215"/>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w:t>
            </w:r>
          </w:p>
        </w:tc>
        <w:tc>
          <w:tcPr>
            <w:tcW w:w="9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$ 1,869.4</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$1,976.2</w:t>
            </w:r>
          </w:p>
        </w:tc>
        <w:tc>
          <w:tcPr>
            <w:tcW w:w="12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$ 2,090.6</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105.7</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$2,196.3</w:t>
            </w: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period</w:t>
            </w: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59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0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September 30, 2018, the related condensed consolidated statements of income and comprehensive income for the three-month and nine-month periods ended September 30, 2018 and 2017, the related condensed consolidated statements of cash flows for the nine-month periods ended September 30, 2018 and 2017, the related condensed consolidated statement of stockholders' equity for the nine-month period ended September 30, 2018,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6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2017, and the related consolidated statements of income, comprehensive income, changes in stockholders’ equity, and cash flows for the year then ended (not presented herein); and in our report dated February 16, 2018, we expressed an unqualified opinion on those consolidated financial statements. In our opinion, the information set forth in the accompanying condensed consolidated balance sheet as of December 31, 2017, is fairly stated, in all material respects, in relation to the consolidated balance sheet from which it has been derived.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08"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360"/>
          </w:cols>
          <w:pgMar w:left="240" w:top="598" w:right="2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U.S. mutual funds and other investment products. The other investment products include: separately managed accounts, subadvised funds, and other T. Rowe Price products including collective investment trusts, open-ended investment products offered to investors outside the U.S., and products offered through variable annuity life insurance plans in the U.S. Investment advisory clients domiciled outside the U.S. account for 6.0% of our assets under management at September 30, 2018.</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products,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 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remain debt-free with ample liquidity and resources that allow us to take advantage of attractive growth opportunities; invest in key capabilities, including investment professionals, technologies, and new product offerings; and, most importantly, provide our clients with strong investment management expertise and service both now and in the future. We expect to continue our investment in long-term initiatives to sustain and deepen our investment talent, add investment capabilities both in terms of new strategies and new investment vehicles, expand capabilities through enhanced technology, and broaden our distribution reach globally. We currently expect our 2018 non-GAAP operating expenses to grow in the range of 8% to 11%. This expense growth range factors in a number of cost optimization efforts and any contemplated uses of our expected U.S. tax reform benefits.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MARKET TRENDS.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Led by large-caps, U.S. stocks climbed in the third quarter of 2018, lifting major domestic stock indexes to new all-time highs. Strong corporate earnings reports and economic growth-boosted by tax cuts in last year’s tax reform legislation-propelled the market’s advance. The U.S.-China trade dispute continued, with each country implementing or threatening to implement tariffs on various imports. However, the U.S. reached new trade deals with Mexico and with Canada that will replace the North American Free Trade Agreement, as well as with South Korea.</w:t>
      </w:r>
    </w:p>
    <w:p>
      <w:pPr>
        <w:spacing w:after="0" w:line="20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Stocks in developed non-U.S. markets produced gains but substantially lagged U.S. shares, hindered in part by a stronger dollar versus various currencies. In U.S. dollar terms, developed Asian markets were mixed, but Japanese shares led the region with a gain of almost 4%. European markets were also mixed. Oil-producer Norway produced strong returns, but Italian shares fell more than 4%, as sovereign bond yields climbed due to expectations for increased government spending and a widening budget deficit. UK shares sagged close to 2%, due in part to continued uncertainty about the terms of its withdrawal from the European Union.</w:t>
      </w:r>
    </w:p>
    <w:p>
      <w:pPr>
        <w:spacing w:after="0" w:line="20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Returns in emerging equity markets varied widely, as currencies in some developing markets remained under pressure. Chinese equities lost 7%, but Thailand’s market soared almost 14%, supported by strong economic growth. In emerging Europe, Russian shares advanced more than 6% amid rising oil prices, whereas stocks in Turkey plunged more than 20% due to lira weakness, surging sovereign bond yields, slowing growth, and deteriorating U.S.-Turkey relations. In Latin America, Mexican shares rose almost 7%, as political uncertainty dissipated following the July 1 presidential election. Brazilian shares rose 6% despite significant uncertainty ahead of October’s elections.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380"/>
          </w:cols>
          <w:pgMar w:left="240" w:top="576"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Returns of several major equity market indexes for the three- and nine-month periods ended September 30, 2018,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9/30/2018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9/30/2018</w:t>
            </w:r>
          </w:p>
        </w:tc>
      </w:tr>
      <w:tr>
        <w:trPr>
          <w:trHeight w:val="256"/>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S&amp;P 500 Index</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7.7%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10.6%</w:t>
            </w:r>
          </w:p>
        </w:tc>
      </w:tr>
      <w:tr>
        <w:trPr>
          <w:trHeight w:val="270"/>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NASDAQ Composite Index</w:t>
            </w:r>
            <w:r>
              <w:rPr>
                <w:rFonts w:ascii="Arial" w:cs="Arial" w:eastAsia="Arial" w:hAnsi="Arial"/>
                <w:sz w:val="21"/>
                <w:szCs w:val="21"/>
                <w:color w:val="auto"/>
                <w:vertAlign w:val="superscript"/>
              </w:rPr>
              <w:t>(1)</w:t>
            </w: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7.1%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16.6%</w:t>
            </w:r>
          </w:p>
        </w:tc>
      </w:t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Russell 2000 Index</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3.6%</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11.5%</w:t>
            </w: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1.4%</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(1.0)%</w:t>
            </w:r>
          </w:p>
        </w:tc>
      </w:tr>
      <w:tr>
        <w:trPr>
          <w:trHeight w:val="270"/>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MSCI Emerging Markets Index</w:t>
            </w: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(1.0)%</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hanging="132"/>
        <w:spacing w:after="0"/>
        <w:tabs>
          <w:tab w:leader="none" w:pos="18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i w:val="1"/>
          <w:iCs w:val="1"/>
          <w:color w:val="auto"/>
        </w:rPr>
        <w:t>Returns exclude dividends</w:t>
      </w:r>
    </w:p>
    <w:p>
      <w:pPr>
        <w:spacing w:after="0" w:line="20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Global bond returns were mixed. In the U.S., the Federal Reserve raised its fed funds target rate range in late September, which was widely expected, and Treasury yields rose broadly. The 10-year Treasury note yield increased from 2.85% to 3.05% during the third quarter of 2018. Treasury bond prices declined, while mortgage-backed and municipal securities edged lower. Investment-grade corporate bonds produced decent gains. High yield issues strongly outperformed higher-quality bonds, helped by their lower interest rate sensitivity and by favorable corporate fundamentals.</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Bonds in developed non-U.S. markets declined in dollar terms, as rising interest rates in some countries weighed on bond prices and a stronger greenback against some major currencies reduced returns to U.S. investors. In the eurozone, political concerns kept Italian government bonds under pressure. The European Central Bank reiterated plans to end its bond-buying program at the end of 2018 and to keep rates on hold “at least through the summer of 2019.” In the UK, the central bank raised short-term rates in early August, driving bond yields higher, while the British pound fell more than 1% versus the dollar. In Asia, the Bank of Japan announced that it would allow the 10-year government bond yield to fluctuate in a wider range around 0%. The yen declined about 2.5% versus the dollar.</w:t>
      </w:r>
    </w:p>
    <w:p>
      <w:pPr>
        <w:spacing w:after="0" w:line="20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Emerging markets bonds were mixed. Dollar-denominated emerging markets debt produced solid returns, but local currency bonds declined due to weakness among key currencies, such as the Turkish lira and the Indian rupee. Central banks in various countries were forced to raise short-term rates in an attempt to shore up their currencies or to keep inflation from rising.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for the three- and nine-month periods ended September 30, 2018,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9/30/2018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9/30/2018</w:t>
            </w:r>
          </w:p>
        </w:tc>
      </w:tr>
      <w:tr>
        <w:trPr>
          <w:trHeight w:val="256"/>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Bloomberg Barclays U.S. Aggregate Bond Index</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(1.6)%</w:t>
            </w:r>
          </w:p>
        </w:tc>
      </w:tr>
      <w:tr>
        <w:trPr>
          <w:trHeight w:val="26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JPMorgan Global High Yield Index</w:t>
            </w: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2.2%</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1.7%</w:t>
            </w:r>
          </w:p>
        </w:tc>
      </w:tr>
      <w:tr>
        <w:trPr>
          <w:trHeight w:val="277"/>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Bloomberg Barclays Municipal Bond Index</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w:t>
            </w:r>
          </w:p>
        </w:tc>
      </w:tr>
      <w:tr>
        <w:trPr>
          <w:trHeight w:val="26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Bloomberg Barclays Global Aggregate Ex-U.S. Dollar Bond Index</w:t>
            </w: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(1.7)%</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(3.0)%</w:t>
            </w:r>
          </w:p>
        </w:tc>
      </w:tr>
      <w:tr>
        <w:trPr>
          <w:trHeight w:val="277"/>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JPMorgan Emerging Markets Bond Index Plus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(4.7)%</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20"/>
          </w:cols>
          <w:pgMar w:left="240" w:top="59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ASSETS UNDER MANAGEMENT.</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Assets under management ended the third quarter of 2018 at $ 1,083.8 billion, an increase of $39.7 billion from June 30, 2018 and $ 92.7 billion from the end of 2017. We had net cash inflows of $ 2.7 billion in the third quarter of 2018 and $21.6 billion for the first nine months of 2018. The following table details changes in our assets under management, by vehicle and asset class during the three- and nine-month periods ended September 30, 2018:</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500" w:type="dxa"/>
            <w:vAlign w:val="bottom"/>
            <w:tcBorders>
              <w:bottom w:val="single" w:sz="8" w:color="auto"/>
            </w:tcBorders>
            <w:gridSpan w:val="5"/>
            <w:shd w:val="clear" w:color="auto" w:fill="CCEEFF"/>
          </w:tcPr>
          <w:p>
            <w:pPr>
              <w:ind w:left="120"/>
              <w:spacing w:after="0"/>
              <w:rPr>
                <w:sz w:val="20"/>
                <w:szCs w:val="20"/>
                <w:color w:val="auto"/>
              </w:rPr>
            </w:pPr>
            <w:r>
              <w:rPr>
                <w:rFonts w:ascii="Arial" w:cs="Arial" w:eastAsia="Arial" w:hAnsi="Arial"/>
                <w:sz w:val="14"/>
                <w:szCs w:val="14"/>
                <w:b w:val="1"/>
                <w:bCs w:val="1"/>
                <w:color w:val="auto"/>
              </w:rPr>
              <w:t>Three months ended 9/30/2018</w:t>
            </w: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480" w:type="dxa"/>
            <w:vAlign w:val="bottom"/>
            <w:tcBorders>
              <w:bottom w:val="single" w:sz="8" w:color="auto"/>
            </w:tcBorders>
            <w:gridSpan w:val="5"/>
            <w:shd w:val="clear" w:color="auto" w:fill="CCEEFF"/>
          </w:tcPr>
          <w:p>
            <w:pPr>
              <w:ind w:left="180"/>
              <w:spacing w:after="0"/>
              <w:rPr>
                <w:sz w:val="20"/>
                <w:szCs w:val="20"/>
                <w:color w:val="auto"/>
              </w:rPr>
            </w:pPr>
            <w:r>
              <w:rPr>
                <w:rFonts w:ascii="Arial" w:cs="Arial" w:eastAsia="Arial" w:hAnsi="Arial"/>
                <w:sz w:val="14"/>
                <w:szCs w:val="14"/>
                <w:b w:val="1"/>
                <w:bCs w:val="1"/>
                <w:color w:val="auto"/>
              </w:rPr>
              <w:t>Nine months ended 9/30/2018</w:t>
            </w: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U.S.</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Subadvised and</w:t>
            </w:r>
          </w:p>
        </w:tc>
        <w:tc>
          <w:tcPr>
            <w:tcW w:w="14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U.S.</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Subadvised and</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mutual</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separate</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mutual</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separate</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20" w:type="dxa"/>
            <w:vAlign w:val="bottom"/>
          </w:tcPr>
          <w:p>
            <w:pPr>
              <w:ind w:left="40"/>
              <w:spacing w:after="0"/>
              <w:rPr>
                <w:sz w:val="20"/>
                <w:szCs w:val="20"/>
                <w:color w:val="auto"/>
              </w:rPr>
            </w:pPr>
            <w:r>
              <w:rPr>
                <w:rFonts w:ascii="Arial" w:cs="Arial" w:eastAsia="Arial" w:hAnsi="Arial"/>
                <w:sz w:val="14"/>
                <w:szCs w:val="14"/>
                <w:color w:val="auto"/>
              </w:rPr>
              <w:t>(in billions)</w:t>
            </w:r>
          </w:p>
        </w:tc>
        <w:tc>
          <w:tcPr>
            <w:tcW w:w="140" w:type="dxa"/>
            <w:vAlign w:val="bottom"/>
          </w:tcPr>
          <w:p>
            <w:pPr>
              <w:spacing w:after="0"/>
              <w:rPr>
                <w:sz w:val="17"/>
                <w:szCs w:val="17"/>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funds</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accounts</w:t>
            </w: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products</w:t>
            </w:r>
          </w:p>
        </w:tc>
        <w:tc>
          <w:tcPr>
            <w:tcW w:w="18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funds</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accounts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180" w:type="dxa"/>
            <w:vAlign w:val="bottom"/>
          </w:tcPr>
          <w:p>
            <w:pPr>
              <w:spacing w:after="0"/>
              <w:rPr>
                <w:sz w:val="17"/>
                <w:szCs w:val="17"/>
                <w:color w:val="auto"/>
              </w:rPr>
            </w:pPr>
          </w:p>
        </w:tc>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4"/>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under management at</w:t>
            </w: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626.1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268.8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149.2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1,044.1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606.3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255.2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129.6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991.1</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flows before client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transfers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6"/>
                <w:szCs w:val="16"/>
                <w:color w:val="auto"/>
              </w:rPr>
              <w:t>Client transfers</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after client</w:t>
            </w: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transfers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8"/>
        </w:trPr>
        <w:tc>
          <w:tcPr>
            <w:tcW w:w="2420" w:type="dxa"/>
            <w:vAlign w:val="bottom"/>
          </w:tcPr>
          <w:p>
            <w:pPr>
              <w:ind w:left="40"/>
              <w:spacing w:after="0"/>
              <w:rPr>
                <w:sz w:val="20"/>
                <w:szCs w:val="20"/>
                <w:color w:val="auto"/>
              </w:rPr>
            </w:pPr>
            <w:r>
              <w:rPr>
                <w:rFonts w:ascii="Arial" w:cs="Arial" w:eastAsia="Arial" w:hAnsi="Arial"/>
                <w:sz w:val="16"/>
                <w:szCs w:val="16"/>
                <w:color w:val="auto"/>
              </w:rPr>
              <w:t>Net market appreciation and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420" w:type="dxa"/>
            <w:vAlign w:val="bottom"/>
          </w:tcPr>
          <w:p>
            <w:pPr>
              <w:ind w:left="40"/>
              <w:spacing w:after="0"/>
              <w:rPr>
                <w:sz w:val="20"/>
                <w:szCs w:val="20"/>
                <w:color w:val="auto"/>
              </w:rPr>
            </w:pPr>
            <w:r>
              <w:rPr>
                <w:rFonts w:ascii="Arial" w:cs="Arial" w:eastAsia="Arial" w:hAnsi="Arial"/>
                <w:sz w:val="16"/>
                <w:szCs w:val="16"/>
                <w:color w:val="auto"/>
              </w:rPr>
              <w:t>income</w:t>
            </w:r>
          </w:p>
        </w:tc>
        <w:tc>
          <w:tcPr>
            <w:tcW w:w="140" w:type="dxa"/>
            <w:vAlign w:val="bottom"/>
          </w:tcPr>
          <w:p>
            <w:pPr>
              <w:spacing w:after="0"/>
              <w:rPr>
                <w:sz w:val="17"/>
                <w:szCs w:val="17"/>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22.5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27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not reinvested</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Change during the period</w:t>
            </w: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18.7</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420" w:type="dxa"/>
            <w:vAlign w:val="bottom"/>
          </w:tcPr>
          <w:p>
            <w:pPr>
              <w:ind w:left="40"/>
              <w:spacing w:after="0"/>
              <w:rPr>
                <w:sz w:val="20"/>
                <w:szCs w:val="20"/>
                <w:color w:val="auto"/>
              </w:rPr>
            </w:pPr>
            <w:r>
              <w:rPr>
                <w:rFonts w:ascii="Arial" w:cs="Arial" w:eastAsia="Arial" w:hAnsi="Arial"/>
                <w:sz w:val="16"/>
                <w:szCs w:val="16"/>
                <w:color w:val="auto"/>
              </w:rPr>
              <w:t>Assets under management at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color w:val="auto"/>
              </w:rPr>
              <w:t>644.8</w:t>
            </w:r>
          </w:p>
        </w:tc>
        <w:tc>
          <w:tcPr>
            <w:tcW w:w="14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ind w:right="22"/>
              <w:spacing w:after="0"/>
              <w:rPr>
                <w:sz w:val="20"/>
                <w:szCs w:val="20"/>
                <w:color w:val="auto"/>
              </w:rPr>
            </w:pPr>
            <w:r>
              <w:rPr>
                <w:rFonts w:ascii="Arial" w:cs="Arial" w:eastAsia="Arial" w:hAnsi="Arial"/>
                <w:sz w:val="16"/>
                <w:szCs w:val="16"/>
                <w:color w:val="auto"/>
              </w:rPr>
              <w:t>281.3</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157.7</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ind w:right="40"/>
              <w:spacing w:after="0"/>
              <w:rPr>
                <w:sz w:val="20"/>
                <w:szCs w:val="20"/>
                <w:color w:val="auto"/>
              </w:rPr>
            </w:pPr>
            <w:r>
              <w:rPr>
                <w:rFonts w:ascii="Arial" w:cs="Arial" w:eastAsia="Arial" w:hAnsi="Arial"/>
                <w:sz w:val="16"/>
                <w:szCs w:val="16"/>
                <w:color w:val="auto"/>
              </w:rPr>
              <w:t>1,083.8</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ind w:right="21"/>
              <w:spacing w:after="0"/>
              <w:rPr>
                <w:sz w:val="20"/>
                <w:szCs w:val="20"/>
                <w:color w:val="auto"/>
              </w:rPr>
            </w:pPr>
            <w:r>
              <w:rPr>
                <w:rFonts w:ascii="Arial" w:cs="Arial" w:eastAsia="Arial" w:hAnsi="Arial"/>
                <w:sz w:val="16"/>
                <w:szCs w:val="16"/>
                <w:color w:val="auto"/>
              </w:rPr>
              <w:t>644.8</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22"/>
              <w:spacing w:after="0"/>
              <w:rPr>
                <w:sz w:val="20"/>
                <w:szCs w:val="20"/>
                <w:color w:val="auto"/>
              </w:rPr>
            </w:pPr>
            <w:r>
              <w:rPr>
                <w:rFonts w:ascii="Arial" w:cs="Arial" w:eastAsia="Arial" w:hAnsi="Arial"/>
                <w:sz w:val="16"/>
                <w:szCs w:val="16"/>
                <w:color w:val="auto"/>
              </w:rPr>
              <w:t>281.3</w:t>
            </w:r>
          </w:p>
        </w:tc>
        <w:tc>
          <w:tcPr>
            <w:tcW w:w="12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157.7</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0"/>
              <w:spacing w:after="0"/>
              <w:rPr>
                <w:sz w:val="20"/>
                <w:szCs w:val="20"/>
                <w:color w:val="auto"/>
              </w:rPr>
            </w:pPr>
            <w:r>
              <w:rPr>
                <w:rFonts w:ascii="Arial" w:cs="Arial" w:eastAsia="Arial" w:hAnsi="Arial"/>
                <w:sz w:val="16"/>
                <w:szCs w:val="16"/>
                <w:color w:val="auto"/>
              </w:rPr>
              <w:t>1,083.8</w:t>
            </w:r>
          </w:p>
        </w:tc>
        <w:tc>
          <w:tcPr>
            <w:tcW w:w="0" w:type="dxa"/>
            <w:vAlign w:val="bottom"/>
          </w:tcPr>
          <w:p>
            <w:pPr>
              <w:spacing w:after="0"/>
              <w:rPr>
                <w:sz w:val="1"/>
                <w:szCs w:val="1"/>
                <w:color w:val="auto"/>
              </w:rPr>
            </w:pPr>
          </w:p>
        </w:tc>
      </w:tr>
      <w:tr>
        <w:trPr>
          <w:trHeight w:val="203"/>
        </w:trPr>
        <w:tc>
          <w:tcPr>
            <w:tcW w:w="2420" w:type="dxa"/>
            <w:vAlign w:val="bottom"/>
          </w:tcPr>
          <w:p>
            <w:pPr>
              <w:ind w:left="40"/>
              <w:spacing w:after="0"/>
              <w:rPr>
                <w:sz w:val="20"/>
                <w:szCs w:val="20"/>
                <w:color w:val="auto"/>
              </w:rPr>
            </w:pPr>
            <w:r>
              <w:rPr>
                <w:rFonts w:ascii="Arial" w:cs="Arial" w:eastAsia="Arial" w:hAnsi="Arial"/>
                <w:sz w:val="16"/>
                <w:szCs w:val="16"/>
                <w:color w:val="auto"/>
              </w:rPr>
              <w:t>September 30, 2018</w:t>
            </w:r>
          </w:p>
        </w:tc>
        <w:tc>
          <w:tcPr>
            <w:tcW w:w="14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24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9/30/2018</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Nine months ended 9/30/2018</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Fixed income,</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Fixed income,</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including money</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including money</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billions)</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Equity</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market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8"/>
              </w:rPr>
              <w:t>Multi-asset</w:t>
            </w:r>
            <w:r>
              <w:rPr>
                <w:rFonts w:ascii="Arial" w:cs="Arial" w:eastAsia="Arial" w:hAnsi="Arial"/>
                <w:sz w:val="17"/>
                <w:szCs w:val="17"/>
                <w:b w:val="1"/>
                <w:bCs w:val="1"/>
                <w:color w:val="auto"/>
                <w:w w:val="98"/>
                <w:vertAlign w:val="superscript"/>
              </w:rPr>
              <w:t>(1)</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Equity</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market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Multi-asset</w:t>
            </w:r>
            <w:r>
              <w:rPr>
                <w:rFonts w:ascii="Arial" w:cs="Arial" w:eastAsia="Arial" w:hAnsi="Arial"/>
                <w:sz w:val="17"/>
                <w:szCs w:val="17"/>
                <w:b w:val="1"/>
                <w:bCs w:val="1"/>
                <w:color w:val="auto"/>
                <w:vertAlign w:val="superscript"/>
              </w:rPr>
              <w:t>(1)</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under management at</w:t>
            </w: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603.6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136.4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304.1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1,044.1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564.1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134.4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292.6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991.1</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3"/>
        </w:trPr>
        <w:tc>
          <w:tcPr>
            <w:tcW w:w="2420" w:type="dxa"/>
            <w:vAlign w:val="bottom"/>
          </w:tcPr>
          <w:p>
            <w:pPr>
              <w:ind w:left="40"/>
              <w:spacing w:after="0"/>
              <w:rPr>
                <w:sz w:val="20"/>
                <w:szCs w:val="20"/>
                <w:color w:val="auto"/>
              </w:rPr>
            </w:pPr>
            <w:r>
              <w:rPr>
                <w:rFonts w:ascii="Arial" w:cs="Arial" w:eastAsia="Arial" w:hAnsi="Arial"/>
                <w:sz w:val="16"/>
                <w:szCs w:val="16"/>
                <w:color w:val="auto"/>
              </w:rPr>
              <w:t>Net market appreciation and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tcBorders>
              <w:bottom w:val="single" w:sz="8" w:color="CCEEFF"/>
            </w:tcBorders>
          </w:tcPr>
          <w:p>
            <w:pPr>
              <w:ind w:left="40"/>
              <w:spacing w:after="0" w:line="219" w:lineRule="exact"/>
              <w:rPr>
                <w:sz w:val="20"/>
                <w:szCs w:val="20"/>
                <w:color w:val="auto"/>
              </w:rPr>
            </w:pPr>
            <w:r>
              <w:rPr>
                <w:rFonts w:ascii="Arial" w:cs="Arial" w:eastAsia="Arial" w:hAnsi="Arial"/>
                <w:sz w:val="16"/>
                <w:szCs w:val="16"/>
                <w:color w:val="auto"/>
              </w:rPr>
              <w:t>income</w:t>
            </w:r>
            <w:r>
              <w:rPr>
                <w:rFonts w:ascii="Arial" w:cs="Arial" w:eastAsia="Arial" w:hAnsi="Arial"/>
                <w:sz w:val="21"/>
                <w:szCs w:val="21"/>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28.8</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during the period</w:t>
            </w: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28.1</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198"/>
        </w:trPr>
        <w:tc>
          <w:tcPr>
            <w:tcW w:w="2420" w:type="dxa"/>
            <w:vAlign w:val="bottom"/>
          </w:tcPr>
          <w:p>
            <w:pPr>
              <w:ind w:left="40"/>
              <w:spacing w:after="0"/>
              <w:rPr>
                <w:sz w:val="20"/>
                <w:szCs w:val="20"/>
                <w:color w:val="auto"/>
              </w:rPr>
            </w:pPr>
            <w:r>
              <w:rPr>
                <w:rFonts w:ascii="Arial" w:cs="Arial" w:eastAsia="Arial" w:hAnsi="Arial"/>
                <w:sz w:val="16"/>
                <w:szCs w:val="16"/>
                <w:color w:val="auto"/>
              </w:rPr>
              <w:t>Assets under management at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color w:val="auto"/>
              </w:rPr>
              <w:t>631.7</w:t>
            </w:r>
          </w:p>
        </w:tc>
        <w:tc>
          <w:tcPr>
            <w:tcW w:w="14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ind w:right="22"/>
              <w:spacing w:after="0"/>
              <w:rPr>
                <w:sz w:val="20"/>
                <w:szCs w:val="20"/>
                <w:color w:val="auto"/>
              </w:rPr>
            </w:pPr>
            <w:r>
              <w:rPr>
                <w:rFonts w:ascii="Arial" w:cs="Arial" w:eastAsia="Arial" w:hAnsi="Arial"/>
                <w:sz w:val="16"/>
                <w:szCs w:val="16"/>
                <w:color w:val="auto"/>
              </w:rPr>
              <w:t>137.9</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314.2</w:t>
            </w:r>
          </w:p>
        </w:tc>
        <w:tc>
          <w:tcPr>
            <w:tcW w:w="1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ind w:right="40"/>
              <w:spacing w:after="0"/>
              <w:rPr>
                <w:sz w:val="20"/>
                <w:szCs w:val="20"/>
                <w:color w:val="auto"/>
              </w:rPr>
            </w:pPr>
            <w:r>
              <w:rPr>
                <w:rFonts w:ascii="Arial" w:cs="Arial" w:eastAsia="Arial" w:hAnsi="Arial"/>
                <w:sz w:val="16"/>
                <w:szCs w:val="16"/>
                <w:color w:val="auto"/>
              </w:rPr>
              <w:t>1,083.8</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ind w:right="21"/>
              <w:spacing w:after="0"/>
              <w:rPr>
                <w:sz w:val="20"/>
                <w:szCs w:val="20"/>
                <w:color w:val="auto"/>
              </w:rPr>
            </w:pPr>
            <w:r>
              <w:rPr>
                <w:rFonts w:ascii="Arial" w:cs="Arial" w:eastAsia="Arial" w:hAnsi="Arial"/>
                <w:sz w:val="16"/>
                <w:szCs w:val="16"/>
                <w:color w:val="auto"/>
              </w:rPr>
              <w:t>631.7</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22"/>
              <w:spacing w:after="0"/>
              <w:rPr>
                <w:sz w:val="20"/>
                <w:szCs w:val="20"/>
                <w:color w:val="auto"/>
              </w:rPr>
            </w:pPr>
            <w:r>
              <w:rPr>
                <w:rFonts w:ascii="Arial" w:cs="Arial" w:eastAsia="Arial" w:hAnsi="Arial"/>
                <w:sz w:val="16"/>
                <w:szCs w:val="16"/>
                <w:color w:val="auto"/>
              </w:rPr>
              <w:t>137.9</w:t>
            </w:r>
          </w:p>
        </w:tc>
        <w:tc>
          <w:tcPr>
            <w:tcW w:w="12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314.2</w:t>
            </w:r>
          </w:p>
        </w:tc>
        <w:tc>
          <w:tcPr>
            <w:tcW w:w="1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0"/>
              <w:spacing w:after="0"/>
              <w:rPr>
                <w:sz w:val="20"/>
                <w:szCs w:val="20"/>
                <w:color w:val="auto"/>
              </w:rPr>
            </w:pPr>
            <w:r>
              <w:rPr>
                <w:rFonts w:ascii="Arial" w:cs="Arial" w:eastAsia="Arial" w:hAnsi="Arial"/>
                <w:sz w:val="16"/>
                <w:szCs w:val="16"/>
                <w:color w:val="auto"/>
              </w:rPr>
              <w:t>1,083.8</w:t>
            </w:r>
          </w:p>
        </w:tc>
        <w:tc>
          <w:tcPr>
            <w:tcW w:w="0" w:type="dxa"/>
            <w:vAlign w:val="bottom"/>
          </w:tcPr>
          <w:p>
            <w:pPr>
              <w:spacing w:after="0"/>
              <w:rPr>
                <w:sz w:val="1"/>
                <w:szCs w:val="1"/>
                <w:color w:val="auto"/>
              </w:rPr>
            </w:pPr>
          </w:p>
        </w:tc>
      </w:tr>
      <w:tr>
        <w:trPr>
          <w:trHeight w:val="195"/>
        </w:trPr>
        <w:tc>
          <w:tcPr>
            <w:tcW w:w="2420" w:type="dxa"/>
            <w:vAlign w:val="bottom"/>
          </w:tcPr>
          <w:p>
            <w:pPr>
              <w:ind w:left="40"/>
              <w:spacing w:after="0"/>
              <w:rPr>
                <w:sz w:val="20"/>
                <w:szCs w:val="20"/>
                <w:color w:val="auto"/>
              </w:rPr>
            </w:pPr>
            <w:r>
              <w:rPr>
                <w:rFonts w:ascii="Arial" w:cs="Arial" w:eastAsia="Arial" w:hAnsi="Arial"/>
                <w:sz w:val="16"/>
                <w:szCs w:val="16"/>
                <w:color w:val="auto"/>
              </w:rPr>
              <w:t>September 30, 2018</w:t>
            </w:r>
          </w:p>
        </w:tc>
        <w:tc>
          <w:tcPr>
            <w:tcW w:w="1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3810</wp:posOffset>
            </wp:positionV>
            <wp:extent cx="572008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pacing w:after="0" w:line="17" w:lineRule="exact"/>
        <w:rPr>
          <w:sz w:val="20"/>
          <w:szCs w:val="20"/>
          <w:color w:val="auto"/>
        </w:rPr>
      </w:pPr>
    </w:p>
    <w:p>
      <w:pPr>
        <w:ind w:left="180" w:right="340" w:hanging="172"/>
        <w:spacing w:after="0" w:line="227" w:lineRule="auto"/>
        <w:tabs>
          <w:tab w:leader="none" w:pos="153" w:val="left"/>
        </w:tabs>
        <w:numPr>
          <w:ilvl w:val="0"/>
          <w:numId w:val="9"/>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The underlying assets under management of the multi-asset portfolios have been aggregated and presented in this category and not reported in the equity and fixed income columns.</w:t>
      </w:r>
    </w:p>
    <w:p>
      <w:pPr>
        <w:ind w:left="160" w:hanging="152"/>
        <w:spacing w:after="0" w:line="199" w:lineRule="auto"/>
        <w:tabs>
          <w:tab w:leader="none" w:pos="160" w:val="left"/>
        </w:tabs>
        <w:numPr>
          <w:ilvl w:val="0"/>
          <w:numId w:val="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Reported net of distributions not reinvested.</w:t>
      </w:r>
    </w:p>
    <w:p>
      <w:pPr>
        <w:spacing w:after="0" w:line="14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target date retirement products, which are included in the multi-asset totals shown above, continue to be a significant part of our assets under management. Net cash inflows into our target date retirement products were $1.7 billion in the third quarter of 2018 and $10.2 billion in the first nine months of 2018. Assets under management in these portfolios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9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As of</w:t>
            </w: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billions)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12/31/17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6/30/18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9/30/18</w:t>
            </w:r>
          </w:p>
        </w:tc>
      </w:tr>
      <w:tr>
        <w:trPr>
          <w:trHeight w:val="256"/>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Target date retirement U.S. mutual funds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168.4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161.4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162.6</w:t>
            </w:r>
          </w:p>
        </w:tc>
      </w:tr>
      <w:tr>
        <w:trPr>
          <w:trHeight w:val="263"/>
        </w:trPr>
        <w:tc>
          <w:tcPr>
            <w:tcW w:w="7900" w:type="dxa"/>
            <w:vAlign w:val="bottom"/>
          </w:tcPr>
          <w:p>
            <w:pPr>
              <w:ind w:left="40"/>
              <w:spacing w:after="0"/>
              <w:rPr>
                <w:sz w:val="20"/>
                <w:szCs w:val="20"/>
                <w:color w:val="auto"/>
              </w:rPr>
            </w:pPr>
            <w:r>
              <w:rPr>
                <w:rFonts w:ascii="Arial" w:cs="Arial" w:eastAsia="Arial" w:hAnsi="Arial"/>
                <w:sz w:val="18"/>
                <w:szCs w:val="18"/>
                <w:color w:val="auto"/>
              </w:rPr>
              <w:t>Target date separately managed retirement accounts</w:t>
            </w:r>
          </w:p>
        </w:tc>
        <w:tc>
          <w:tcPr>
            <w:tcW w:w="220" w:type="dxa"/>
            <w:vAlign w:val="bottom"/>
          </w:tcPr>
          <w:p>
            <w:pPr>
              <w:spacing w:after="0"/>
              <w:rPr>
                <w:sz w:val="22"/>
                <w:szCs w:val="22"/>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6.0</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Target date retirement trusts</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63.7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77.6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83.5</w:t>
            </w:r>
          </w:p>
        </w:tc>
      </w:tr>
      <w:tr>
        <w:trPr>
          <w:trHeight w:val="237"/>
        </w:trPr>
        <w:tc>
          <w:tcPr>
            <w:tcW w:w="79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233.8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244.2</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252.1</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59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2017 net revenues and operating expenses presented with these results of operations have been recast to reflect the impact of adopting, on January 1, 2018, new accounting guidance related to revenue recognition. We elected to adopt the new guidance on a retrospective basis, which requires 2017 results to be recast to reflect the impact. The new guidance requires certain revenue related expenses that are incurred in servicing our U.S. mutual funds to be recognized in operating expenses versus being presented net against the related revenues. As such, net revenues and operating expenses, primarily product-related, were recast to reflect an increase of $17.0 million and $50.4 million for the three-and nine-month periods ended September 30, 2017. Additionally, we modified our income statement presentation to increase operating expense transparency and to align expenses with similar drivers. Prior year amounts have been reclassified to conform to the new 2018 presentation. For more information and the impact on the remaining quarters of 2017 of these two changes, see Note 1, The Company and Basis of Preparation, in the unaudited condensed consolidated financial statements contained in Part I, Item 1 of this filing.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of 2018 versus Third quarter of</w:t>
      </w:r>
      <w:r>
        <w:rPr>
          <w:rFonts w:ascii="Arial" w:cs="Arial" w:eastAsia="Arial" w:hAnsi="Arial"/>
          <w:sz w:val="18"/>
          <w:szCs w:val="18"/>
          <w:color w:val="auto"/>
        </w:rPr>
        <w:t xml:space="preserve"> 2017.</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table below presents financial results on a U.S. GAAP basis as well as a non-GAAP basis that adjusts, among other items, for the impact of our consolidated T. Rowe Price investment products, the impact of market movements on the supplemental savings plan liability and related economic hedges, investment income related to certain other investments, and certain nonrecurring charges and gains. Beginning in the second quarter of 2018, our non-GAAP adjustments no longer include non-operating income related to our cash and discretionary investments. We believe the non-GAAP financial measures below provide relevant and meaningful information to investors about our core operating results.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540" w:type="dxa"/>
            <w:vAlign w:val="bottom"/>
            <w:gridSpan w:val="5"/>
            <w:shd w:val="clear" w:color="auto" w:fill="CCEEFF"/>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2"/>
                <w:szCs w:val="22"/>
                <w:color w:val="auto"/>
              </w:rPr>
            </w:pPr>
          </w:p>
        </w:tc>
        <w:tc>
          <w:tcPr>
            <w:tcW w:w="2440" w:type="dxa"/>
            <w:vAlign w:val="bottom"/>
            <w:gridSpan w:val="3"/>
            <w:shd w:val="clear" w:color="auto" w:fill="CCEEFF"/>
          </w:tcPr>
          <w:p>
            <w:pPr>
              <w:jc w:val="right"/>
              <w:ind w:right="552"/>
              <w:spacing w:after="0"/>
              <w:rPr>
                <w:sz w:val="20"/>
                <w:szCs w:val="20"/>
                <w:color w:val="auto"/>
              </w:rPr>
            </w:pPr>
            <w:r>
              <w:rPr>
                <w:rFonts w:ascii="Arial" w:cs="Arial" w:eastAsia="Arial" w:hAnsi="Arial"/>
                <w:sz w:val="14"/>
                <w:szCs w:val="14"/>
                <w:b w:val="1"/>
                <w:bCs w:val="1"/>
                <w:color w:val="auto"/>
              </w:rPr>
              <w:t>Q3 2018 vs. Q3 2017</w:t>
            </w:r>
          </w:p>
        </w:tc>
      </w:tr>
      <w:tr>
        <w:trPr>
          <w:trHeight w:val="175"/>
        </w:trPr>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Dollar</w:t>
            </w:r>
          </w:p>
        </w:tc>
        <w:tc>
          <w:tcPr>
            <w:tcW w:w="132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Percentage</w:t>
            </w:r>
          </w:p>
        </w:tc>
      </w:tr>
      <w:tr>
        <w:trPr>
          <w:trHeight w:val="196"/>
        </w:trPr>
        <w:tc>
          <w:tcPr>
            <w:tcW w:w="5960" w:type="dxa"/>
            <w:vAlign w:val="bottom"/>
            <w:gridSpan w:val="5"/>
          </w:tcPr>
          <w:p>
            <w:pPr>
              <w:ind w:left="40"/>
              <w:spacing w:after="0"/>
              <w:rPr>
                <w:sz w:val="20"/>
                <w:szCs w:val="20"/>
                <w:color w:val="auto"/>
              </w:rPr>
            </w:pPr>
            <w:r>
              <w:rPr>
                <w:rFonts w:ascii="Arial" w:cs="Arial" w:eastAsia="Arial" w:hAnsi="Arial"/>
                <w:sz w:val="14"/>
                <w:szCs w:val="14"/>
                <w:color w:val="auto"/>
              </w:rPr>
              <w:t>(in millions, except per-share data)</w:t>
            </w:r>
          </w:p>
        </w:tc>
        <w:tc>
          <w:tcPr>
            <w:tcW w:w="220" w:type="dxa"/>
            <w:vAlign w:val="bottom"/>
          </w:tcPr>
          <w:p>
            <w:pPr>
              <w:spacing w:after="0"/>
              <w:rPr>
                <w:sz w:val="17"/>
                <w:szCs w:val="17"/>
                <w:color w:val="auto"/>
              </w:rPr>
            </w:pPr>
          </w:p>
        </w:tc>
        <w:tc>
          <w:tcPr>
            <w:tcW w:w="1060" w:type="dxa"/>
            <w:vAlign w:val="bottom"/>
          </w:tcPr>
          <w:p>
            <w:pPr>
              <w:jc w:val="right"/>
              <w:ind w:right="232"/>
              <w:spacing w:after="0"/>
              <w:rPr>
                <w:sz w:val="20"/>
                <w:szCs w:val="20"/>
                <w:color w:val="auto"/>
              </w:rPr>
            </w:pPr>
            <w:r>
              <w:rPr>
                <w:rFonts w:ascii="Arial" w:cs="Arial" w:eastAsia="Arial" w:hAnsi="Arial"/>
                <w:sz w:val="14"/>
                <w:szCs w:val="14"/>
                <w:b w:val="1"/>
                <w:bCs w:val="1"/>
                <w:color w:val="auto"/>
              </w:rPr>
              <w:t>9/30/2017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231"/>
              <w:spacing w:after="0"/>
              <w:rPr>
                <w:sz w:val="20"/>
                <w:szCs w:val="20"/>
                <w:color w:val="auto"/>
              </w:rPr>
            </w:pPr>
            <w:r>
              <w:rPr>
                <w:rFonts w:ascii="Arial" w:cs="Arial" w:eastAsia="Arial" w:hAnsi="Arial"/>
                <w:sz w:val="14"/>
                <w:szCs w:val="14"/>
                <w:b w:val="1"/>
                <w:bCs w:val="1"/>
                <w:color w:val="auto"/>
              </w:rPr>
              <w:t>9/30/2018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change</w:t>
            </w:r>
          </w:p>
        </w:tc>
        <w:tc>
          <w:tcPr>
            <w:tcW w:w="1320" w:type="dxa"/>
            <w:vAlign w:val="bottom"/>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16"/>
        </w:trPr>
        <w:tc>
          <w:tcPr>
            <w:tcW w:w="5960" w:type="dxa"/>
            <w:vAlign w:val="bottom"/>
            <w:tcBorders>
              <w:top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U.S. GAAP basis</w:t>
            </w: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auto"/>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r>
      <w:tr>
        <w:trPr>
          <w:trHeight w:val="26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Investment advisory fees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1,098.9</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1,263.3</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164.4</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7"/>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1,238.7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1,394.6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155.9</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6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690.2</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754.0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7"/>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548.5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92.1</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70"/>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Non-operating income</w:t>
            </w:r>
            <w:r>
              <w:rPr>
                <w:rFonts w:ascii="Arial" w:cs="Arial" w:eastAsia="Arial" w:hAnsi="Arial"/>
                <w:sz w:val="21"/>
                <w:szCs w:val="21"/>
                <w:color w:val="auto"/>
                <w:vertAlign w:val="superscript"/>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3"/>
                <w:szCs w:val="23"/>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n/m</w:t>
            </w:r>
          </w:p>
        </w:tc>
      </w:tr>
      <w:tr>
        <w:trPr>
          <w:trHeight w:val="270"/>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390.9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583.0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192.1</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6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77"/>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assuming dilution</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244.4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5960" w:type="dxa"/>
            <w:vAlign w:val="bottom"/>
            <w:gridSpan w:val="5"/>
            <w:shd w:val="clear" w:color="auto" w:fill="CCEEFF"/>
          </w:tcPr>
          <w:p>
            <w:pPr>
              <w:ind w:left="40"/>
              <w:spacing w:after="0" w:line="216" w:lineRule="exact"/>
              <w:rPr>
                <w:sz w:val="20"/>
                <w:szCs w:val="20"/>
                <w:color w:val="auto"/>
              </w:rPr>
            </w:pPr>
            <w:r>
              <w:rPr>
                <w:rFonts w:ascii="Arial" w:cs="Arial" w:eastAsia="Arial" w:hAnsi="Arial"/>
                <w:sz w:val="18"/>
                <w:szCs w:val="18"/>
                <w:b w:val="1"/>
                <w:bCs w:val="1"/>
                <w:color w:val="auto"/>
              </w:rPr>
              <w:t>Adjusted non-GAAP basis</w:t>
            </w:r>
            <w:r>
              <w:rPr>
                <w:rFonts w:ascii="Arial" w:cs="Arial" w:eastAsia="Arial" w:hAnsi="Arial"/>
                <w:sz w:val="21"/>
                <w:szCs w:val="21"/>
                <w:b w:val="1"/>
                <w:bCs w:val="1"/>
                <w:color w:val="auto"/>
                <w:vertAlign w:val="superscript"/>
              </w:rPr>
              <w:t>(2)</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auto"/>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r>
      <w:tr>
        <w:trPr>
          <w:trHeight w:val="263"/>
        </w:trPr>
        <w:tc>
          <w:tcPr>
            <w:tcW w:w="5960" w:type="dxa"/>
            <w:vAlign w:val="bottom"/>
            <w:gridSpan w:val="5"/>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682.7</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744.5</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7"/>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Net income attributable to T. Rowe Price Group</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362.1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505.0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142.9</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63"/>
        </w:trPr>
        <w:tc>
          <w:tcPr>
            <w:tcW w:w="5960" w:type="dxa"/>
            <w:vAlign w:val="bottom"/>
            <w:gridSpan w:val="5"/>
          </w:tcPr>
          <w:p>
            <w:pPr>
              <w:ind w:left="40"/>
              <w:spacing w:after="0"/>
              <w:rPr>
                <w:sz w:val="20"/>
                <w:szCs w:val="20"/>
                <w:color w:val="auto"/>
              </w:rPr>
            </w:pPr>
            <w:r>
              <w:rPr>
                <w:rFonts w:ascii="Arial" w:cs="Arial" w:eastAsia="Arial" w:hAnsi="Arial"/>
                <w:sz w:val="16"/>
                <w:szCs w:val="16"/>
                <w:color w:val="auto"/>
              </w:rPr>
              <w:t>Diluted earnings per common share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331"/>
        </w:trPr>
        <w:tc>
          <w:tcPr>
            <w:tcW w:w="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16"/>
        </w:trPr>
        <w:tc>
          <w:tcPr>
            <w:tcW w:w="5960" w:type="dxa"/>
            <w:vAlign w:val="bottom"/>
            <w:gridSpan w:val="5"/>
          </w:tcPr>
          <w:p>
            <w:pPr>
              <w:ind w:left="40"/>
              <w:spacing w:after="0"/>
              <w:rPr>
                <w:sz w:val="20"/>
                <w:szCs w:val="20"/>
                <w:color w:val="auto"/>
              </w:rPr>
            </w:pPr>
            <w:r>
              <w:rPr>
                <w:rFonts w:ascii="Arial" w:cs="Arial" w:eastAsia="Arial" w:hAnsi="Arial"/>
                <w:sz w:val="18"/>
                <w:szCs w:val="18"/>
                <w:b w:val="1"/>
                <w:bCs w:val="1"/>
                <w:color w:val="auto"/>
              </w:rPr>
              <w:t>Assets under management (in billions)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Average assets under management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927.4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1,072.4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145.0</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57"/>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Ending assets under management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947.9</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1,083.8</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w:t>
            </w:r>
          </w:p>
        </w:tc>
      </w:tr>
    </w:tbl>
    <w:p>
      <w:pPr>
        <w:ind w:left="140" w:hanging="132"/>
        <w:spacing w:after="0" w:line="235" w:lineRule="auto"/>
        <w:tabs>
          <w:tab w:leader="none" w:pos="140"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percentage change in non-operating income is not meaningful (n/m).</w:t>
      </w:r>
    </w:p>
    <w:p>
      <w:pPr>
        <w:ind w:left="140" w:hanging="132"/>
        <w:spacing w:after="0" w:line="224" w:lineRule="auto"/>
        <w:tabs>
          <w:tab w:leader="none" w:pos="140"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the reconciliation to the comparable U.S. GAAP measures at the end of the results of operations sections of this management discussion and analysis.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Results Overview</w:t>
      </w:r>
    </w:p>
    <w:p>
      <w:pPr>
        <w:spacing w:after="0" w:line="243"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Investment advisory fees earned in the third quarter of 2018 increased over the comparable 2017 quarter as average assets under our management increased $145.0 billion, or 15.6%, to $1,072.4 billion. The average annualized effective fee rate earned on our assets under management during the third quarter of 2018 was 46.7</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20"/>
          </w:cols>
          <w:pgMar w:left="240" w:top="598" w:right="239" w:bottom="1440" w:gutter="0" w:footer="0" w:header="0"/>
        </w:sectPr>
      </w:pPr>
    </w:p>
    <w:bookmarkStart w:id="28" w:name="page29"/>
    <w:bookmarkEnd w:id="28"/>
    <w:p>
      <w:pPr>
        <w:ind w:right="80"/>
        <w:spacing w:after="0" w:line="253" w:lineRule="auto"/>
        <w:rPr>
          <w:sz w:val="20"/>
          <w:szCs w:val="20"/>
          <w:color w:val="auto"/>
        </w:rPr>
      </w:pPr>
      <w:r>
        <w:rPr>
          <w:rFonts w:ascii="Arial" w:cs="Arial" w:eastAsia="Arial" w:hAnsi="Arial"/>
          <w:sz w:val="18"/>
          <w:szCs w:val="18"/>
          <w:color w:val="auto"/>
        </w:rPr>
        <w:t>basis points, compared with 47.0 basis points earned during the third quarter of 2017. Our effective fee rate has declined in part due to client transfers within the complex to lower fee vehicles or share classes and, to a lesser extent, fee reductions we made to certain mutual funds and other products since the end of the third quarter 2017. These reductions were offset in part as a greater percentage of our assets under management are in equity strategies, which have rates that are higher than our average fee rate. We regularly assess the competitiveness of our investment advisory fees and will continue to make adjustments as deemed appropriate.</w:t>
      </w:r>
    </w:p>
    <w:p>
      <w:pPr>
        <w:spacing w:after="0" w:line="152" w:lineRule="exact"/>
        <w:rPr>
          <w:sz w:val="20"/>
          <w:szCs w:val="20"/>
          <w:color w:val="auto"/>
        </w:rPr>
      </w:pPr>
    </w:p>
    <w:p>
      <w:pPr>
        <w:jc w:val="both"/>
        <w:ind w:right="380"/>
        <w:spacing w:after="0" w:line="254" w:lineRule="auto"/>
        <w:rPr>
          <w:sz w:val="20"/>
          <w:szCs w:val="20"/>
          <w:color w:val="auto"/>
        </w:rPr>
      </w:pPr>
      <w:r>
        <w:rPr>
          <w:rFonts w:ascii="Arial" w:cs="Arial" w:eastAsia="Arial" w:hAnsi="Arial"/>
          <w:sz w:val="18"/>
          <w:szCs w:val="18"/>
          <w:color w:val="auto"/>
        </w:rPr>
        <w:t>Operating expenses were $754.0 million in the third quarter of 2018 compared with $690.2 million in the third quarter of 2017, and $750.3 million in the second quarter of 2018. On a non-GAAP basis, our operating expenses in the third quarter of 2018 increased 9.1% to $744.5 million compared to the 2017 quarter, and were lower than the $745.3 million recognized in the second quarter of 2018. The 9.1% increase from the third quarter of 2017 is primarily due to higher market driven expenses and continued strategic investments.</w:t>
      </w:r>
    </w:p>
    <w:p>
      <w:pPr>
        <w:spacing w:after="0" w:line="20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operating margin in the third quarter of 2018 was 45.9%, compared to 44.3% earned in the 2017 quarter, as a 15.6% increase in our average assets under management since the end of September 2017 has led to growth in 2018 net revenues that has outpaced our growth in 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2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880" w:type="dxa"/>
            <w:vAlign w:val="bottom"/>
            <w:gridSpan w:val="5"/>
            <w:shd w:val="clear" w:color="auto" w:fill="CCEEFF"/>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shd w:val="clear" w:color="auto" w:fill="CCEEFF"/>
          </w:tcPr>
          <w:p>
            <w:pPr>
              <w:spacing w:after="0"/>
              <w:rPr>
                <w:sz w:val="22"/>
                <w:szCs w:val="22"/>
                <w:color w:val="auto"/>
              </w:rPr>
            </w:pPr>
          </w:p>
        </w:tc>
        <w:tc>
          <w:tcPr>
            <w:tcW w:w="2860" w:type="dxa"/>
            <w:vAlign w:val="bottom"/>
            <w:gridSpan w:val="3"/>
            <w:shd w:val="clear" w:color="auto" w:fill="CCEEFF"/>
          </w:tcPr>
          <w:p>
            <w:pPr>
              <w:jc w:val="right"/>
              <w:ind w:right="712"/>
              <w:spacing w:after="0"/>
              <w:rPr>
                <w:sz w:val="20"/>
                <w:szCs w:val="20"/>
                <w:color w:val="auto"/>
              </w:rPr>
            </w:pPr>
            <w:r>
              <w:rPr>
                <w:rFonts w:ascii="Arial" w:cs="Arial" w:eastAsia="Arial" w:hAnsi="Arial"/>
                <w:sz w:val="14"/>
                <w:szCs w:val="14"/>
                <w:b w:val="1"/>
                <w:bCs w:val="1"/>
                <w:color w:val="auto"/>
              </w:rPr>
              <w:t>Q3 2018 vs. Q3 2017</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9/30/2017</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9/30/2018</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Dollar change</w:t>
            </w:r>
          </w:p>
        </w:tc>
        <w:tc>
          <w:tcPr>
            <w:tcW w:w="162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Percentage change</w:t>
            </w:r>
          </w:p>
        </w:tc>
      </w:tr>
      <w:tr>
        <w:trPr>
          <w:trHeight w:val="270"/>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advisory fees</w:t>
            </w: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r>
      <w:tr>
        <w:trPr>
          <w:trHeight w:val="263"/>
        </w:trPr>
        <w:tc>
          <w:tcPr>
            <w:tcW w:w="5260" w:type="dxa"/>
            <w:vAlign w:val="bottom"/>
          </w:tcPr>
          <w:p>
            <w:pPr>
              <w:ind w:left="180"/>
              <w:spacing w:after="0"/>
              <w:rPr>
                <w:sz w:val="20"/>
                <w:szCs w:val="20"/>
                <w:color w:val="auto"/>
              </w:rPr>
            </w:pPr>
            <w:r>
              <w:rPr>
                <w:rFonts w:ascii="Arial" w:cs="Arial" w:eastAsia="Arial" w:hAnsi="Arial"/>
                <w:sz w:val="18"/>
                <w:szCs w:val="18"/>
                <w:color w:val="auto"/>
              </w:rPr>
              <w:t>U.S. mutual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786.1</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877.3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11.6 %</w:t>
            </w:r>
          </w:p>
        </w:tc>
      </w:tr>
      <w:tr>
        <w:trPr>
          <w:trHeight w:val="235"/>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Subadvised and separate accounts and other investment</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24"/>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23.4 %</w:t>
            </w:r>
          </w:p>
        </w:tc>
      </w:tr>
      <w:tr>
        <w:trPr>
          <w:trHeight w:val="250"/>
        </w:trPr>
        <w:tc>
          <w:tcPr>
            <w:tcW w:w="52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1,098.9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1,263.3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164.4</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15.0 %</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Administrative, distribution, and servicing fees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3"/>
        </w:trPr>
        <w:tc>
          <w:tcPr>
            <w:tcW w:w="5260" w:type="dxa"/>
            <w:vAlign w:val="bottom"/>
          </w:tcPr>
          <w:p>
            <w:pPr>
              <w:ind w:left="180"/>
              <w:spacing w:after="0"/>
              <w:rPr>
                <w:sz w:val="20"/>
                <w:szCs w:val="20"/>
                <w:color w:val="auto"/>
              </w:rPr>
            </w:pPr>
            <w:r>
              <w:rPr>
                <w:rFonts w:ascii="Arial" w:cs="Arial" w:eastAsia="Arial" w:hAnsi="Arial"/>
                <w:sz w:val="18"/>
                <w:szCs w:val="18"/>
                <w:color w:val="auto"/>
              </w:rPr>
              <w:t>Administrative fees</w:t>
            </w:r>
          </w:p>
        </w:tc>
        <w:tc>
          <w:tcPr>
            <w:tcW w:w="28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and servicing fees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50"/>
        </w:trPr>
        <w:tc>
          <w:tcPr>
            <w:tcW w:w="52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139.8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1,238.7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1,394.6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155.9</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12.6 %</w:t>
            </w: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i w:val="1"/>
          <w:iCs w:val="1"/>
          <w:u w:val="single" w:color="auto"/>
          <w:color w:val="auto"/>
        </w:rPr>
        <w:t>Investment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fees earned in the third quarter of 2018 from the U.S. mutual funds were $877.3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$91.2 million, or 11.6%, from the comparable 2017 quarter. Average mutual fund assets under management in the third quarter of 2018 were $641.5 billion, an increase of 11.4% from the average in the third quarter of 2017.</w:t>
      </w:r>
    </w:p>
    <w:p>
      <w:pPr>
        <w:spacing w:after="0" w:line="19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Investment advisory fees earned in the third quarter of 2018 from the other investment products were $386.0 million, an increase of $73.2 million, or 23.4%, from the comparable 2017 quarter. Average assets under management for these products in the third quarter of 2018 were $430.9 billion, an increase of 22.7% from the average in the third quarter of 2017.</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u w:val="single" w:color="auto"/>
          <w:color w:val="auto"/>
        </w:rPr>
        <w:t>Administrative, distribution, and servicing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distribution, and servicing fees in the third quarter of 2018 were $131.3 million,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$8.5 million, or 6.1%, from the comparable 2017 quarter. In this line, we recognize fees earned from providing administrative and distribution services to our investment advisory clients, primarily our U.S. mutual funds and their investors. The decrease was primarily attributable to lower transfer agent and distribution servicing revenue earned from our U.S. mutual funds due to client transfers among vehicles and share classes. The distribution and servicing fees we earn are related to 12b-1 plans of certain classes, including the Advisor and R classes, of our U.S. mutual funds and are entirely offset by the costs paid to third-party intermediaries who source these assets. These costs are reported in the distribution and servicing cost line in the unaudited condensed consolidated income statements.</w:t>
      </w:r>
    </w:p>
    <w:p>
      <w:pPr>
        <w:spacing w:after="0" w:line="207"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Our third quarter net revenues reflect the elimination of $ 1.4 million in 2017 and $1.5 million in 2018, earned from our consolidated T. Rowe Price investment products. The corresponding expenses recognized by these products, and consolidated in our financial statements, were eliminated from operating expenses.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20"/>
          </w:cols>
          <w:pgMar w:left="240" w:top="59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Operating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880" w:type="dxa"/>
            <w:vAlign w:val="bottom"/>
            <w:gridSpan w:val="5"/>
            <w:shd w:val="clear" w:color="auto" w:fill="CCEEFF"/>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shd w:val="clear" w:color="auto" w:fill="CCEEFF"/>
          </w:tcPr>
          <w:p>
            <w:pPr>
              <w:spacing w:after="0"/>
              <w:rPr>
                <w:sz w:val="22"/>
                <w:szCs w:val="22"/>
                <w:color w:val="auto"/>
              </w:rPr>
            </w:pPr>
          </w:p>
        </w:tc>
        <w:tc>
          <w:tcPr>
            <w:tcW w:w="2740" w:type="dxa"/>
            <w:vAlign w:val="bottom"/>
            <w:gridSpan w:val="3"/>
            <w:shd w:val="clear" w:color="auto" w:fill="CCEEFF"/>
          </w:tcPr>
          <w:p>
            <w:pPr>
              <w:jc w:val="right"/>
              <w:ind w:right="652"/>
              <w:spacing w:after="0"/>
              <w:rPr>
                <w:sz w:val="20"/>
                <w:szCs w:val="20"/>
                <w:color w:val="auto"/>
              </w:rPr>
            </w:pPr>
            <w:r>
              <w:rPr>
                <w:rFonts w:ascii="Arial" w:cs="Arial" w:eastAsia="Arial" w:hAnsi="Arial"/>
                <w:sz w:val="14"/>
                <w:szCs w:val="14"/>
                <w:b w:val="1"/>
                <w:bCs w:val="1"/>
                <w:color w:val="auto"/>
              </w:rPr>
              <w:t>Q3 2018 vs. Q3 2017</w:t>
            </w:r>
          </w:p>
        </w:tc>
      </w:tr>
      <w:tr>
        <w:trPr>
          <w:trHeight w:val="264"/>
        </w:trPr>
        <w:tc>
          <w:tcPr>
            <w:tcW w:w="52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9/30/2017</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9/30/2018</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Dollar change</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Percentage change</w:t>
            </w:r>
          </w:p>
        </w:tc>
      </w:tr>
      <w:tr>
        <w:trPr>
          <w:trHeight w:val="256"/>
        </w:trPr>
        <w:tc>
          <w:tcPr>
            <w:tcW w:w="5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related costs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417.4</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454.3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36.9</w:t>
            </w:r>
          </w:p>
        </w:tc>
        <w:tc>
          <w:tcPr>
            <w:tcW w:w="12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63"/>
        </w:trPr>
        <w:tc>
          <w:tcPr>
            <w:tcW w:w="5220" w:type="dxa"/>
            <w:vAlign w:val="bottom"/>
          </w:tcPr>
          <w:p>
            <w:pPr>
              <w:ind w:left="40"/>
              <w:spacing w:after="0"/>
              <w:rPr>
                <w:sz w:val="20"/>
                <w:szCs w:val="20"/>
                <w:color w:val="auto"/>
              </w:rPr>
            </w:pPr>
            <w:r>
              <w:rPr>
                <w:rFonts w:ascii="Arial" w:cs="Arial" w:eastAsia="Arial" w:hAnsi="Arial"/>
                <w:sz w:val="18"/>
                <w:szCs w:val="18"/>
                <w:color w:val="auto"/>
              </w:rPr>
              <w:t>Distribution and servicing</w:t>
            </w:r>
          </w:p>
        </w:tc>
        <w:tc>
          <w:tcPr>
            <w:tcW w:w="28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7"/>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Advertising and promotion</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63"/>
        </w:trPr>
        <w:tc>
          <w:tcPr>
            <w:tcW w:w="5220" w:type="dxa"/>
            <w:vAlign w:val="bottom"/>
          </w:tcPr>
          <w:p>
            <w:pPr>
              <w:ind w:left="40"/>
              <w:spacing w:after="0"/>
              <w:rPr>
                <w:sz w:val="20"/>
                <w:szCs w:val="20"/>
                <w:color w:val="auto"/>
              </w:rPr>
            </w:pPr>
            <w:r>
              <w:rPr>
                <w:rFonts w:ascii="Arial" w:cs="Arial" w:eastAsia="Arial" w:hAnsi="Arial"/>
                <w:sz w:val="18"/>
                <w:szCs w:val="18"/>
                <w:color w:val="auto"/>
              </w:rPr>
              <w:t>Product-related costs</w:t>
            </w:r>
          </w:p>
        </w:tc>
        <w:tc>
          <w:tcPr>
            <w:tcW w:w="28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Technology, occupancy, and facility costs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64"/>
        </w:trPr>
        <w:tc>
          <w:tcPr>
            <w:tcW w:w="5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administrative, and other</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57"/>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690.2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754.0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u w:val="single" w:color="auto"/>
          <w:color w:val="auto"/>
        </w:rPr>
        <w:t>Compensation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related costs were $454.3 million in the third quarter of 2018, an increase of $36.9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8.8%, compared to the third quarter of 2017. Our base salaries, benefits and related employee costs have increased $16.0 million from the third quarter of 2017 primarily as a result of a 4.2% increase in our average staff size and modest increases in base salaries at the beginning of 2018. Our interim accrual for annual variable compensation increased $18.6 million from the 2017 quarter. We recognize the interim accrual ratably over the year using the ratio of recognized quarterly net revenues to forecasted annual net revenues. Our non-cash stock-based compensation expense has increased $8.1 million over the prior quarter, as we shifted our annual grant in 2017 from twice a year to a single grant in December. Compensation and related costs were further increased by higher market-related expense from our supplemental savings plan of $1.7 million. We began economically hedging the exposure to these market movements at the end of the second quarter of 2017 and show the effectiveness of these hedges in the </w:t>
      </w:r>
      <w:r>
        <w:rPr>
          <w:rFonts w:ascii="Arial" w:cs="Arial" w:eastAsia="Arial" w:hAnsi="Arial"/>
          <w:sz w:val="18"/>
          <w:szCs w:val="18"/>
          <w:i w:val="1"/>
          <w:iCs w:val="1"/>
          <w:color w:val="auto"/>
        </w:rPr>
        <w:t>Non-GAAP information and reconciliation</w:t>
      </w:r>
      <w:r>
        <w:rPr>
          <w:rFonts w:ascii="Arial" w:cs="Arial" w:eastAsia="Arial" w:hAnsi="Arial"/>
          <w:sz w:val="18"/>
          <w:szCs w:val="18"/>
          <w:color w:val="auto"/>
        </w:rPr>
        <w:t xml:space="preserve"> section at the end of the management discussion and analysis. The increase in compensation and related costs were offset in part by $6.9 million of higher labor capitalization related to internally developed software compared to the 2017 quarter.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employed 6,946 associates at September 30, 2018, compared with 6,881 associates at the end of 2017.</w:t>
      </w:r>
    </w:p>
    <w:p>
      <w:pPr>
        <w:spacing w:after="0" w:line="20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u w:val="single" w:color="auto"/>
          <w:color w:val="auto"/>
        </w:rPr>
        <w:t>Distribution and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 servicing includes those costs incurred to distribute the T. Rowe Price products as well as client and</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servicing, recordkeeping, and administrative services. These costs were $71.4 million for the third quarter of 2018, an increase of 5.9% over the $67.4 million recognized in the third quarter of 2017. The increase is primarily driven by strong markets and net cash flows over the last twelve months. These costs include those distribution and servicing costs paid to third-party intermediaries that source the assets of certain share classes of our U.S. mutual funds and is offset entirely by the 12b-1 revenue we earn and report in administrative, distribution, and servicing fees.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 and promotion.</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and promotion costs were $20.2 million for the third quarter of 2018, an increase of 44.3% over the</w:t>
      </w:r>
    </w:p>
    <w:p>
      <w:pPr>
        <w:spacing w:after="0" w:line="2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$14.0 million recognized in the 2017 quarter. The increase is primarily driven by the launch of our new media advertising campaign in the third quarter of 2018.</w:t>
      </w:r>
    </w:p>
    <w:p>
      <w:pPr>
        <w:spacing w:after="0" w:line="178"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occupancy, and facility costs consists of depreciation expense, technology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maintenance, software, and costs related to our facilities. These costs were $96.5 million in the third quarter of 2018, an increase of $10.2 million, or 11.8%, compared to the $86.3 million recognized in the third quarter of 2017. The increase is due primarily to incremental investment in our technology capabilities, including related depreciation, hosted solution licenses, and maintenance programs.</w:t>
      </w:r>
    </w:p>
    <w:p>
      <w:pPr>
        <w:spacing w:after="0" w:line="18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u w:val="single" w:color="auto"/>
          <w:color w:val="auto"/>
        </w:rPr>
        <w:t>General, administrative,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administrative, and other consists of costs associated with the overall management of the firm,</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information services, professional services, travel and entertainment, research costs, and other general operating expenses. These costs were $73.7 million in the current quarter, an increase of $ 6.5 million, or 9.7%, compared to the $67.2 million recognized in the third quarter of 2017. The increase reflects growing operational and regulatory business demands.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400"/>
          </w:cols>
          <w:pgMar w:left="240" w:top="580"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Non-operating income</w:t>
      </w:r>
    </w:p>
    <w:p>
      <w:pPr>
        <w:spacing w:after="0" w:line="24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Non-operating income in the third quarter of 2018 was $124.9 million, an increase of $57.6 million from the 2017 quarter. The following table details the components of non-operating income during the third quarter of 2017 and 2018 and the related dollar change.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80" w:type="dxa"/>
            <w:vAlign w:val="bottom"/>
            <w:gridSpan w:val="5"/>
            <w:shd w:val="clear" w:color="auto" w:fill="CCEEFF"/>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shd w:val="clear" w:color="auto" w:fill="CCEEFF"/>
          </w:tcPr>
          <w:p>
            <w:pPr>
              <w:spacing w:after="0"/>
              <w:rPr>
                <w:sz w:val="22"/>
                <w:szCs w:val="22"/>
                <w:color w:val="auto"/>
              </w:rPr>
            </w:pPr>
          </w:p>
        </w:tc>
        <w:tc>
          <w:tcPr>
            <w:tcW w:w="2560" w:type="dxa"/>
            <w:vAlign w:val="bottom"/>
            <w:gridSpan w:val="3"/>
            <w:shd w:val="clear" w:color="auto" w:fill="CCEEFF"/>
          </w:tcPr>
          <w:p>
            <w:pPr>
              <w:jc w:val="right"/>
              <w:ind w:right="562"/>
              <w:spacing w:after="0"/>
              <w:rPr>
                <w:sz w:val="20"/>
                <w:szCs w:val="20"/>
                <w:color w:val="auto"/>
              </w:rPr>
            </w:pPr>
            <w:r>
              <w:rPr>
                <w:rFonts w:ascii="Arial" w:cs="Arial" w:eastAsia="Arial" w:hAnsi="Arial"/>
                <w:sz w:val="14"/>
                <w:szCs w:val="14"/>
                <w:b w:val="1"/>
                <w:bCs w:val="1"/>
                <w:color w:val="auto"/>
              </w:rPr>
              <w:t>Q3 2018 vs. Q3 2017</w:t>
            </w:r>
          </w:p>
        </w:tc>
      </w:tr>
      <w:tr>
        <w:trPr>
          <w:trHeight w:val="175"/>
        </w:trPr>
        <w:tc>
          <w:tcPr>
            <w:tcW w:w="64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Percentage</w:t>
            </w:r>
          </w:p>
        </w:tc>
      </w:tr>
      <w:tr>
        <w:trPr>
          <w:trHeight w:val="196"/>
        </w:trPr>
        <w:tc>
          <w:tcPr>
            <w:tcW w:w="6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9/30/2018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Dollar change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70"/>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from non-consolidated T. Rowe Price investment products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3"/>
        </w:trPr>
        <w:tc>
          <w:tcPr>
            <w:tcW w:w="6420" w:type="dxa"/>
            <w:vAlign w:val="bottom"/>
          </w:tcPr>
          <w:p>
            <w:pPr>
              <w:ind w:left="180"/>
              <w:spacing w:after="0"/>
              <w:rPr>
                <w:sz w:val="20"/>
                <w:szCs w:val="20"/>
                <w:color w:val="auto"/>
              </w:rPr>
            </w:pPr>
            <w:r>
              <w:rPr>
                <w:rFonts w:ascii="Arial" w:cs="Arial" w:eastAsia="Arial" w:hAnsi="Arial"/>
                <w:sz w:val="18"/>
                <w:szCs w:val="18"/>
                <w:color w:val="auto"/>
              </w:rPr>
              <w:t>Net realized gains on dispositions of available-for-sale investments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Ordinary and capital gain dividend distributions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3"/>
        </w:trPr>
        <w:tc>
          <w:tcPr>
            <w:tcW w:w="6420" w:type="dxa"/>
            <w:vAlign w:val="bottom"/>
          </w:tcPr>
          <w:p>
            <w:pPr>
              <w:ind w:left="180"/>
              <w:spacing w:after="0"/>
              <w:rPr>
                <w:sz w:val="20"/>
                <w:szCs w:val="20"/>
                <w:color w:val="auto"/>
              </w:rPr>
            </w:pPr>
            <w:r>
              <w:rPr>
                <w:rFonts w:ascii="Arial" w:cs="Arial" w:eastAsia="Arial" w:hAnsi="Arial"/>
                <w:sz w:val="18"/>
                <w:szCs w:val="18"/>
                <w:color w:val="auto"/>
              </w:rPr>
              <w:t>Market gains (losses) on equity method and other investments at fair value</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5"/>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reclassified from accumulated other comprehensive income upon</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03"/>
        </w:trPr>
        <w:tc>
          <w:tcPr>
            <w:tcW w:w="64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transfer of an available-for-sale sponsored investment portfolio to sponsored</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portfolios held as trading</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63"/>
        </w:trPr>
        <w:tc>
          <w:tcPr>
            <w:tcW w:w="6420" w:type="dxa"/>
            <w:vAlign w:val="bottom"/>
          </w:tcPr>
          <w:p>
            <w:pPr>
              <w:ind w:left="180"/>
              <w:spacing w:after="0"/>
              <w:rPr>
                <w:sz w:val="20"/>
                <w:szCs w:val="20"/>
                <w:color w:val="auto"/>
              </w:rPr>
            </w:pPr>
            <w:r>
              <w:rPr>
                <w:rFonts w:ascii="Arial" w:cs="Arial" w:eastAsia="Arial" w:hAnsi="Arial"/>
                <w:sz w:val="18"/>
                <w:szCs w:val="18"/>
                <w:color w:val="auto"/>
              </w:rPr>
              <w:t>Net gain recognized upon deconsolidation</w:t>
            </w:r>
          </w:p>
        </w:tc>
        <w:tc>
          <w:tcPr>
            <w:tcW w:w="220" w:type="dxa"/>
            <w:vAlign w:val="bottom"/>
          </w:tcPr>
          <w:p>
            <w:pPr>
              <w:spacing w:after="0"/>
              <w:rPr>
                <w:sz w:val="22"/>
                <w:szCs w:val="22"/>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5"/>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and market gains on investment products used to hedge the</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supplemental savings plan liability</w:t>
            </w: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Total net gains from non-consolidated T. Rowe Price investment products</w:t>
            </w:r>
          </w:p>
        </w:tc>
        <w:tc>
          <w:tcPr>
            <w:tcW w:w="2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b w:val="1"/>
                <w:bCs w:val="1"/>
                <w:color w:val="auto"/>
              </w:rPr>
              <w:t>18.9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27.8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8.9</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7"/>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investment income</w:t>
            </w:r>
          </w:p>
        </w:tc>
        <w:tc>
          <w:tcPr>
            <w:tcW w:w="2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Net gains on investments</w:t>
            </w:r>
          </w:p>
        </w:tc>
        <w:tc>
          <w:tcPr>
            <w:tcW w:w="2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b w:val="1"/>
                <w:bCs w:val="1"/>
                <w:color w:val="auto"/>
              </w:rPr>
              <w:t>28.9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116.1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87.2</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7"/>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(losses) on consolidated sponsored investment portfolios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4"/>
        </w:trPr>
        <w:tc>
          <w:tcPr>
            <w:tcW w:w="6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 including foreign currency gains and losses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r>
      <w:tr>
        <w:trPr>
          <w:trHeight w:val="257"/>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income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0"/>
        </w:trPr>
        <w:tc>
          <w:tcPr>
            <w:tcW w:w="6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January 1, 2018, we implemented new accounting guidance that eliminated the available-for-sale investment category for equity securities, which recognized unrealized holding gains in accumulated other comprehensive income until the investment was sold and the related gain was reclassified to the income statement. Under the new guidance, substantially all equity investments are measured at fair value with changes recognized in earnings, except for those accounted for using the equity method of accounting. For more information on the impact of this new accounting guidance, see Note 1, The Company and Basis of Preparation, in the unaudited condensed consolidated financial statements contained in Part I, Item 1 of this filing.</w:t>
      </w:r>
    </w:p>
    <w:p>
      <w:pPr>
        <w:spacing w:after="0" w:line="20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$78.3 million increase from the 2017 quarter in other investment income is primarily a result of the realized gain from the sale of our 10% holding in Daiwa SB Investments Ltd. in the third quarter of 2018.</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420"/>
          </w:cols>
          <w:pgMar w:left="240" w:top="580" w:right="239" w:bottom="1440" w:gutter="0" w:footer="0" w:header="0"/>
        </w:sectPr>
      </w:pPr>
    </w:p>
    <w:bookmarkStart w:id="31" w:name="page32"/>
    <w:bookmarkEnd w:id="31"/>
    <w:p>
      <w:pPr>
        <w:ind w:right="100"/>
        <w:spacing w:after="0" w:line="254" w:lineRule="auto"/>
        <w:rPr>
          <w:sz w:val="20"/>
          <w:szCs w:val="20"/>
          <w:color w:val="auto"/>
        </w:rPr>
      </w:pPr>
      <w:r>
        <w:rPr>
          <w:rFonts w:ascii="Arial" w:cs="Arial" w:eastAsia="Arial" w:hAnsi="Arial"/>
          <w:sz w:val="18"/>
          <w:szCs w:val="18"/>
          <w:color w:val="auto"/>
        </w:rPr>
        <w:t>The $ 28.8 million decrease from the 2017 quarter in net investment income of consolidated T. Rowe Price investment products is primarily a result of larger unrealized losses recognized during 2018 compared with 2017 and the deconsolidation of investments in the 2018 quarter. The impact of consolidating certain T. Rowe Price investment products on the individual lines of our unaudited condensed consolidated statements of income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3"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26035</wp:posOffset>
            </wp:positionV>
            <wp:extent cx="16808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9/30/2018</w:t>
            </w:r>
          </w:p>
        </w:tc>
      </w:tr>
      <w:tr>
        <w:trPr>
          <w:trHeight w:val="256"/>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6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investment income reflected in non-operating income</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8.7</w:t>
            </w:r>
          </w:p>
        </w:tc>
      </w:tr>
      <w:tr>
        <w:trPr>
          <w:trHeight w:val="257"/>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05"/>
        </w:trPr>
        <w:tc>
          <w:tcPr>
            <w:tcW w:w="8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our interest in the consolidated T. Rowe Price investment products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r>
      <w:tr>
        <w:trPr>
          <w:trHeight w:val="26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redeemable non-controlling interests (unrelated third-party investors)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8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43"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Our effective tax rate for the third quarter of 2018 was 24.0%, compared with 34.4% in the 2017 quarter, as U.S. tax reform reduced the U.S. federal corporate tax rate from 35% to 21% on January 1, 2018. For a discussion of our year-to-date effective tax rate, refer to the results of operations section for the nine months ended September 30,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nine months of 2018 versus first nine months of 2017.</w:t>
      </w:r>
    </w:p>
    <w:p>
      <w:pPr>
        <w:spacing w:after="0" w:line="22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table below presents financial results on a U.S. GAAP basis as well as a non-GAAP basis that adjusts, among other items, for the impact of our consolidated T. Rowe Price investment products, the impact of market movements on the supplemental savings plan liability and related economic hedges, investment income related to certain other investments, and certain nonrecurring charges and gains. In 2017, we adjusted for the impact of the Dell appraisal rights matter and, in 2018, the nonrecurring tax charges of $ 20.8 million ($0.08 in diluted earnings per share) related to the enactment of U.S. tax reform and $7.9 million ($.03 in diluted earnings per share) related to the enactment of new Maryland state tax legislation. Beginning in the second quarter of 2018, our non-GAAP adjustments no longer include non-operating income related to our cash and discretionary investments. We believe the non-GAAP financial measures below provide relevant and meaningful information to investors about our core operating results.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20"/>
          </w:cols>
          <w:pgMar w:left="240" w:top="598"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64"/>
        </w:trPr>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540" w:type="dxa"/>
            <w:vAlign w:val="bottom"/>
            <w:gridSpan w:val="5"/>
            <w:shd w:val="clear" w:color="auto" w:fill="CCEEFF"/>
          </w:tcPr>
          <w:p>
            <w:pPr>
              <w:ind w:left="460"/>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shd w:val="clear" w:color="auto" w:fill="CCEEFF"/>
          </w:tcPr>
          <w:p>
            <w:pPr>
              <w:spacing w:after="0"/>
              <w:rPr>
                <w:sz w:val="22"/>
                <w:szCs w:val="22"/>
                <w:color w:val="auto"/>
              </w:rPr>
            </w:pPr>
          </w:p>
        </w:tc>
        <w:tc>
          <w:tcPr>
            <w:tcW w:w="2440" w:type="dxa"/>
            <w:vAlign w:val="bottom"/>
            <w:gridSpan w:val="3"/>
            <w:shd w:val="clear" w:color="auto" w:fill="CCEEFF"/>
          </w:tcPr>
          <w:p>
            <w:pPr>
              <w:jc w:val="right"/>
              <w:ind w:right="452"/>
              <w:spacing w:after="0"/>
              <w:rPr>
                <w:sz w:val="20"/>
                <w:szCs w:val="20"/>
                <w:color w:val="auto"/>
              </w:rPr>
            </w:pPr>
            <w:r>
              <w:rPr>
                <w:rFonts w:ascii="Arial" w:cs="Arial" w:eastAsia="Arial" w:hAnsi="Arial"/>
                <w:sz w:val="14"/>
                <w:szCs w:val="14"/>
                <w:b w:val="1"/>
                <w:bCs w:val="1"/>
                <w:color w:val="auto"/>
              </w:rPr>
              <w:t>YTD 2018 vs. YTD 2017</w:t>
            </w:r>
          </w:p>
        </w:tc>
      </w:tr>
      <w:tr>
        <w:trPr>
          <w:trHeight w:val="175"/>
        </w:trPr>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Dollar</w:t>
            </w:r>
          </w:p>
        </w:tc>
        <w:tc>
          <w:tcPr>
            <w:tcW w:w="132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Percentage</w:t>
            </w:r>
          </w:p>
        </w:tc>
      </w:tr>
      <w:tr>
        <w:trPr>
          <w:trHeight w:val="196"/>
        </w:trPr>
        <w:tc>
          <w:tcPr>
            <w:tcW w:w="59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per-share data)</w:t>
            </w:r>
          </w:p>
        </w:tc>
        <w:tc>
          <w:tcPr>
            <w:tcW w:w="220" w:type="dxa"/>
            <w:vAlign w:val="bottom"/>
          </w:tcPr>
          <w:p>
            <w:pPr>
              <w:spacing w:after="0"/>
              <w:rPr>
                <w:sz w:val="17"/>
                <w:szCs w:val="17"/>
                <w:color w:val="auto"/>
              </w:rPr>
            </w:pPr>
          </w:p>
        </w:tc>
        <w:tc>
          <w:tcPr>
            <w:tcW w:w="1060" w:type="dxa"/>
            <w:vAlign w:val="bottom"/>
          </w:tcPr>
          <w:p>
            <w:pPr>
              <w:jc w:val="right"/>
              <w:ind w:right="232"/>
              <w:spacing w:after="0"/>
              <w:rPr>
                <w:sz w:val="20"/>
                <w:szCs w:val="20"/>
                <w:color w:val="auto"/>
              </w:rPr>
            </w:pPr>
            <w:r>
              <w:rPr>
                <w:rFonts w:ascii="Arial" w:cs="Arial" w:eastAsia="Arial" w:hAnsi="Arial"/>
                <w:sz w:val="14"/>
                <w:szCs w:val="14"/>
                <w:b w:val="1"/>
                <w:bCs w:val="1"/>
                <w:color w:val="auto"/>
              </w:rPr>
              <w:t>9/30/2017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231"/>
              <w:spacing w:after="0"/>
              <w:rPr>
                <w:sz w:val="20"/>
                <w:szCs w:val="20"/>
                <w:color w:val="auto"/>
              </w:rPr>
            </w:pPr>
            <w:r>
              <w:rPr>
                <w:rFonts w:ascii="Arial" w:cs="Arial" w:eastAsia="Arial" w:hAnsi="Arial"/>
                <w:sz w:val="14"/>
                <w:szCs w:val="14"/>
                <w:b w:val="1"/>
                <w:bCs w:val="1"/>
                <w:color w:val="auto"/>
              </w:rPr>
              <w:t>9/30/2018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change</w:t>
            </w:r>
          </w:p>
        </w:tc>
        <w:tc>
          <w:tcPr>
            <w:tcW w:w="1320" w:type="dxa"/>
            <w:vAlign w:val="bottom"/>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324"/>
        </w:trPr>
        <w:tc>
          <w:tcPr>
            <w:tcW w:w="40" w:type="dxa"/>
            <w:vAlign w:val="bottom"/>
            <w:tcBorders>
              <w:top w:val="single" w:sz="8" w:color="CCEEFF"/>
            </w:tcBorders>
            <w:shd w:val="clear" w:color="auto" w:fill="CCEEFF"/>
          </w:tcPr>
          <w:p>
            <w:pPr>
              <w:spacing w:after="0"/>
              <w:rPr>
                <w:sz w:val="24"/>
                <w:szCs w:val="24"/>
                <w:color w:val="auto"/>
              </w:rPr>
            </w:pPr>
          </w:p>
        </w:tc>
        <w:tc>
          <w:tcPr>
            <w:tcW w:w="1420" w:type="dxa"/>
            <w:vAlign w:val="bottom"/>
            <w:tcBorders>
              <w:top w:val="single" w:sz="8" w:color="CCEEFF"/>
            </w:tcBorders>
            <w:shd w:val="clear" w:color="auto" w:fill="CCEEFF"/>
          </w:tcPr>
          <w:p>
            <w:pPr>
              <w:spacing w:after="0"/>
              <w:rPr>
                <w:sz w:val="24"/>
                <w:szCs w:val="24"/>
                <w:color w:val="auto"/>
              </w:rPr>
            </w:pPr>
          </w:p>
        </w:tc>
        <w:tc>
          <w:tcPr>
            <w:tcW w:w="820" w:type="dxa"/>
            <w:vAlign w:val="bottom"/>
            <w:tcBorders>
              <w:top w:val="single" w:sz="8" w:color="CCEEFF"/>
            </w:tcBorders>
            <w:shd w:val="clear" w:color="auto" w:fill="CCEEFF"/>
          </w:tcPr>
          <w:p>
            <w:pPr>
              <w:spacing w:after="0"/>
              <w:rPr>
                <w:sz w:val="24"/>
                <w:szCs w:val="24"/>
                <w:color w:val="auto"/>
              </w:rPr>
            </w:pPr>
          </w:p>
        </w:tc>
        <w:tc>
          <w:tcPr>
            <w:tcW w:w="1060" w:type="dxa"/>
            <w:vAlign w:val="bottom"/>
            <w:tcBorders>
              <w:top w:val="single" w:sz="8" w:color="CCEEFF"/>
            </w:tcBorders>
            <w:shd w:val="clear" w:color="auto" w:fill="CCEEFF"/>
          </w:tcPr>
          <w:p>
            <w:pPr>
              <w:spacing w:after="0"/>
              <w:rPr>
                <w:sz w:val="24"/>
                <w:szCs w:val="24"/>
                <w:color w:val="auto"/>
              </w:rPr>
            </w:pPr>
          </w:p>
        </w:tc>
        <w:tc>
          <w:tcPr>
            <w:tcW w:w="26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r>
      <w:tr>
        <w:trPr>
          <w:trHeight w:val="216"/>
        </w:trPr>
        <w:tc>
          <w:tcPr>
            <w:tcW w:w="5960" w:type="dxa"/>
            <w:vAlign w:val="bottom"/>
            <w:gridSpan w:val="5"/>
          </w:tcPr>
          <w:p>
            <w:pPr>
              <w:ind w:left="40"/>
              <w:spacing w:after="0"/>
              <w:rPr>
                <w:sz w:val="20"/>
                <w:szCs w:val="20"/>
                <w:color w:val="auto"/>
              </w:rPr>
            </w:pPr>
            <w:r>
              <w:rPr>
                <w:rFonts w:ascii="Arial" w:cs="Arial" w:eastAsia="Arial" w:hAnsi="Arial"/>
                <w:sz w:val="18"/>
                <w:szCs w:val="18"/>
                <w:b w:val="1"/>
                <w:bCs w:val="1"/>
                <w:color w:val="auto"/>
              </w:rPr>
              <w:t>U.S. GAAP basis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Investment advisory fees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3,137.6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3,666.9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529.3</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6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3,557.3</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4,067.6</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510.3</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7"/>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1,979.5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2,248.5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269.0</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6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Net operating income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1,577.8</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1,819.1</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241.3</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7"/>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Non-operating income</w:t>
            </w:r>
            <w:r>
              <w:rPr>
                <w:rFonts w:ascii="Arial" w:cs="Arial" w:eastAsia="Arial" w:hAnsi="Arial"/>
                <w:sz w:val="21"/>
                <w:szCs w:val="21"/>
                <w:color w:val="auto"/>
                <w:vertAlign w:val="superscript"/>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n/m</w:t>
            </w:r>
          </w:p>
        </w:tc>
      </w:tr>
      <w:tr>
        <w:trPr>
          <w:trHeight w:val="26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1,150.7</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1,485.6</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334.9</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7"/>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Diluted earnings per share on common share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6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Weighted average common shares outstanding assuming dilution</w:t>
            </w:r>
          </w:p>
        </w:tc>
        <w:tc>
          <w:tcPr>
            <w:tcW w:w="2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31"/>
        </w:trPr>
        <w:tc>
          <w:tcPr>
            <w:tcW w:w="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16"/>
        </w:trPr>
        <w:tc>
          <w:tcPr>
            <w:tcW w:w="5960" w:type="dxa"/>
            <w:vAlign w:val="bottom"/>
            <w:gridSpan w:val="5"/>
          </w:tcPr>
          <w:p>
            <w:pPr>
              <w:ind w:left="40"/>
              <w:spacing w:after="0" w:line="216" w:lineRule="exact"/>
              <w:rPr>
                <w:sz w:val="20"/>
                <w:szCs w:val="20"/>
                <w:color w:val="auto"/>
              </w:rPr>
            </w:pPr>
            <w:r>
              <w:rPr>
                <w:rFonts w:ascii="Arial" w:cs="Arial" w:eastAsia="Arial" w:hAnsi="Arial"/>
                <w:sz w:val="18"/>
                <w:szCs w:val="18"/>
                <w:b w:val="1"/>
                <w:bCs w:val="1"/>
                <w:color w:val="auto"/>
              </w:rPr>
              <w:t>Adjusted non-GAAP basis</w:t>
            </w:r>
            <w:r>
              <w:rPr>
                <w:rFonts w:ascii="Arial" w:cs="Arial" w:eastAsia="Arial" w:hAnsi="Arial"/>
                <w:sz w:val="21"/>
                <w:szCs w:val="21"/>
                <w:b w:val="1"/>
                <w:bCs w:val="1"/>
                <w:color w:val="auto"/>
                <w:vertAlign w:val="superscript"/>
              </w:rPr>
              <w:t>(2)</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2,018.5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2,230.8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212.3</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6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977.2</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1,423.4</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446.2</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77"/>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Diluted earnings per share on common share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324"/>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Assets under management (in billions)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auto"/>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1060" w:type="dxa"/>
            <w:vAlign w:val="bottom"/>
            <w:tcBorders>
              <w:top w:val="single" w:sz="8" w:color="auto"/>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r>
      <w:tr>
        <w:trPr>
          <w:trHeight w:val="257"/>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Average assets under management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886.3</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1,045.0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158.7</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0"/>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Ending assets under management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947.9</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1,083.8</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40" w:hanging="132"/>
        <w:spacing w:after="0" w:line="235" w:lineRule="auto"/>
        <w:tabs>
          <w:tab w:leader="none" w:pos="140" w:val="left"/>
        </w:tabs>
        <w:numPr>
          <w:ilvl w:val="0"/>
          <w:numId w:val="11"/>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percentage change in non-operating income is not meaningful (n/m).</w:t>
      </w:r>
    </w:p>
    <w:p>
      <w:pPr>
        <w:ind w:left="140" w:hanging="132"/>
        <w:spacing w:after="0" w:line="224" w:lineRule="auto"/>
        <w:tabs>
          <w:tab w:leader="none" w:pos="140" w:val="left"/>
        </w:tabs>
        <w:numPr>
          <w:ilvl w:val="0"/>
          <w:numId w:val="11"/>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the reconciliation to the comparable U.S. GAAP measures at the end of the results of operations sections of this management discussion and analysis.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Year-to-Date Results Overview</w:t>
      </w:r>
    </w:p>
    <w:p>
      <w:pPr>
        <w:spacing w:after="0" w:line="24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Investment advisory revenues earned in the first nine months of 2018 increased 16.9% over the comparable 2017 period as average assets under our management increased $ 158.7 billion, or 17.9%, to $1,045.0 billion. The average annualized fee rate earned on our assets under management was 46.9 basis points in the first nine months of 2018, compared with 47.2 basis points earned in the first nine months of 2017. Our effective fee rate has declined in part due to client transfers within the complex to lower fee vehicles or share classes and, to a lesser extent, fee reductions we made to certain mutual funds and other products during or after the third quarter of 2017. This reduction was offset in part as a greater percentage of our assets under management in 2018 are in equity strategies, which have rates that are higher than our average fee rate. We regularly assess the competitiveness of our investment advisory fees and will continue to make adjustments as deemed appropriate.</w:t>
      </w:r>
    </w:p>
    <w:p>
      <w:pPr>
        <w:spacing w:after="0" w:line="20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Operating expenses were $2,248.5 million in the first nine months of 2018 compared with $1,979.5 million in the 2017 period. On a non-GAAP basis, our operating expenses in the first nine months of 2018 increased 10.5% to $2,230.8 million compared to the 2017 period as higher market driven expenses and continued strategic investments drove our operating expenses.</w:t>
      </w:r>
    </w:p>
    <w:p>
      <w:pPr>
        <w:spacing w:after="0" w:line="202"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Our operating margin in the first nine months of 2018 was 44.7%, compared to 44.4% in the 2017 period. Our operating income in the first nine months of 2017 includes $50.0 million of insurance recoveries related to the Dell appraisal rights matter. Excluding these insurance recoveries our operating margin was 42.9% in the first nine months of 2017. The nearly 18% increase in our average assets under management since the end of September 2017 has led to growth in 2018 net revenues that has outpaced our growth in operating expenses.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20"/>
          </w:cols>
          <w:pgMar w:left="240" w:top="73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Net revenues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5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880" w:type="dxa"/>
            <w:vAlign w:val="bottom"/>
            <w:gridSpan w:val="5"/>
            <w:shd w:val="clear" w:color="auto" w:fill="CCEEFF"/>
          </w:tcPr>
          <w:p>
            <w:pPr>
              <w:ind w:left="60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shd w:val="clear" w:color="auto" w:fill="CCEEFF"/>
          </w:tcPr>
          <w:p>
            <w:pPr>
              <w:spacing w:after="0"/>
              <w:rPr>
                <w:sz w:val="22"/>
                <w:szCs w:val="22"/>
                <w:color w:val="auto"/>
              </w:rPr>
            </w:pPr>
          </w:p>
        </w:tc>
        <w:tc>
          <w:tcPr>
            <w:tcW w:w="3000" w:type="dxa"/>
            <w:vAlign w:val="bottom"/>
            <w:gridSpan w:val="3"/>
            <w:shd w:val="clear" w:color="auto" w:fill="CCEEFF"/>
          </w:tcPr>
          <w:p>
            <w:pPr>
              <w:jc w:val="right"/>
              <w:ind w:right="712"/>
              <w:spacing w:after="0"/>
              <w:rPr>
                <w:sz w:val="20"/>
                <w:szCs w:val="20"/>
                <w:color w:val="auto"/>
              </w:rPr>
            </w:pPr>
            <w:r>
              <w:rPr>
                <w:rFonts w:ascii="Arial" w:cs="Arial" w:eastAsia="Arial" w:hAnsi="Arial"/>
                <w:sz w:val="14"/>
                <w:szCs w:val="14"/>
                <w:b w:val="1"/>
                <w:bCs w:val="1"/>
                <w:color w:val="auto"/>
              </w:rPr>
              <w:t>YTD 2018 vs. YTD 2017</w:t>
            </w:r>
          </w:p>
        </w:tc>
      </w:tr>
      <w:tr>
        <w:trPr>
          <w:trHeight w:val="264"/>
        </w:trPr>
        <w:tc>
          <w:tcPr>
            <w:tcW w:w="50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9/30/2017</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9/30/2018</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Dollar change</w:t>
            </w:r>
          </w:p>
        </w:tc>
        <w:tc>
          <w:tcPr>
            <w:tcW w:w="16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Percentage change</w:t>
            </w:r>
          </w:p>
        </w:tc>
      </w:tr>
      <w:tr>
        <w:trPr>
          <w:trHeight w:val="27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advisory fees</w:t>
            </w: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r>
      <w:tr>
        <w:trPr>
          <w:trHeight w:val="263"/>
        </w:trPr>
        <w:tc>
          <w:tcPr>
            <w:tcW w:w="5020" w:type="dxa"/>
            <w:vAlign w:val="bottom"/>
          </w:tcPr>
          <w:p>
            <w:pPr>
              <w:ind w:left="160"/>
              <w:spacing w:after="0"/>
              <w:rPr>
                <w:sz w:val="20"/>
                <w:szCs w:val="20"/>
                <w:color w:val="auto"/>
              </w:rPr>
            </w:pPr>
            <w:r>
              <w:rPr>
                <w:rFonts w:ascii="Arial" w:cs="Arial" w:eastAsia="Arial" w:hAnsi="Arial"/>
                <w:sz w:val="18"/>
                <w:szCs w:val="18"/>
                <w:color w:val="auto"/>
              </w:rPr>
              <w:t>U.S. mutual funds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2,259.9</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2,557.1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297.2</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13.2 %</w:t>
            </w:r>
          </w:p>
        </w:tc>
      </w:tr>
      <w:tr>
        <w:trPr>
          <w:trHeight w:val="235"/>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Subadvised and separate accounts and other investment</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24"/>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877.7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1,109.8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232.1</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26.4 %</w:t>
            </w:r>
          </w:p>
        </w:tc>
      </w:tr>
      <w:tr>
        <w:trPr>
          <w:trHeight w:val="250"/>
        </w:trPr>
        <w:tc>
          <w:tcPr>
            <w:tcW w:w="50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3,137.6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3,666.9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529.3</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16.9 %</w:t>
            </w: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distribution, and servicing fees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3"/>
        </w:trPr>
        <w:tc>
          <w:tcPr>
            <w:tcW w:w="5020" w:type="dxa"/>
            <w:vAlign w:val="bottom"/>
          </w:tcPr>
          <w:p>
            <w:pPr>
              <w:ind w:left="160"/>
              <w:spacing w:after="0"/>
              <w:rPr>
                <w:sz w:val="20"/>
                <w:szCs w:val="20"/>
                <w:color w:val="auto"/>
              </w:rPr>
            </w:pPr>
            <w:r>
              <w:rPr>
                <w:rFonts w:ascii="Arial" w:cs="Arial" w:eastAsia="Arial" w:hAnsi="Arial"/>
                <w:sz w:val="18"/>
                <w:szCs w:val="18"/>
                <w:color w:val="auto"/>
              </w:rPr>
              <w:t>Administrative fees</w:t>
            </w:r>
          </w:p>
        </w:tc>
        <w:tc>
          <w:tcPr>
            <w:tcW w:w="28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294.0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 and servicing fees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50"/>
        </w:trPr>
        <w:tc>
          <w:tcPr>
            <w:tcW w:w="50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419.7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400.7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3,557.3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4,067.6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510.3</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14.3 %</w:t>
            </w:r>
          </w:p>
        </w:tc>
      </w:tr>
      <w:tr>
        <w:trPr>
          <w:trHeight w:val="20"/>
        </w:trPr>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i w:val="1"/>
          <w:iCs w:val="1"/>
          <w:u w:val="single" w:color="auto"/>
          <w:color w:val="auto"/>
        </w:rPr>
        <w:t>Investment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fees earned from the T. Rowe Price U.S. mutual funds increased 13.2%, or $297.2 million, to</w:t>
      </w:r>
      <w:r>
        <w:rPr>
          <w:rFonts w:ascii="Arial" w:cs="Arial" w:eastAsia="Arial" w:hAnsi="Arial"/>
          <w:sz w:val="18"/>
          <w:szCs w:val="18"/>
          <w:i w:val="1"/>
          <w:iCs w:val="1"/>
          <w:color w:val="auto"/>
        </w:rPr>
        <w:t xml:space="preserve"> </w:t>
      </w:r>
      <w:r>
        <w:rPr>
          <w:rFonts w:ascii="Arial" w:cs="Arial" w:eastAsia="Arial" w:hAnsi="Arial"/>
          <w:sz w:val="18"/>
          <w:szCs w:val="18"/>
          <w:color w:val="auto"/>
        </w:rPr>
        <w:t>$2.6 billion. Average mutual fund assets in the first nine months of 2018 were $629.4 billion, an increase of 12.8% from the average for the comparable 2017 period.</w:t>
      </w:r>
    </w:p>
    <w:p>
      <w:pPr>
        <w:spacing w:after="0" w:line="19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Investment advisory fees earned on the subadvised and separate accounts and other investment products for the first nine months of 2018 were $1,109.8 million, an increase of $232.1 million, or 26.4%, from the $877.7 million earned in the comparable 2017 period. Average assets in these products were $415.6 billion during the first nine months of 2018, up 26.5% from the comparable 2017 period.</w:t>
      </w:r>
    </w:p>
    <w:p>
      <w:pPr>
        <w:spacing w:after="0" w:line="184" w:lineRule="exact"/>
        <w:rPr>
          <w:sz w:val="20"/>
          <w:szCs w:val="20"/>
          <w:color w:val="auto"/>
        </w:rPr>
      </w:pPr>
    </w:p>
    <w:p>
      <w:pPr>
        <w:jc w:val="both"/>
        <w:ind w:right="460"/>
        <w:spacing w:after="0" w:line="266" w:lineRule="auto"/>
        <w:rPr>
          <w:sz w:val="20"/>
          <w:szCs w:val="20"/>
          <w:color w:val="auto"/>
        </w:rPr>
      </w:pPr>
      <w:r>
        <w:rPr>
          <w:rFonts w:ascii="Arial" w:cs="Arial" w:eastAsia="Arial" w:hAnsi="Arial"/>
          <w:sz w:val="18"/>
          <w:szCs w:val="18"/>
          <w:i w:val="1"/>
          <w:iCs w:val="1"/>
          <w:u w:val="single" w:color="auto"/>
          <w:color w:val="auto"/>
        </w:rPr>
        <w:t>Administrative, distribution, and servicing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distribution, and servicing fees in the first nine months of 2018 were $400.7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 decrease of $19.0 million from the comparable 2017 period. The decrease was primarily attributable to lower transfer agent and distribution servicing revenue due to client transfers among vehicles and share classes.</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net revenues for the first nine months of 2017 and 2018 include the elimination of $3.2 million in 2017 and $4.6 million in 2018, earned from our consolidated T. Rowe Price investment products. The corresponding expenses recognized by these products, and also consolidated in our financial statements, were eliminated from 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50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920" w:type="dxa"/>
            <w:vAlign w:val="bottom"/>
            <w:gridSpan w:val="5"/>
            <w:shd w:val="clear" w:color="auto" w:fill="CCEEFF"/>
          </w:tcPr>
          <w:p>
            <w:pPr>
              <w:ind w:left="62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shd w:val="clear" w:color="auto" w:fill="CCEEFF"/>
          </w:tcPr>
          <w:p>
            <w:pPr>
              <w:spacing w:after="0"/>
              <w:rPr>
                <w:sz w:val="22"/>
                <w:szCs w:val="22"/>
                <w:color w:val="auto"/>
              </w:rPr>
            </w:pPr>
          </w:p>
        </w:tc>
        <w:tc>
          <w:tcPr>
            <w:tcW w:w="2940" w:type="dxa"/>
            <w:vAlign w:val="bottom"/>
            <w:gridSpan w:val="3"/>
            <w:shd w:val="clear" w:color="auto" w:fill="CCEEFF"/>
          </w:tcPr>
          <w:p>
            <w:pPr>
              <w:jc w:val="right"/>
              <w:ind w:right="672"/>
              <w:spacing w:after="0"/>
              <w:rPr>
                <w:sz w:val="20"/>
                <w:szCs w:val="20"/>
                <w:color w:val="auto"/>
              </w:rPr>
            </w:pPr>
            <w:r>
              <w:rPr>
                <w:rFonts w:ascii="Arial" w:cs="Arial" w:eastAsia="Arial" w:hAnsi="Arial"/>
                <w:sz w:val="14"/>
                <w:szCs w:val="14"/>
                <w:b w:val="1"/>
                <w:bCs w:val="1"/>
                <w:color w:val="auto"/>
              </w:rPr>
              <w:t>YTD 2018 vs. YTD 2017</w:t>
            </w:r>
          </w:p>
        </w:tc>
      </w:tr>
      <w:tr>
        <w:trPr>
          <w:trHeight w:val="264"/>
        </w:trPr>
        <w:tc>
          <w:tcPr>
            <w:tcW w:w="50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9/30/2017</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9/30/2018</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Dollar change</w:t>
            </w: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Percentage change</w:t>
            </w:r>
          </w:p>
        </w:tc>
      </w:tr>
      <w:tr>
        <w:trPr>
          <w:trHeight w:val="256"/>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and related costs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1,218.6</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1,351.7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133.1</w:t>
            </w:r>
          </w:p>
        </w:tc>
        <w:tc>
          <w:tcPr>
            <w:tcW w:w="12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63"/>
        </w:trPr>
        <w:tc>
          <w:tcPr>
            <w:tcW w:w="5060" w:type="dxa"/>
            <w:vAlign w:val="bottom"/>
          </w:tcPr>
          <w:p>
            <w:pPr>
              <w:ind w:left="20"/>
              <w:spacing w:after="0"/>
              <w:rPr>
                <w:sz w:val="20"/>
                <w:szCs w:val="20"/>
                <w:color w:val="auto"/>
              </w:rPr>
            </w:pPr>
            <w:r>
              <w:rPr>
                <w:rFonts w:ascii="Arial" w:cs="Arial" w:eastAsia="Arial" w:hAnsi="Arial"/>
                <w:sz w:val="18"/>
                <w:szCs w:val="18"/>
                <w:color w:val="auto"/>
              </w:rPr>
              <w:t>Distribution and servicing</w:t>
            </w: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7"/>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 and promotion</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63"/>
        </w:trPr>
        <w:tc>
          <w:tcPr>
            <w:tcW w:w="5060" w:type="dxa"/>
            <w:vAlign w:val="bottom"/>
          </w:tcPr>
          <w:p>
            <w:pPr>
              <w:ind w:left="20"/>
              <w:spacing w:after="0"/>
              <w:rPr>
                <w:sz w:val="20"/>
                <w:szCs w:val="20"/>
                <w:color w:val="auto"/>
              </w:rPr>
            </w:pPr>
            <w:r>
              <w:rPr>
                <w:rFonts w:ascii="Arial" w:cs="Arial" w:eastAsia="Arial" w:hAnsi="Arial"/>
                <w:sz w:val="18"/>
                <w:szCs w:val="18"/>
                <w:color w:val="auto"/>
              </w:rPr>
              <w:t>Product-related costs</w:t>
            </w: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7"/>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occupancy, and facility costs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254.7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283.8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63"/>
        </w:trPr>
        <w:tc>
          <w:tcPr>
            <w:tcW w:w="5060" w:type="dxa"/>
            <w:vAlign w:val="bottom"/>
          </w:tcPr>
          <w:p>
            <w:pPr>
              <w:ind w:left="20"/>
              <w:spacing w:after="0"/>
              <w:rPr>
                <w:sz w:val="20"/>
                <w:szCs w:val="20"/>
                <w:color w:val="auto"/>
              </w:rPr>
            </w:pPr>
            <w:r>
              <w:rPr>
                <w:rFonts w:ascii="Arial" w:cs="Arial" w:eastAsia="Arial" w:hAnsi="Arial"/>
                <w:sz w:val="18"/>
                <w:szCs w:val="18"/>
                <w:color w:val="auto"/>
              </w:rPr>
              <w:t>General, administrative, and other</w:t>
            </w: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3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Nonrecurring insurance recoveries related to Dell appraisal</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3"/>
        </w:trPr>
        <w:tc>
          <w:tcPr>
            <w:tcW w:w="506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rights matter</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n/m</w:t>
            </w:r>
          </w:p>
        </w:tc>
      </w:tr>
      <w:tr>
        <w:trPr>
          <w:trHeight w:val="250"/>
        </w:trPr>
        <w:tc>
          <w:tcPr>
            <w:tcW w:w="50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1,979.5</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2,248.5</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269.0</w:t>
            </w:r>
          </w:p>
        </w:tc>
        <w:tc>
          <w:tcPr>
            <w:tcW w:w="120" w:type="dxa"/>
            <w:vAlign w:val="bottom"/>
          </w:tcPr>
          <w:p>
            <w:pPr>
              <w:spacing w:after="0"/>
              <w:rPr>
                <w:sz w:val="21"/>
                <w:szCs w:val="21"/>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0</wp:posOffset>
            </wp:positionV>
            <wp:extent cx="402209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22090" cy="26035"/>
                    </a:xfrm>
                    <a:prstGeom prst="rect">
                      <a:avLst/>
                    </a:prstGeom>
                    <a:noFill/>
                  </pic:spPr>
                </pic:pic>
              </a:graphicData>
            </a:graphic>
          </wp:anchor>
        </w:drawing>
      </w:r>
    </w:p>
    <w:p>
      <w:pPr>
        <w:spacing w:after="0" w:line="11"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percentage change in nonrecurring insurance recoveries related to Dell appraisal rights matter is not meaningful (n/m).</w:t>
      </w:r>
    </w:p>
    <w:p>
      <w:pPr>
        <w:spacing w:after="0" w:line="18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u w:val="single" w:color="auto"/>
          <w:color w:val="auto"/>
        </w:rPr>
        <w:t>Compensation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related costs were $1,351.7 million in the first nine months of 2018, an increase of $133.1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10.9%, compared to the 2017 period. The largest part of the increase is attributable to a $64.7 million, or 9.6% increase, in base salaries, benefits and related employee costs, which resulted from an increase of 6.9% in average headcount from the 2017 period, combined with a modest increase in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420"/>
          </w:cols>
          <w:pgMar w:left="240" w:top="580" w:right="239" w:bottom="1440" w:gutter="0" w:footer="0" w:header="0"/>
        </w:sectPr>
      </w:pPr>
    </w:p>
    <w:bookmarkStart w:id="34" w:name="page35"/>
    <w:bookmarkEnd w:id="34"/>
    <w:p>
      <w:pPr>
        <w:spacing w:after="0" w:line="252" w:lineRule="auto"/>
        <w:rPr>
          <w:sz w:val="20"/>
          <w:szCs w:val="20"/>
          <w:color w:val="auto"/>
        </w:rPr>
      </w:pPr>
      <w:r>
        <w:rPr>
          <w:rFonts w:ascii="Arial" w:cs="Arial" w:eastAsia="Arial" w:hAnsi="Arial"/>
          <w:sz w:val="18"/>
          <w:szCs w:val="18"/>
          <w:color w:val="auto"/>
        </w:rPr>
        <w:t>salaries at the beginning of 2018. The first nine months of 2018 also includes $9.0 million in one-time bonuses paid to certain associates that was funded by U.S. tax reform benefits. The interim accrual for our annual variable compensation in the 2018 period rose $58.1 million over the interim accrual in the 2017 period. Our non-cash stock-based compensation expense has increased $24.7 million over the 2017 period, as we shifted our annual grant in 2017 from twice a year to a single grant in December. These increases were offset in part by lower market-related expense from our supplemental savings plan of $5.6 million in the first nine months of 2018 compared with the comparable 2017 period. Higher labor capitalization related to internally developed software of $16.7 million also partly offsets the compensation and related costs increase from the 2017 period.</w:t>
      </w:r>
    </w:p>
    <w:p>
      <w:pPr>
        <w:spacing w:after="0" w:line="189"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i w:val="1"/>
          <w:iCs w:val="1"/>
          <w:u w:val="single" w:color="auto"/>
          <w:color w:val="auto"/>
        </w:rPr>
        <w:t>Distribution and servicing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 servicing costs were $213.3 million for the first nine months of 2018, an increase of 11.1%</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$192.0 million recognized in the 2017 period. The increase is primarily driven by strong markets and net cash flows over the last twelve months.</w:t>
      </w:r>
    </w:p>
    <w:p>
      <w:pPr>
        <w:spacing w:after="0" w:line="176"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u w:val="single" w:color="auto"/>
          <w:color w:val="auto"/>
        </w:rPr>
        <w:t>Advertising and promotion.</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and promotion costs were $63.8 million for the first nine months of 2018, an increase of 9.2%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$58.4 million recognized in the 2017 period. The increase is primarily driven by the creation and launch of a new media advertising campaign in 2018 as well as higher promotion costs as we seek to broaden our distribution efforts globally.</w:t>
      </w:r>
    </w:p>
    <w:p>
      <w:pPr>
        <w:spacing w:after="0" w:line="17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u w:val="single" w:color="auto"/>
          <w:color w:val="auto"/>
        </w:rPr>
        <w:t>Product-related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Product-related costs consists of non-advisory related costs that we incur to service certain T. Rowe Price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Product-related costs were $117.1 million in the first nine months of 2018, an increase of $ 6.2 million, or 5.6%, compared to the 2017 period. More than half of the increase is due to higher operating costs of our collective investment trusts as the number of trusts and their average net assets have increased over the last twelve months. The remainder of the increase is related to higher costs incurred to provide administrative services to the U.S. mutual funds and recordkeeping services to defined contribution retirement plans.</w:t>
      </w:r>
    </w:p>
    <w:p>
      <w:pPr>
        <w:spacing w:after="0" w:line="18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occupancy, and facility costs were $283.8 million in the first nine months of 2018,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11.4% compared to the $254.7 million recognized in the 2017 period. The increase is due primarily to incremental investment in our technology capabilities, including related depreciation, hosted solution licenses, and maintenance programs, as well as expanded office facilities.</w:t>
      </w:r>
    </w:p>
    <w:p>
      <w:pPr>
        <w:spacing w:after="0" w:line="180"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u w:val="single" w:color="auto"/>
          <w:color w:val="auto"/>
        </w:rPr>
        <w:t>General, administrative, and other costs.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administrative, and other costs were $218.8 million in the first nine months of 2018,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12.3% compared to the $194.9 million recognized in the 2017 period. The increase was a result of our continued investment in our strategic initiatives and other growing operational and regulatory business demands.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400"/>
          </w:cols>
          <w:pgMar w:left="240" w:top="598"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Non-operating income</w:t>
      </w:r>
    </w:p>
    <w:p>
      <w:pPr>
        <w:spacing w:after="0" w:line="2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non-operating investment activity during the first nine months of 2018 resulted in income of $175.1 million, a decrease of $119.2 million from the 2017 period. The following table details the components of non-operating income (in millions) during the first nine months of 2017 and 2018.</w:t>
      </w:r>
    </w:p>
    <w:p>
      <w:pPr>
        <w:spacing w:after="0" w:line="338"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58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80" w:type="dxa"/>
            <w:vAlign w:val="bottom"/>
            <w:gridSpan w:val="5"/>
            <w:shd w:val="clear" w:color="auto" w:fill="CCEEFF"/>
          </w:tcPr>
          <w:p>
            <w:pPr>
              <w:ind w:left="26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shd w:val="clear" w:color="auto" w:fill="CCEEFF"/>
          </w:tcPr>
          <w:p>
            <w:pPr>
              <w:spacing w:after="0"/>
              <w:rPr>
                <w:sz w:val="23"/>
                <w:szCs w:val="23"/>
                <w:color w:val="auto"/>
              </w:rPr>
            </w:pPr>
          </w:p>
        </w:tc>
        <w:tc>
          <w:tcPr>
            <w:tcW w:w="2720" w:type="dxa"/>
            <w:vAlign w:val="bottom"/>
            <w:gridSpan w:val="3"/>
            <w:shd w:val="clear" w:color="auto" w:fill="CCEEFF"/>
          </w:tcPr>
          <w:p>
            <w:pPr>
              <w:jc w:val="right"/>
              <w:ind w:right="559"/>
              <w:spacing w:after="0"/>
              <w:rPr>
                <w:sz w:val="20"/>
                <w:szCs w:val="20"/>
                <w:color w:val="auto"/>
              </w:rPr>
            </w:pPr>
            <w:r>
              <w:rPr>
                <w:rFonts w:ascii="Arial" w:cs="Arial" w:eastAsia="Arial" w:hAnsi="Arial"/>
                <w:sz w:val="14"/>
                <w:szCs w:val="14"/>
                <w:b w:val="1"/>
                <w:bCs w:val="1"/>
                <w:color w:val="auto"/>
              </w:rPr>
              <w:t>YTD 2018 vs. YTD 2017</w:t>
            </w:r>
          </w:p>
        </w:tc>
      </w:tr>
      <w:tr>
        <w:trPr>
          <w:trHeight w:val="258"/>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millions)</w:t>
            </w: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9/30/2017</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9/30/2018</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Dollar change</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 Change</w:t>
            </w:r>
          </w:p>
        </w:tc>
      </w:tr>
      <w:tr>
        <w:trPr>
          <w:trHeight w:val="27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from non-consolidated T. Rowe Price investment products</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3"/>
        </w:trPr>
        <w:tc>
          <w:tcPr>
            <w:tcW w:w="5880" w:type="dxa"/>
            <w:vAlign w:val="bottom"/>
          </w:tcPr>
          <w:p>
            <w:pPr>
              <w:ind w:left="160"/>
              <w:spacing w:after="0"/>
              <w:rPr>
                <w:sz w:val="20"/>
                <w:szCs w:val="20"/>
                <w:color w:val="auto"/>
              </w:rPr>
            </w:pPr>
            <w:r>
              <w:rPr>
                <w:rFonts w:ascii="Arial" w:cs="Arial" w:eastAsia="Arial" w:hAnsi="Arial"/>
                <w:sz w:val="18"/>
                <w:szCs w:val="18"/>
                <w:color w:val="auto"/>
              </w:rPr>
              <w:t>Net realized gains on dispositions of available-for-sale investments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7"/>
        </w:trPr>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Ordinary and capital gain dividend distributions</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29"/>
        </w:trPr>
        <w:tc>
          <w:tcPr>
            <w:tcW w:w="5880" w:type="dxa"/>
            <w:vAlign w:val="bottom"/>
          </w:tcPr>
          <w:p>
            <w:pPr>
              <w:ind w:left="160"/>
              <w:spacing w:after="0"/>
              <w:rPr>
                <w:sz w:val="20"/>
                <w:szCs w:val="20"/>
                <w:color w:val="auto"/>
              </w:rPr>
            </w:pPr>
            <w:r>
              <w:rPr>
                <w:rFonts w:ascii="Arial" w:cs="Arial" w:eastAsia="Arial" w:hAnsi="Arial"/>
                <w:sz w:val="18"/>
                <w:szCs w:val="18"/>
                <w:color w:val="auto"/>
              </w:rPr>
              <w:t>Market gains (losses) on equity method and other investments at fair</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4"/>
        </w:trPr>
        <w:tc>
          <w:tcPr>
            <w:tcW w:w="5880" w:type="dxa"/>
            <w:vAlign w:val="bottom"/>
          </w:tcPr>
          <w:p>
            <w:pPr>
              <w:ind w:left="160"/>
              <w:spacing w:after="0"/>
              <w:rPr>
                <w:sz w:val="20"/>
                <w:szCs w:val="20"/>
                <w:color w:val="auto"/>
              </w:rPr>
            </w:pPr>
            <w:r>
              <w:rPr>
                <w:rFonts w:ascii="Arial" w:cs="Arial" w:eastAsia="Arial" w:hAnsi="Arial"/>
                <w:sz w:val="18"/>
                <w:szCs w:val="18"/>
                <w:color w:val="auto"/>
              </w:rPr>
              <w:t>value</w:t>
            </w:r>
          </w:p>
        </w:tc>
        <w:tc>
          <w:tcPr>
            <w:tcW w:w="16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5"/>
        </w:trPr>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Gains reclassified from accumulated other comprehensive income</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03"/>
        </w:trPr>
        <w:tc>
          <w:tcPr>
            <w:tcW w:w="5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upon transfer of an available-for-sale sponsored investment portfolio to</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30"/>
        </w:trPr>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sponsored investment portfolios held as trading</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63"/>
        </w:trPr>
        <w:tc>
          <w:tcPr>
            <w:tcW w:w="5880" w:type="dxa"/>
            <w:vAlign w:val="bottom"/>
          </w:tcPr>
          <w:p>
            <w:pPr>
              <w:ind w:left="160"/>
              <w:spacing w:after="0"/>
              <w:rPr>
                <w:sz w:val="20"/>
                <w:szCs w:val="20"/>
                <w:color w:val="auto"/>
              </w:rPr>
            </w:pPr>
            <w:r>
              <w:rPr>
                <w:rFonts w:ascii="Arial" w:cs="Arial" w:eastAsia="Arial" w:hAnsi="Arial"/>
                <w:sz w:val="18"/>
                <w:szCs w:val="18"/>
                <w:color w:val="auto"/>
              </w:rPr>
              <w:t>Net gain recognized upon deconsolidation</w:t>
            </w:r>
          </w:p>
        </w:tc>
        <w:tc>
          <w:tcPr>
            <w:tcW w:w="160" w:type="dxa"/>
            <w:vAlign w:val="bottom"/>
          </w:tcPr>
          <w:p>
            <w:pPr>
              <w:spacing w:after="0"/>
              <w:rPr>
                <w:sz w:val="22"/>
                <w:szCs w:val="22"/>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5"/>
        </w:trPr>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and market gains on investment products used to hedge the</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0"/>
        </w:trPr>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supplemental savings plan liability</w:t>
            </w: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187"/>
        </w:trPr>
        <w:tc>
          <w:tcPr>
            <w:tcW w:w="5880" w:type="dxa"/>
            <w:vAlign w:val="bottom"/>
          </w:tcPr>
          <w:p>
            <w:pPr>
              <w:ind w:left="20"/>
              <w:spacing w:after="0" w:line="187" w:lineRule="exact"/>
              <w:rPr>
                <w:sz w:val="20"/>
                <w:szCs w:val="20"/>
                <w:color w:val="auto"/>
              </w:rPr>
            </w:pPr>
            <w:r>
              <w:rPr>
                <w:rFonts w:ascii="Arial" w:cs="Arial" w:eastAsia="Arial" w:hAnsi="Arial"/>
                <w:sz w:val="18"/>
                <w:szCs w:val="18"/>
                <w:b w:val="1"/>
                <w:bCs w:val="1"/>
                <w:color w:val="auto"/>
              </w:rPr>
              <w:t>Total net gains from non-consolidated T. Rowe Price investment</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46"/>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products</w:t>
            </w: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145.0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7"/>
        </w:trPr>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investment income</w:t>
            </w: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Net gains on investments</w:t>
            </w: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165.1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147.9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(17.2)</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7"/>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(losses) on consolidated sponsored investment portfolios</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4"/>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including foreign currency gains and losses</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r>
      <w:tr>
        <w:trPr>
          <w:trHeight w:val="257"/>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294.3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(119.2)</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r>
      <w:tr>
        <w:trPr>
          <w:trHeight w:val="20"/>
        </w:trPr>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decrease in market gains on equity method and other investments at fair value is driven primarily by realized gains of $ 78.0 million from the sale of certain available-for-sale investments recognized in the first nine months of 2017, which as discussed above will no longer occur for this type of investment after the implementation of the new financial instruments accounting guidance.</w:t>
      </w:r>
    </w:p>
    <w:p>
      <w:pPr>
        <w:spacing w:after="0" w:line="20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$82.8 million increase from the 2017 period in other investment income is primarily a result of the realized gain associated with the sale of our 10% holding in Daiwa SB Investments Ltd. in the third quarter of 2018.</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340"/>
          </w:cols>
          <w:pgMar w:left="240" w:top="580" w:right="319" w:bottom="1440" w:gutter="0" w:footer="0" w:header="0"/>
        </w:sectPr>
      </w:pPr>
    </w:p>
    <w:bookmarkStart w:id="36" w:name="page37"/>
    <w:bookmarkEnd w:id="36"/>
    <w:p>
      <w:pPr>
        <w:ind w:right="80"/>
        <w:spacing w:after="0" w:line="254" w:lineRule="auto"/>
        <w:rPr>
          <w:sz w:val="20"/>
          <w:szCs w:val="20"/>
          <w:color w:val="auto"/>
        </w:rPr>
      </w:pPr>
      <w:r>
        <w:rPr>
          <w:rFonts w:ascii="Arial" w:cs="Arial" w:eastAsia="Arial" w:hAnsi="Arial"/>
          <w:sz w:val="18"/>
          <w:szCs w:val="18"/>
          <w:color w:val="auto"/>
        </w:rPr>
        <w:t>The $ 97.2 million decrease from the 2017 period in net investment income of consolidated T. Rowe Price investment products is primarily a result of larger unrealized losses recognized during 2018 compared with 2017 and the deconsolidation of investments in 2018. The impact of consolidating certain T. Rowe Price investment products on the individual lines of our unaudited condensed consolidated statements of income for the first nine months of 2017 and 2018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8"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26035</wp:posOffset>
            </wp:positionV>
            <wp:extent cx="16808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9/30/2018</w:t>
            </w:r>
          </w:p>
        </w:tc>
      </w:tr>
      <w:tr>
        <w:trPr>
          <w:trHeight w:val="256"/>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6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investment income reflected in non-operating income</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125.8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28.6</w:t>
            </w:r>
          </w:p>
        </w:tc>
      </w:tr>
      <w:tr>
        <w:trPr>
          <w:trHeight w:val="257"/>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19.4</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05"/>
        </w:trPr>
        <w:tc>
          <w:tcPr>
            <w:tcW w:w="8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our interest in the consolidated T. Rowe Price investment products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r>
      <w:tr>
        <w:trPr>
          <w:trHeight w:val="26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redeemable non-controlling interests (unrelated third-party investors)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11.1</w:t>
            </w:r>
          </w:p>
        </w:tc>
      </w:tr>
      <w:tr>
        <w:trPr>
          <w:trHeight w:val="257"/>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19.4</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for the nine months ended September 30, 2018 was 24.9%, compared with 36.2% for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The income tax provision for the nine months ended September 30, 2018 includes an additional nonrecurring charge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$20.8 million related to the enactment of U.S. tax reform as we adjusted our deferred tax asset and liability re-measurement estimates recorded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We also recognized a nonrecurring charge of $7.9 million during the nine months ended September 30, 2018 for the 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measurement of our deferred tax assets and liabilities to reflect the effect of Maryland state tax legislation enacted on April 24, 2018. This new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tax legislation, effective in 2018, adopted a five-year phase-in of the single sales factor method of apportionment for calculating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 for multi-state companies doing business in Maryland and is expected to result in a net benefit over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statutory federal income tax rate to our effective tax rate for the nine months ended September 30,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Statutory U.S. federal income tax rate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63"/>
        </w:trPr>
        <w:tc>
          <w:tcPr>
            <w:tcW w:w="10000" w:type="dxa"/>
            <w:vAlign w:val="bottom"/>
          </w:tcPr>
          <w:p>
            <w:pPr>
              <w:ind w:left="40"/>
              <w:spacing w:after="0"/>
              <w:rPr>
                <w:sz w:val="20"/>
                <w:szCs w:val="20"/>
                <w:color w:val="auto"/>
              </w:rPr>
            </w:pPr>
            <w:r>
              <w:rPr>
                <w:rFonts w:ascii="Arial" w:cs="Arial" w:eastAsia="Arial" w:hAnsi="Arial"/>
                <w:sz w:val="18"/>
                <w:szCs w:val="18"/>
                <w:color w:val="auto"/>
              </w:rPr>
              <w:t>Impact of nonrecurring charge related to U.S. tax reform recognized in the second quarter</w:t>
            </w:r>
          </w:p>
        </w:tc>
        <w:tc>
          <w:tcPr>
            <w:tcW w:w="140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7"/>
        </w:trPr>
        <w:tc>
          <w:tcPr>
            <w:tcW w:w="10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nonrecurring charge related to new Maryland state tax legislation recognized in the second quarter</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70"/>
        </w:trPr>
        <w:tc>
          <w:tcPr>
            <w:tcW w:w="10000" w:type="dxa"/>
            <w:vAlign w:val="bottom"/>
          </w:tcPr>
          <w:p>
            <w:pPr>
              <w:ind w:left="40"/>
              <w:spacing w:after="0"/>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1"/>
                <w:szCs w:val="21"/>
                <w:color w:val="auto"/>
                <w:vertAlign w:val="superscript"/>
              </w:rPr>
              <w:t>(1)</w:t>
            </w:r>
          </w:p>
        </w:tc>
        <w:tc>
          <w:tcPr>
            <w:tcW w:w="140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70"/>
        </w:trPr>
        <w:tc>
          <w:tcPr>
            <w:tcW w:w="10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redeemable non-controlling interests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10000" w:type="dxa"/>
            <w:vAlign w:val="bottom"/>
          </w:tcPr>
          <w:p>
            <w:pPr>
              <w:ind w:left="4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1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0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items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1000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24.9 %</w:t>
            </w:r>
          </w:p>
        </w:tc>
      </w:tr>
      <w:tr>
        <w:trPr>
          <w:trHeight w:val="20"/>
        </w:trPr>
        <w:tc>
          <w:tcPr>
            <w:tcW w:w="100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State income tax benefits are reflected in the total benefits for net income attributable to redeemable non-controlling interests and stock-based compensation plans activity.</w:t>
      </w:r>
    </w:p>
    <w:p>
      <w:pPr>
        <w:spacing w:after="0" w:line="2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currently estimate our effective tax rate for the full-year 2018 will be in the range of 24% to 26%. The benefit expected to be realized in 2018 from new Maryland state tax legislation will offset the nonrecurring re-measurement charge relating to this legislation and recognized in income tax provision during the nine months ended September 30, 2018. Based on information currently available, we expect that the Maryland state tax legislation will reduce our effective state tax rate over the five-year phase-in period to less than 2.5%.</w:t>
      </w:r>
    </w:p>
    <w:p>
      <w:pPr>
        <w:spacing w:after="0" w:line="20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effective tax rate will continue to experience volatility in future periods as the tax benefits recognized from stock-based compensation are impacted by market fluctuations in our stock price and timing of option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w:t>
      </w:r>
    </w:p>
    <w:p>
      <w:pPr>
        <w:sectPr>
          <w:pgSz w:w="11900" w:h="16838" w:orient="portrait"/>
          <w:cols w:equalWidth="0" w:num="1">
            <w:col w:w="11420"/>
          </w:cols>
          <w:pgMar w:left="240" w:top="598" w:right="239" w:bottom="1440" w:gutter="0" w:footer="0" w:header="0"/>
        </w:sectPr>
      </w:pPr>
    </w:p>
    <w:bookmarkStart w:id="37" w:name="page38"/>
    <w:bookmarkEnd w:id="37"/>
    <w:p>
      <w:pPr>
        <w:ind w:right="580"/>
        <w:spacing w:after="0" w:line="262" w:lineRule="auto"/>
        <w:rPr>
          <w:sz w:val="20"/>
          <w:szCs w:val="20"/>
          <w:color w:val="auto"/>
        </w:rPr>
      </w:pPr>
      <w:r>
        <w:rPr>
          <w:rFonts w:ascii="Arial" w:cs="Arial" w:eastAsia="Arial" w:hAnsi="Arial"/>
          <w:sz w:val="18"/>
          <w:szCs w:val="18"/>
          <w:color w:val="auto"/>
        </w:rPr>
        <w:t>exercises. The rate will also be impacted by changes in our consolidated investment products that are driven by market fluctuations and changes in the proportion of their net income that is attributable to non-controlling interests.</w:t>
      </w:r>
    </w:p>
    <w:p>
      <w:pPr>
        <w:spacing w:after="0" w:line="19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non-GAAP effective tax rate for the nine months ended September 30, 2018 is 23.8%. We currently estimate our non-GAAP effective tax rate for the full-year 2018 will be in the range of 23% to 25%.</w:t>
      </w:r>
    </w:p>
    <w:p>
      <w:pPr>
        <w:spacing w:after="0" w:line="19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continue to evaluate the impact of U.S. tax reform and the Maryland state tax legislation on our estimates and expectations due to changes in our interpretations of the law, assumptions used in applying the law, and additional guidance concerning the law that may be issued.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380"/>
          </w:cols>
          <w:pgMar w:left="240" w:top="598"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auto"/>
        </w:rPr>
        <w:t>Non-GAAP information and reconciliation</w:t>
      </w:r>
    </w:p>
    <w:p>
      <w:pPr>
        <w:spacing w:after="0" w:line="17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 The following schedule reconciles U.S. GAAP financial measures to non-GAAP financial measures for the three- and nine-month periods ended September 30, 2017 and 2018.</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7"/>
                <w:szCs w:val="17"/>
                <w:color w:val="auto"/>
              </w:rPr>
            </w:pPr>
          </w:p>
        </w:tc>
        <w:tc>
          <w:tcPr>
            <w:tcW w:w="222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 except per-share amounts)</w:t>
            </w:r>
          </w:p>
        </w:tc>
        <w:tc>
          <w:tcPr>
            <w:tcW w:w="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9/30/2017</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9/30/2018</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9/30/2018</w:t>
            </w:r>
          </w:p>
        </w:tc>
      </w:tr>
      <w:tr>
        <w:trPr>
          <w:trHeight w:val="25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 GAAP basis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690.2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754.0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1,979.5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2,248.5</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3"/>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 of consolidated T. Rowe Price investment products, net of</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3"/>
        </w:trPr>
        <w:tc>
          <w:tcPr>
            <w:tcW w:w="6500" w:type="dxa"/>
            <w:vAlign w:val="bottom"/>
            <w:shd w:val="clear" w:color="auto" w:fill="CCEEFF"/>
          </w:tcPr>
          <w:p>
            <w:pPr>
              <w:ind w:left="180"/>
              <w:spacing w:after="0" w:line="233" w:lineRule="exact"/>
              <w:rPr>
                <w:sz w:val="20"/>
                <w:szCs w:val="20"/>
                <w:color w:val="auto"/>
              </w:rPr>
            </w:pPr>
            <w:r>
              <w:rPr>
                <w:rFonts w:ascii="Arial" w:cs="Arial" w:eastAsia="Arial" w:hAnsi="Arial"/>
                <w:sz w:val="18"/>
                <w:szCs w:val="18"/>
                <w:color w:val="auto"/>
              </w:rPr>
              <w:t>elimination of its related management and administrative fees</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6"/>
        </w:trPr>
        <w:tc>
          <w:tcPr>
            <w:tcW w:w="6500" w:type="dxa"/>
            <w:vAlign w:val="bottom"/>
          </w:tcPr>
          <w:p>
            <w:pPr>
              <w:ind w:left="120"/>
              <w:spacing w:after="0"/>
              <w:rPr>
                <w:sz w:val="20"/>
                <w:szCs w:val="20"/>
                <w:color w:val="auto"/>
              </w:rPr>
            </w:pPr>
            <w:r>
              <w:rPr>
                <w:rFonts w:ascii="Arial" w:cs="Arial" w:eastAsia="Arial" w:hAnsi="Arial"/>
                <w:sz w:val="18"/>
                <w:szCs w:val="18"/>
                <w:color w:val="auto"/>
              </w:rPr>
              <w:t>Compensation expense related to market valuation changes in the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3"/>
        </w:trPr>
        <w:tc>
          <w:tcPr>
            <w:tcW w:w="6500" w:type="dxa"/>
            <w:vAlign w:val="bottom"/>
          </w:tcPr>
          <w:p>
            <w:pPr>
              <w:ind w:left="120"/>
              <w:spacing w:after="0" w:line="233" w:lineRule="exact"/>
              <w:rPr>
                <w:sz w:val="20"/>
                <w:szCs w:val="20"/>
                <w:color w:val="auto"/>
              </w:rPr>
            </w:pPr>
            <w:r>
              <w:rPr>
                <w:rFonts w:ascii="Arial" w:cs="Arial" w:eastAsia="Arial" w:hAnsi="Arial"/>
                <w:sz w:val="18"/>
                <w:szCs w:val="18"/>
                <w:color w:val="auto"/>
              </w:rPr>
              <w:t>supplemental savings plan liability</w:t>
            </w:r>
            <w:r>
              <w:rPr>
                <w:rFonts w:ascii="Arial" w:cs="Arial" w:eastAsia="Arial" w:hAnsi="Arial"/>
                <w:sz w:val="21"/>
                <w:szCs w:val="21"/>
                <w:color w:val="auto"/>
                <w:vertAlign w:val="superscript"/>
              </w:rPr>
              <w:t>(2)</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0"/>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Insurance recoveries related to Dell appraisal rights matter</w:t>
            </w:r>
            <w:r>
              <w:rPr>
                <w:rFonts w:ascii="Arial" w:cs="Arial" w:eastAsia="Arial" w:hAnsi="Arial"/>
                <w:sz w:val="21"/>
                <w:szCs w:val="21"/>
                <w:color w:val="auto"/>
                <w:vertAlign w:val="superscript"/>
              </w:rPr>
              <w:t>(4)</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0"/>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Adjusted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682.7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744.5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2,018.5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2,230.8</w:t>
            </w:r>
          </w:p>
        </w:tc>
      </w:tr>
      <w:tr>
        <w:trPr>
          <w:trHeight w:val="305"/>
        </w:trPr>
        <w:tc>
          <w:tcPr>
            <w:tcW w:w="6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T. Rowe Price Group, GAAP basis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390.9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583.0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1,150.7</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1,485.6</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adjustments: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26"/>
        </w:trPr>
        <w:tc>
          <w:tcPr>
            <w:tcW w:w="6500" w:type="dxa"/>
            <w:vAlign w:val="bottom"/>
          </w:tcPr>
          <w:p>
            <w:pPr>
              <w:ind w:left="120"/>
              <w:spacing w:after="0"/>
              <w:rPr>
                <w:sz w:val="20"/>
                <w:szCs w:val="20"/>
                <w:color w:val="auto"/>
              </w:rPr>
            </w:pPr>
            <w:r>
              <w:rPr>
                <w:rFonts w:ascii="Arial" w:cs="Arial" w:eastAsia="Arial" w:hAnsi="Arial"/>
                <w:sz w:val="18"/>
                <w:szCs w:val="18"/>
                <w:color w:val="auto"/>
              </w:rPr>
              <w:t>Net income of consolidated T. Rowe Price investment products, net of</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3"/>
        </w:trPr>
        <w:tc>
          <w:tcPr>
            <w:tcW w:w="6500" w:type="dxa"/>
            <w:vAlign w:val="bottom"/>
          </w:tcPr>
          <w:p>
            <w:pPr>
              <w:ind w:left="120"/>
              <w:spacing w:after="0" w:line="233" w:lineRule="exact"/>
              <w:rPr>
                <w:sz w:val="20"/>
                <w:szCs w:val="20"/>
                <w:color w:val="auto"/>
              </w:rPr>
            </w:pPr>
            <w:r>
              <w:rPr>
                <w:rFonts w:ascii="Arial" w:cs="Arial" w:eastAsia="Arial" w:hAnsi="Arial"/>
                <w:sz w:val="18"/>
                <w:szCs w:val="18"/>
                <w:color w:val="auto"/>
              </w:rPr>
              <w:t>redeemable non-controlling interests</w:t>
            </w:r>
            <w:r>
              <w:rPr>
                <w:rFonts w:ascii="Arial" w:cs="Arial" w:eastAsia="Arial" w:hAnsi="Arial"/>
                <w:sz w:val="21"/>
                <w:szCs w:val="21"/>
                <w:color w:val="auto"/>
                <w:vertAlign w:val="superscript"/>
              </w:rPr>
              <w:t>(1)</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6"/>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Non-operating income of investments designated as an economic hedge of the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3"/>
        </w:trPr>
        <w:tc>
          <w:tcPr>
            <w:tcW w:w="6500" w:type="dxa"/>
            <w:vAlign w:val="bottom"/>
            <w:shd w:val="clear" w:color="auto" w:fill="CCEEFF"/>
          </w:tcPr>
          <w:p>
            <w:pPr>
              <w:ind w:left="120"/>
              <w:spacing w:after="0" w:line="233" w:lineRule="exact"/>
              <w:rPr>
                <w:sz w:val="20"/>
                <w:szCs w:val="20"/>
                <w:color w:val="auto"/>
              </w:rPr>
            </w:pPr>
            <w:r>
              <w:rPr>
                <w:rFonts w:ascii="Arial" w:cs="Arial" w:eastAsia="Arial" w:hAnsi="Arial"/>
                <w:sz w:val="18"/>
                <w:szCs w:val="18"/>
                <w:color w:val="auto"/>
              </w:rPr>
              <w:t>supplemental savings plan liability less related compensation expense</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6500" w:type="dxa"/>
            <w:vAlign w:val="bottom"/>
          </w:tcPr>
          <w:p>
            <w:pPr>
              <w:ind w:left="120"/>
              <w:spacing w:after="0"/>
              <w:rPr>
                <w:sz w:val="20"/>
                <w:szCs w:val="20"/>
                <w:color w:val="auto"/>
              </w:rPr>
            </w:pPr>
            <w:r>
              <w:rPr>
                <w:rFonts w:ascii="Arial" w:cs="Arial" w:eastAsia="Arial" w:hAnsi="Arial"/>
                <w:sz w:val="18"/>
                <w:szCs w:val="18"/>
                <w:color w:val="auto"/>
              </w:rPr>
              <w:t>Other non-operating income</w:t>
            </w:r>
            <w:r>
              <w:rPr>
                <w:rFonts w:ascii="Arial" w:cs="Arial" w:eastAsia="Arial" w:hAnsi="Arial"/>
                <w:sz w:val="21"/>
                <w:szCs w:val="21"/>
                <w:color w:val="auto"/>
                <w:vertAlign w:val="superscript"/>
              </w:rPr>
              <w:t>(3)</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(106.6)</w:t>
            </w:r>
          </w:p>
        </w:tc>
      </w:tr>
      <w:tr>
        <w:trPr>
          <w:trHeight w:val="270"/>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Insurance recoveries related to Dell appraisal rights matter</w:t>
            </w:r>
            <w:r>
              <w:rPr>
                <w:rFonts w:ascii="Arial" w:cs="Arial" w:eastAsia="Arial" w:hAnsi="Arial"/>
                <w:sz w:val="21"/>
                <w:szCs w:val="21"/>
                <w:color w:val="auto"/>
                <w:vertAlign w:val="superscript"/>
              </w:rPr>
              <w:t>(4)</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500" w:type="dxa"/>
            <w:vAlign w:val="bottom"/>
          </w:tcPr>
          <w:p>
            <w:pPr>
              <w:ind w:left="120"/>
              <w:spacing w:after="0"/>
              <w:rPr>
                <w:sz w:val="20"/>
                <w:szCs w:val="20"/>
                <w:color w:val="auto"/>
              </w:rPr>
            </w:pPr>
            <w:r>
              <w:rPr>
                <w:rFonts w:ascii="Arial" w:cs="Arial" w:eastAsia="Arial" w:hAnsi="Arial"/>
                <w:sz w:val="18"/>
                <w:szCs w:val="18"/>
                <w:color w:val="auto"/>
              </w:rPr>
              <w:t>Income tax impacts of non-GAAP adjustments</w:t>
            </w:r>
            <w:r>
              <w:rPr>
                <w:rFonts w:ascii="Arial" w:cs="Arial" w:eastAsia="Arial" w:hAnsi="Arial"/>
                <w:sz w:val="21"/>
                <w:szCs w:val="21"/>
                <w:color w:val="auto"/>
                <w:vertAlign w:val="superscript"/>
              </w:rPr>
              <w:t>(5)</w:t>
            </w:r>
          </w:p>
        </w:tc>
        <w:tc>
          <w:tcPr>
            <w:tcW w:w="20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25.1</w:t>
            </w:r>
          </w:p>
        </w:tc>
      </w:tr>
      <w:tr>
        <w:trPr>
          <w:trHeight w:val="270"/>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Nonrecurring charge related to enactment of U.S. tax reform</w:t>
            </w:r>
            <w:r>
              <w:rPr>
                <w:rFonts w:ascii="Arial" w:cs="Arial" w:eastAsia="Arial" w:hAnsi="Arial"/>
                <w:sz w:val="21"/>
                <w:szCs w:val="21"/>
                <w:color w:val="auto"/>
                <w:vertAlign w:val="superscript"/>
              </w:rPr>
              <w:t>(6)</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r>
      <w:tr>
        <w:trPr>
          <w:trHeight w:val="270"/>
        </w:trPr>
        <w:tc>
          <w:tcPr>
            <w:tcW w:w="6500" w:type="dxa"/>
            <w:vAlign w:val="bottom"/>
          </w:tcPr>
          <w:p>
            <w:pPr>
              <w:ind w:left="120"/>
              <w:spacing w:after="0"/>
              <w:rPr>
                <w:sz w:val="20"/>
                <w:szCs w:val="20"/>
                <w:color w:val="auto"/>
              </w:rPr>
            </w:pPr>
            <w:r>
              <w:rPr>
                <w:rFonts w:ascii="Arial" w:cs="Arial" w:eastAsia="Arial" w:hAnsi="Arial"/>
                <w:sz w:val="18"/>
                <w:szCs w:val="18"/>
                <w:color w:val="auto"/>
              </w:rPr>
              <w:t>Nonrecurring charge related to enactment of Maryland state tax legislation</w:t>
            </w:r>
            <w:r>
              <w:rPr>
                <w:rFonts w:ascii="Arial" w:cs="Arial" w:eastAsia="Arial" w:hAnsi="Arial"/>
                <w:sz w:val="21"/>
                <w:szCs w:val="21"/>
                <w:color w:val="auto"/>
                <w:vertAlign w:val="superscript"/>
              </w:rPr>
              <w:t>(7)</w:t>
            </w: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7.9</w:t>
            </w:r>
          </w:p>
        </w:tc>
      </w:tr>
      <w:tr>
        <w:trPr>
          <w:trHeight w:val="250"/>
        </w:trPr>
        <w:tc>
          <w:tcPr>
            <w:tcW w:w="6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net income attributable to T. Rowe Price Group</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1,423.4</w:t>
            </w: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05"/>
        </w:trPr>
        <w:tc>
          <w:tcPr>
            <w:tcW w:w="6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common share, GAAP basis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5.85</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Consolidated T. Rowe Price investment products</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70"/>
        </w:trPr>
        <w:tc>
          <w:tcPr>
            <w:tcW w:w="6500" w:type="dxa"/>
            <w:vAlign w:val="bottom"/>
          </w:tcPr>
          <w:p>
            <w:pPr>
              <w:ind w:left="120"/>
              <w:spacing w:after="0"/>
              <w:rPr>
                <w:sz w:val="20"/>
                <w:szCs w:val="20"/>
                <w:color w:val="auto"/>
              </w:rPr>
            </w:pPr>
            <w:r>
              <w:rPr>
                <w:rFonts w:ascii="Arial" w:cs="Arial" w:eastAsia="Arial" w:hAnsi="Arial"/>
                <w:sz w:val="18"/>
                <w:szCs w:val="18"/>
                <w:color w:val="auto"/>
              </w:rPr>
              <w:t>Other non-operating income</w:t>
            </w:r>
            <w:r>
              <w:rPr>
                <w:rFonts w:ascii="Arial" w:cs="Arial" w:eastAsia="Arial" w:hAnsi="Arial"/>
                <w:sz w:val="21"/>
                <w:szCs w:val="21"/>
                <w:color w:val="auto"/>
                <w:vertAlign w:val="superscript"/>
              </w:rPr>
              <w:t>(3)</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Insurance recoveries related to Dell appraisal rights matter</w:t>
            </w:r>
            <w:r>
              <w:rPr>
                <w:rFonts w:ascii="Arial" w:cs="Arial" w:eastAsia="Arial" w:hAnsi="Arial"/>
                <w:sz w:val="21"/>
                <w:szCs w:val="21"/>
                <w:color w:val="auto"/>
                <w:vertAlign w:val="superscript"/>
              </w:rPr>
              <w:t>(4)</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500" w:type="dxa"/>
            <w:vAlign w:val="bottom"/>
          </w:tcPr>
          <w:p>
            <w:pPr>
              <w:ind w:left="120"/>
              <w:spacing w:after="0"/>
              <w:rPr>
                <w:sz w:val="20"/>
                <w:szCs w:val="20"/>
                <w:color w:val="auto"/>
              </w:rPr>
            </w:pPr>
            <w:r>
              <w:rPr>
                <w:rFonts w:ascii="Arial" w:cs="Arial" w:eastAsia="Arial" w:hAnsi="Arial"/>
                <w:sz w:val="18"/>
                <w:szCs w:val="18"/>
                <w:color w:val="auto"/>
              </w:rPr>
              <w:t>Nonrecurring charge related to enactment of U.S. tax reform</w:t>
            </w:r>
            <w:r>
              <w:rPr>
                <w:rFonts w:ascii="Arial" w:cs="Arial" w:eastAsia="Arial" w:hAnsi="Arial"/>
                <w:sz w:val="21"/>
                <w:szCs w:val="21"/>
                <w:color w:val="auto"/>
                <w:vertAlign w:val="superscript"/>
              </w:rPr>
              <w:t>(6)</w:t>
            </w: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.08</w:t>
            </w:r>
          </w:p>
        </w:tc>
      </w:tr>
      <w:tr>
        <w:trPr>
          <w:trHeight w:val="270"/>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Nonrecurring charge related to enactment of Maryland state tax legislation</w:t>
            </w:r>
            <w:r>
              <w:rPr>
                <w:rFonts w:ascii="Arial" w:cs="Arial" w:eastAsia="Arial" w:hAnsi="Arial"/>
                <w:sz w:val="21"/>
                <w:szCs w:val="21"/>
                <w:color w:val="auto"/>
                <w:vertAlign w:val="superscript"/>
              </w:rPr>
              <w:t>(7)</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r>
      <w:tr>
        <w:trPr>
          <w:trHeight w:val="250"/>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Adjusted diluted earnings per common share</w:t>
            </w:r>
            <w:r>
              <w:rPr>
                <w:rFonts w:ascii="Arial" w:cs="Arial" w:eastAsia="Arial" w:hAnsi="Arial"/>
                <w:sz w:val="21"/>
                <w:szCs w:val="21"/>
                <w:b w:val="1"/>
                <w:bCs w:val="1"/>
                <w:color w:val="auto"/>
                <w:vertAlign w:val="superscript"/>
              </w:rPr>
              <w:t>(8)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5.60</w:t>
            </w: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80" w:right="20" w:hanging="172"/>
        <w:spacing w:after="0" w:line="237" w:lineRule="auto"/>
        <w:tabs>
          <w:tab w:leader="none" w:pos="20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The non-GAAP adjustments add back the management and administrative fees that we earn from the consolidated T. Rowe Price investment products and subtract the investment income and operating expenses of these products that have been included in our U.S. GAAP unaudited condensed consolidated statements of income. We believe the consolidated T. Rowe Price investment products may impact the reader's ability to</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420"/>
          </w:cols>
          <w:pgMar w:left="240" w:top="652" w:right="239" w:bottom="1440" w:gutter="0" w:footer="0" w:header="0"/>
        </w:sectPr>
      </w:pPr>
    </w:p>
    <w:bookmarkStart w:id="39" w:name="page40"/>
    <w:bookmarkEnd w:id="39"/>
    <w:p>
      <w:pPr>
        <w:ind w:left="172" w:right="460"/>
        <w:spacing w:after="0" w:line="262" w:lineRule="auto"/>
        <w:rPr>
          <w:sz w:val="20"/>
          <w:szCs w:val="20"/>
          <w:color w:val="auto"/>
        </w:rPr>
      </w:pPr>
      <w:r>
        <w:rPr>
          <w:rFonts w:ascii="Arial" w:cs="Arial" w:eastAsia="Arial" w:hAnsi="Arial"/>
          <w:sz w:val="18"/>
          <w:szCs w:val="18"/>
          <w:color w:val="auto"/>
        </w:rPr>
        <w:t>understand our core operating results. The following table details the calculation of operating expenses of consolidated T. Rowe Price investment products, net of elimination of its related management and administrative fees.</w:t>
      </w:r>
    </w:p>
    <w:p>
      <w:pPr>
        <w:spacing w:after="0" w:line="332" w:lineRule="exact"/>
        <w:rPr>
          <w:sz w:val="20"/>
          <w:szCs w:val="20"/>
          <w:color w:val="auto"/>
        </w:rPr>
      </w:pPr>
    </w:p>
    <w:tbl>
      <w:tblPr>
        <w:tblLayout w:type="fixed"/>
        <w:tblInd w:w="172" w:type="dxa"/>
        <w:tblCellMar>
          <w:top w:w="0" w:type="dxa"/>
          <w:left w:w="0" w:type="dxa"/>
          <w:bottom w:w="0" w:type="dxa"/>
          <w:right w:w="0" w:type="dxa"/>
        </w:tblCellMar>
      </w:tblPr>
      <w:tr>
        <w:trPr>
          <w:trHeight w:val="264"/>
        </w:trPr>
        <w:tc>
          <w:tcPr>
            <w:tcW w:w="6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380" w:type="dxa"/>
            <w:vAlign w:val="bottom"/>
            <w:gridSpan w:val="5"/>
            <w:shd w:val="clear" w:color="auto" w:fill="CCEEFF"/>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22"/>
                <w:szCs w:val="22"/>
                <w:color w:val="auto"/>
              </w:rPr>
            </w:pPr>
          </w:p>
        </w:tc>
        <w:tc>
          <w:tcPr>
            <w:tcW w:w="2160" w:type="dxa"/>
            <w:vAlign w:val="bottom"/>
            <w:gridSpan w:val="4"/>
            <w:shd w:val="clear" w:color="auto" w:fill="CCEEFF"/>
          </w:tcPr>
          <w:p>
            <w:pPr>
              <w:jc w:val="right"/>
              <w:ind w:right="37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9/30/2018</w:t>
            </w:r>
          </w:p>
        </w:tc>
        <w:tc>
          <w:tcPr>
            <w:tcW w:w="2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9/30/2018</w:t>
            </w:r>
          </w:p>
        </w:tc>
      </w:tr>
      <w:tr>
        <w:trPr>
          <w:trHeight w:val="25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before eliminations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9.2</w:t>
            </w:r>
          </w:p>
        </w:tc>
      </w:tr>
      <w:tr>
        <w:trPr>
          <w:trHeight w:val="264"/>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 eliminated in consolidation</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5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 net of eliminations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r>
      <w:tr>
        <w:trPr>
          <w:trHeight w:val="20"/>
        </w:trPr>
        <w:tc>
          <w:tcPr>
            <w:tcW w:w="6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72" w:right="620"/>
        <w:spacing w:after="0" w:line="262" w:lineRule="auto"/>
        <w:rPr>
          <w:sz w:val="20"/>
          <w:szCs w:val="20"/>
          <w:color w:val="auto"/>
        </w:rPr>
      </w:pPr>
      <w:r>
        <w:rPr>
          <w:rFonts w:ascii="Arial" w:cs="Arial" w:eastAsia="Arial" w:hAnsi="Arial"/>
          <w:sz w:val="18"/>
          <w:szCs w:val="18"/>
          <w:color w:val="auto"/>
        </w:rPr>
        <w:t>The following table details the calculation of net income of consolidated T. Rowe Price investment products, net of redeemable non-controlling interests:</w:t>
      </w:r>
    </w:p>
    <w:p>
      <w:pPr>
        <w:spacing w:after="0" w:line="116" w:lineRule="exact"/>
        <w:rPr>
          <w:sz w:val="20"/>
          <w:szCs w:val="20"/>
          <w:color w:val="auto"/>
        </w:rPr>
      </w:pPr>
    </w:p>
    <w:tbl>
      <w:tblPr>
        <w:tblLayout w:type="fixed"/>
        <w:tblInd w:w="172" w:type="dxa"/>
        <w:tblCellMar>
          <w:top w:w="0" w:type="dxa"/>
          <w:left w:w="0" w:type="dxa"/>
          <w:bottom w:w="0" w:type="dxa"/>
          <w:right w:w="0" w:type="dxa"/>
        </w:tblCellMar>
      </w:tblPr>
      <w:tr>
        <w:trPr>
          <w:trHeight w:val="264"/>
        </w:trPr>
        <w:tc>
          <w:tcPr>
            <w:tcW w:w="6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380" w:type="dxa"/>
            <w:vAlign w:val="bottom"/>
            <w:gridSpan w:val="6"/>
            <w:shd w:val="clear" w:color="auto" w:fill="CCEEFF"/>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22"/>
                <w:szCs w:val="22"/>
                <w:color w:val="auto"/>
              </w:rPr>
            </w:pPr>
          </w:p>
        </w:tc>
        <w:tc>
          <w:tcPr>
            <w:tcW w:w="2160" w:type="dxa"/>
            <w:vAlign w:val="bottom"/>
            <w:gridSpan w:val="4"/>
            <w:shd w:val="clear" w:color="auto" w:fill="CCEEFF"/>
          </w:tcPr>
          <w:p>
            <w:pPr>
              <w:jc w:val="right"/>
              <w:ind w:right="37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9/30/2018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9/30/2018</w:t>
            </w:r>
          </w:p>
        </w:tc>
      </w:tr>
      <w:tr>
        <w:trPr>
          <w:trHeight w:val="25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gains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125.8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28.6</w:t>
            </w:r>
          </w:p>
        </w:tc>
      </w:tr>
      <w:tr>
        <w:trPr>
          <w:trHeight w:val="264"/>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7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117.3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19.4</w:t>
            </w:r>
          </w:p>
        </w:tc>
      </w:tr>
      <w:tr>
        <w:trPr>
          <w:trHeight w:val="264"/>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11.1</w:t>
            </w:r>
          </w:p>
        </w:tc>
      </w:tr>
      <w:tr>
        <w:trPr>
          <w:trHeight w:val="25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 Rowe Price Group's portion of 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r>
      <w:tr>
        <w:trPr>
          <w:trHeight w:val="20"/>
        </w:trPr>
        <w:tc>
          <w:tcPr>
            <w:tcW w:w="6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72" w:hanging="172"/>
        <w:spacing w:after="0" w:line="256" w:lineRule="auto"/>
        <w:tabs>
          <w:tab w:leader="none" w:pos="172" w:val="left"/>
        </w:tabs>
        <w:numPr>
          <w:ilvl w:val="0"/>
          <w:numId w:val="15"/>
        </w:numPr>
        <w:rPr>
          <w:rFonts w:ascii="Arial" w:cs="Arial" w:eastAsia="Arial" w:hAnsi="Arial"/>
          <w:sz w:val="21"/>
          <w:szCs w:val="21"/>
          <w:color w:val="auto"/>
          <w:vertAlign w:val="superscript"/>
        </w:rPr>
      </w:pPr>
      <w:r>
        <w:rPr>
          <w:rFonts w:ascii="Arial" w:cs="Arial" w:eastAsia="Arial" w:hAnsi="Arial"/>
          <w:sz w:val="17"/>
          <w:szCs w:val="17"/>
          <w:color w:val="auto"/>
        </w:rPr>
        <w:t>This non-GAAP adjustment removes the impact of market movements on the supplemental savings plan liability and related investments designated as economic hedges of the liability beginning July 1, 2017. Amounts deferred under the supplemental savings plan are adjusted for appreciation (depreciation) of hypothetical investments chosen by the employees. Since we economically hedge the exposure to these market movements, we believe it is useful to offset the non-operating investment income earned on the hedges against the related compensation expense to increase comparability period to period. The following table details the supplemental savings plan related items:</w:t>
      </w:r>
    </w:p>
    <w:p>
      <w:pPr>
        <w:spacing w:after="0" w:line="125" w:lineRule="exact"/>
        <w:rPr>
          <w:sz w:val="20"/>
          <w:szCs w:val="20"/>
          <w:color w:val="auto"/>
        </w:rPr>
      </w:pPr>
    </w:p>
    <w:tbl>
      <w:tblPr>
        <w:tblLayout w:type="fixed"/>
        <w:tblInd w:w="172" w:type="dxa"/>
        <w:tblCellMar>
          <w:top w:w="0" w:type="dxa"/>
          <w:left w:w="0" w:type="dxa"/>
          <w:bottom w:w="0" w:type="dxa"/>
          <w:right w:w="0" w:type="dxa"/>
        </w:tblCellMar>
      </w:tblPr>
      <w:tr>
        <w:trPr>
          <w:trHeight w:val="264"/>
        </w:trPr>
        <w:tc>
          <w:tcPr>
            <w:tcW w:w="6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60" w:type="dxa"/>
            <w:vAlign w:val="bottom"/>
            <w:gridSpan w:val="5"/>
            <w:shd w:val="clear" w:color="auto" w:fill="CCEEFF"/>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22"/>
                <w:szCs w:val="22"/>
                <w:color w:val="auto"/>
              </w:rPr>
            </w:pPr>
          </w:p>
        </w:tc>
        <w:tc>
          <w:tcPr>
            <w:tcW w:w="2160" w:type="dxa"/>
            <w:vAlign w:val="bottom"/>
            <w:gridSpan w:val="4"/>
            <w:shd w:val="clear" w:color="auto" w:fill="CCEEFF"/>
          </w:tcPr>
          <w:p>
            <w:pPr>
              <w:jc w:val="right"/>
              <w:ind w:right="37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9/30/2017</w:t>
            </w:r>
          </w:p>
        </w:tc>
        <w:tc>
          <w:tcPr>
            <w:tcW w:w="100" w:type="dxa"/>
            <w:vAlign w:val="bottom"/>
            <w:tcBorders>
              <w:top w:val="single" w:sz="8" w:color="auto"/>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9/30/2018</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top w:val="single" w:sz="8" w:color="auto"/>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9/30/2018</w:t>
            </w:r>
          </w:p>
        </w:tc>
        <w:tc>
          <w:tcPr>
            <w:tcW w:w="0" w:type="dxa"/>
            <w:vAlign w:val="bottom"/>
          </w:tcPr>
          <w:p>
            <w:pPr>
              <w:spacing w:after="0"/>
              <w:rPr>
                <w:sz w:val="1"/>
                <w:szCs w:val="1"/>
                <w:color w:val="auto"/>
              </w:rPr>
            </w:pPr>
          </w:p>
        </w:tc>
      </w:tr>
      <w:tr>
        <w:trPr>
          <w:trHeight w:val="215"/>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of investments designated as an economic hedge of</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savings plan liability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Compensation expense from market valuation changes in supplemental</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savings plan liability</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5"/>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of investments designated as an economic hedge of</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savings plan liability less compensation expense</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Page 40</w:t>
      </w:r>
    </w:p>
    <w:p>
      <w:pPr>
        <w:sectPr>
          <w:pgSz w:w="11900" w:h="16838" w:orient="portrait"/>
          <w:cols w:equalWidth="0" w:num="1">
            <w:col w:w="11232"/>
          </w:cols>
          <w:pgMar w:left="248" w:top="598" w:right="419" w:bottom="1440" w:gutter="0" w:footer="0" w:header="0"/>
        </w:sectPr>
      </w:pPr>
    </w:p>
    <w:bookmarkStart w:id="40" w:name="page41"/>
    <w:bookmarkEnd w:id="40"/>
    <w:p>
      <w:pPr>
        <w:ind w:left="172" w:right="60" w:hanging="172"/>
        <w:spacing w:after="0" w:line="259" w:lineRule="auto"/>
        <w:tabs>
          <w:tab w:leader="none" w:pos="172" w:val="left"/>
        </w:tabs>
        <w:numPr>
          <w:ilvl w:val="0"/>
          <w:numId w:val="16"/>
        </w:numPr>
        <w:rPr>
          <w:rFonts w:ascii="Arial" w:cs="Arial" w:eastAsia="Arial" w:hAnsi="Arial"/>
          <w:sz w:val="21"/>
          <w:szCs w:val="21"/>
          <w:color w:val="auto"/>
          <w:vertAlign w:val="superscript"/>
        </w:rPr>
      </w:pPr>
      <w:r>
        <w:rPr>
          <w:rFonts w:ascii="Arial" w:cs="Arial" w:eastAsia="Arial" w:hAnsi="Arial"/>
          <w:sz w:val="17"/>
          <w:szCs w:val="17"/>
          <w:color w:val="auto"/>
        </w:rPr>
        <w:t>This non-GAAP adjustment removes the non-operating income that remains after backing out the portion related to the consolidated T. Rowe Price investment products and the investments designated as an economic hedge of our supplemental savings plan liability. Beginning in the second quarter of 2018, we modified the non-GAAP adjustment to no longer adjust for the investment gains recognized on our cash and discretionary investments as the income earned on these assets are considered part of our core operations. The impact on previously reported non-GAAP measures is immaterial. We believe adjusting for the remaining non-operating income helps the reader's ability to understand our core operating results and increases comparability to prior years. Additionally, we do not emphasize the impact of the portion of non-operating income removed when managing and evaluating our performance.</w:t>
      </w:r>
    </w:p>
    <w:p>
      <w:pPr>
        <w:spacing w:after="0" w:line="122" w:lineRule="exact"/>
        <w:rPr>
          <w:sz w:val="20"/>
          <w:szCs w:val="20"/>
          <w:color w:val="auto"/>
        </w:rPr>
      </w:pPr>
    </w:p>
    <w:tbl>
      <w:tblPr>
        <w:tblLayout w:type="fixed"/>
        <w:tblInd w:w="172" w:type="dxa"/>
        <w:tblCellMar>
          <w:top w:w="0" w:type="dxa"/>
          <w:left w:w="0" w:type="dxa"/>
          <w:bottom w:w="0" w:type="dxa"/>
          <w:right w:w="0" w:type="dxa"/>
        </w:tblCellMar>
      </w:tblPr>
      <w:tr>
        <w:trPr>
          <w:trHeight w:val="264"/>
        </w:trPr>
        <w:tc>
          <w:tcPr>
            <w:tcW w:w="6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60" w:type="dxa"/>
            <w:vAlign w:val="bottom"/>
            <w:gridSpan w:val="5"/>
            <w:shd w:val="clear" w:color="auto" w:fill="CCEEFF"/>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22"/>
                <w:szCs w:val="22"/>
                <w:color w:val="auto"/>
              </w:rPr>
            </w:pPr>
          </w:p>
        </w:tc>
        <w:tc>
          <w:tcPr>
            <w:tcW w:w="2160" w:type="dxa"/>
            <w:vAlign w:val="bottom"/>
            <w:gridSpan w:val="4"/>
            <w:shd w:val="clear" w:color="auto" w:fill="CCEEFF"/>
          </w:tcPr>
          <w:p>
            <w:pPr>
              <w:jc w:val="right"/>
              <w:ind w:right="37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9/30/2017</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9/30/2018</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9/30/2018</w:t>
            </w:r>
          </w:p>
        </w:tc>
      </w:tr>
      <w:tr>
        <w:trPr>
          <w:trHeight w:val="25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non-operating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294.3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175.1</w:t>
            </w: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Less: net investment gains of consolidated T. Rowe Price investment</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products</w:t>
            </w:r>
          </w:p>
        </w:tc>
        <w:tc>
          <w:tcPr>
            <w:tcW w:w="20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28.6</w:t>
            </w:r>
          </w:p>
        </w:tc>
      </w:tr>
      <w:tr>
        <w:trPr>
          <w:trHeight w:val="235"/>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non-operating income from investments designated as an economic</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hedge of supplemental savings plan liability</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14.2</w:t>
            </w:r>
          </w:p>
        </w:tc>
      </w:tr>
      <w:tr>
        <w:trPr>
          <w:trHeight w:val="264"/>
        </w:trPr>
        <w:tc>
          <w:tcPr>
            <w:tcW w:w="6220" w:type="dxa"/>
            <w:vAlign w:val="bottom"/>
          </w:tcPr>
          <w:p>
            <w:pPr>
              <w:ind w:left="20"/>
              <w:spacing w:after="0"/>
              <w:rPr>
                <w:sz w:val="20"/>
                <w:szCs w:val="20"/>
                <w:color w:val="auto"/>
              </w:rPr>
            </w:pPr>
            <w:r>
              <w:rPr>
                <w:rFonts w:ascii="Arial" w:cs="Arial" w:eastAsia="Arial" w:hAnsi="Arial"/>
                <w:sz w:val="18"/>
                <w:szCs w:val="18"/>
                <w:color w:val="auto"/>
              </w:rPr>
              <w:t>Less: investment gains earned on cash and discretionary investments</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25.7</w:t>
            </w:r>
          </w:p>
        </w:tc>
      </w:tr>
      <w:tr>
        <w:trPr>
          <w:trHeight w:val="257"/>
        </w:trPr>
        <w:tc>
          <w:tcPr>
            <w:tcW w:w="6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non-operating income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23.7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92.2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162.4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106.6</w:t>
            </w:r>
          </w:p>
        </w:tc>
      </w:tr>
      <w:tr>
        <w:trPr>
          <w:trHeight w:val="20"/>
        </w:trPr>
        <w:tc>
          <w:tcPr>
            <w:tcW w:w="6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72" w:right="280" w:hanging="172"/>
        <w:spacing w:after="0" w:line="233" w:lineRule="auto"/>
        <w:tabs>
          <w:tab w:leader="none" w:pos="192"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In the first quarter of 2017, we recognized insurance recoveries of $50.0 million related to the Dell appraisal rights matter as a reduction in operating expenses. We believe it is useful to readers of our unaudited condensed consolidated statements of income to adjust for these insurance recoveries given the nonrecurring nature of the initial charge and related insurance recoveries.</w:t>
      </w:r>
    </w:p>
    <w:p>
      <w:pPr>
        <w:spacing w:after="0" w:line="204" w:lineRule="exact"/>
        <w:rPr>
          <w:sz w:val="20"/>
          <w:szCs w:val="20"/>
          <w:color w:val="auto"/>
        </w:rPr>
      </w:pPr>
    </w:p>
    <w:p>
      <w:pPr>
        <w:ind w:left="172" w:hanging="161"/>
        <w:spacing w:after="0" w:line="243" w:lineRule="auto"/>
        <w:rPr>
          <w:sz w:val="20"/>
          <w:szCs w:val="20"/>
          <w:color w:val="auto"/>
        </w:rPr>
      </w:pPr>
      <w:r>
        <w:rPr>
          <w:rFonts w:ascii="Arial" w:cs="Arial" w:eastAsia="Arial" w:hAnsi="Arial"/>
          <w:sz w:val="21"/>
          <w:szCs w:val="21"/>
          <w:color w:val="auto"/>
          <w:vertAlign w:val="superscript"/>
        </w:rPr>
        <w:t>(5</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The income tax impacts were calculated in order to achieve an overall year-to-date non-GAAP effective tax rate of 36.6% for 2017 and 23.8% for 2018. As such, the non-GAAP effective tax rate for the third quarter was 35.0% for 2017 and 24.5% for 2018. We estimate that our effective tax rate for the full-year 2018 on a non-GAAP basis will be in the range of 23% to 25%.</w:t>
      </w:r>
    </w:p>
    <w:p>
      <w:pPr>
        <w:spacing w:after="0" w:line="213" w:lineRule="exact"/>
        <w:rPr>
          <w:sz w:val="20"/>
          <w:szCs w:val="20"/>
          <w:color w:val="auto"/>
        </w:rPr>
      </w:pPr>
    </w:p>
    <w:p>
      <w:pPr>
        <w:ind w:left="172" w:right="220" w:hanging="172"/>
        <w:spacing w:after="0" w:line="249" w:lineRule="auto"/>
        <w:tabs>
          <w:tab w:leader="none" w:pos="192" w:val="left"/>
        </w:tabs>
        <w:numPr>
          <w:ilvl w:val="0"/>
          <w:numId w:val="18"/>
        </w:numPr>
        <w:rPr>
          <w:rFonts w:ascii="Arial" w:cs="Arial" w:eastAsia="Arial" w:hAnsi="Arial"/>
          <w:sz w:val="21"/>
          <w:szCs w:val="21"/>
          <w:color w:val="auto"/>
          <w:vertAlign w:val="superscript"/>
        </w:rPr>
      </w:pPr>
      <w:r>
        <w:rPr>
          <w:rFonts w:ascii="Arial" w:cs="Arial" w:eastAsia="Arial" w:hAnsi="Arial"/>
          <w:sz w:val="17"/>
          <w:szCs w:val="17"/>
          <w:color w:val="auto"/>
        </w:rPr>
        <w:t>During the second quarter of 2018, we recognized a nonrecurring charge of $20.8 million for an adjustment made to the charge taken in 2017 related to the enactment of U.S. tax reform. We believe it is useful to readers of our unaudited condensed consolidated statements of income to adjust for this nonrecurring charge in arriving at net income attributable to T. Rowe Price Group and diluted earnings per share.</w:t>
      </w:r>
    </w:p>
    <w:p>
      <w:pPr>
        <w:spacing w:after="0" w:line="208" w:lineRule="exact"/>
        <w:rPr>
          <w:rFonts w:ascii="Arial" w:cs="Arial" w:eastAsia="Arial" w:hAnsi="Arial"/>
          <w:sz w:val="21"/>
          <w:szCs w:val="21"/>
          <w:color w:val="auto"/>
          <w:vertAlign w:val="superscript"/>
        </w:rPr>
      </w:pPr>
    </w:p>
    <w:p>
      <w:pPr>
        <w:ind w:left="172" w:right="320" w:hanging="172"/>
        <w:spacing w:after="0" w:line="254" w:lineRule="auto"/>
        <w:tabs>
          <w:tab w:leader="none" w:pos="172" w:val="left"/>
        </w:tabs>
        <w:numPr>
          <w:ilvl w:val="0"/>
          <w:numId w:val="18"/>
        </w:numPr>
        <w:rPr>
          <w:rFonts w:ascii="Arial" w:cs="Arial" w:eastAsia="Arial" w:hAnsi="Arial"/>
          <w:sz w:val="21"/>
          <w:szCs w:val="21"/>
          <w:color w:val="auto"/>
          <w:vertAlign w:val="superscript"/>
        </w:rPr>
      </w:pPr>
      <w:r>
        <w:rPr>
          <w:rFonts w:ascii="Arial" w:cs="Arial" w:eastAsia="Arial" w:hAnsi="Arial"/>
          <w:sz w:val="17"/>
          <w:szCs w:val="17"/>
          <w:color w:val="auto"/>
        </w:rPr>
        <w:t>During the second quarter of 2018, we recognized a nonrecurring charge of $7.9 million for the remeasurement of our deferred tax assets and liabilities to reflect the effect of Maryland state tax legislation enacted on April 24, 2018. We believe it is useful to readers of our unaudited condensed consolidated statements of income to adjust for this nonrecurring charge in arriving at net income attributable to T. Rowe Price Group and diluted earnings per share.</w:t>
      </w:r>
    </w:p>
    <w:p>
      <w:pPr>
        <w:spacing w:after="0" w:line="204" w:lineRule="exact"/>
        <w:rPr>
          <w:rFonts w:ascii="Arial" w:cs="Arial" w:eastAsia="Arial" w:hAnsi="Arial"/>
          <w:sz w:val="21"/>
          <w:szCs w:val="21"/>
          <w:color w:val="auto"/>
          <w:vertAlign w:val="superscript"/>
        </w:rPr>
      </w:pPr>
    </w:p>
    <w:p>
      <w:pPr>
        <w:ind w:left="172" w:right="600" w:hanging="172"/>
        <w:spacing w:after="0" w:line="237" w:lineRule="auto"/>
        <w:tabs>
          <w:tab w:leader="none" w:pos="172" w:val="left"/>
        </w:tabs>
        <w:numPr>
          <w:ilvl w:val="0"/>
          <w:numId w:val="18"/>
        </w:numPr>
        <w:rPr>
          <w:rFonts w:ascii="Arial" w:cs="Arial" w:eastAsia="Arial" w:hAnsi="Arial"/>
          <w:sz w:val="21"/>
          <w:szCs w:val="21"/>
          <w:color w:val="auto"/>
          <w:vertAlign w:val="superscript"/>
        </w:rPr>
      </w:pPr>
      <w:r>
        <w:rPr>
          <w:rFonts w:ascii="Arial" w:cs="Arial" w:eastAsia="Arial" w:hAnsi="Arial"/>
          <w:sz w:val="17"/>
          <w:szCs w:val="17"/>
          <w:color w:val="auto"/>
        </w:rPr>
        <w:t>This non-GAAP measure was calculated by applying the two-class method to adjusted net income attributable to T. Rowe Price Group divided by the weighted-average common shares outstanding assuming dilution.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41</w:t>
      </w:r>
    </w:p>
    <w:p>
      <w:pPr>
        <w:sectPr>
          <w:pgSz w:w="11900" w:h="16838" w:orient="portrait"/>
          <w:cols w:equalWidth="0" w:num="1">
            <w:col w:w="11412"/>
          </w:cols>
          <w:pgMar w:left="248" w:top="598"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CAPITAL RESOURCES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Sources of Liquidity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remain debt-free with ample liquidity, including cash and investments in T. Rowe Price products, as follows: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12/31/2017</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4"/>
                <w:szCs w:val="14"/>
                <w:b w:val="1"/>
                <w:bCs w:val="1"/>
                <w:color w:val="auto"/>
              </w:rPr>
              <w:t>9/30/2018</w:t>
            </w:r>
          </w:p>
        </w:tc>
      </w:tr>
      <w:tr>
        <w:trPr>
          <w:trHeight w:val="249"/>
        </w:trPr>
        <w:tc>
          <w:tcPr>
            <w:tcW w:w="85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1,902.7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2,090.6</w:t>
            </w:r>
          </w:p>
        </w:tc>
      </w:tr>
      <w:tr>
        <w:trPr>
          <w:trHeight w:val="27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Discretionary investments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780.3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1,636.4</w:t>
            </w:r>
          </w:p>
        </w:tc>
      </w:tr>
      <w:tr>
        <w:trPr>
          <w:trHeight w:val="250"/>
        </w:trPr>
        <w:tc>
          <w:tcPr>
            <w:tcW w:w="8540" w:type="dxa"/>
            <w:vAlign w:val="bottom"/>
          </w:tcPr>
          <w:p>
            <w:pPr>
              <w:ind w:left="20"/>
              <w:spacing w:after="0"/>
              <w:rPr>
                <w:sz w:val="20"/>
                <w:szCs w:val="20"/>
                <w:color w:val="auto"/>
              </w:rPr>
            </w:pPr>
            <w:r>
              <w:rPr>
                <w:rFonts w:ascii="Arial" w:cs="Arial" w:eastAsia="Arial" w:hAnsi="Arial"/>
                <w:sz w:val="18"/>
                <w:szCs w:val="18"/>
                <w:color w:val="auto"/>
              </w:rPr>
              <w:t>Total cash and discretionary investments</w:t>
            </w:r>
          </w:p>
        </w:tc>
        <w:tc>
          <w:tcPr>
            <w:tcW w:w="2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2,683.0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3,727.0</w:t>
            </w:r>
          </w:p>
        </w:tc>
      </w:tr>
      <w:tr>
        <w:trPr>
          <w:trHeight w:val="277"/>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seed capital investments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1,188.9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1,204.5</w:t>
            </w:r>
          </w:p>
        </w:tc>
      </w:tr>
      <w:tr>
        <w:trPr>
          <w:trHeight w:val="264"/>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268.2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294.6</w:t>
            </w:r>
          </w:p>
        </w:tc>
      </w:tr>
      <w:tr>
        <w:trPr>
          <w:trHeight w:val="257"/>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investments in T. Rowe Price products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4,140.1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5,226.1</w:t>
            </w:r>
          </w:p>
        </w:tc>
      </w:tr>
      <w:tr>
        <w:trPr>
          <w:trHeight w:val="20"/>
        </w:trPr>
        <w:tc>
          <w:tcPr>
            <w:tcW w:w="8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the first nine months of 2018, we rebalanced our cash and discretionary investments portfolio resulting in the reallocation of some cash invested in T. Rowe Price money market funds to certain T. Rowe Price short-term fixed income funds. Additionally, during the third quarter of 2018 we sold our 10% holding in Daiwa SB Investments Ltd. As a result of the sale, the realized gain is recognized in net gains on investments on our unaudited condensed consolidated statement of income. Like other similar investment gains, this gain was backed out in our non-GAAP measures.</w:t>
      </w:r>
    </w:p>
    <w:p>
      <w:pPr>
        <w:spacing w:after="0" w:line="206" w:lineRule="exact"/>
        <w:rPr>
          <w:sz w:val="20"/>
          <w:szCs w:val="20"/>
          <w:color w:val="auto"/>
        </w:rPr>
      </w:pPr>
    </w:p>
    <w:p>
      <w:pPr>
        <w:ind w:right="1080"/>
        <w:spacing w:after="0" w:line="262" w:lineRule="auto"/>
        <w:rPr>
          <w:sz w:val="20"/>
          <w:szCs w:val="20"/>
          <w:color w:val="auto"/>
        </w:rPr>
      </w:pPr>
      <w:r>
        <w:rPr>
          <w:rFonts w:ascii="Arial" w:cs="Arial" w:eastAsia="Arial" w:hAnsi="Arial"/>
          <w:sz w:val="18"/>
          <w:szCs w:val="18"/>
          <w:color w:val="auto"/>
        </w:rPr>
        <w:t>The cash and discretionary investments in T. Rowe Price products held by our subsidiaries outside the U.S. were $424.5 million at December 31, 2017 and $407.5 million at September 30, 2018.</w:t>
      </w:r>
    </w:p>
    <w:p>
      <w:pPr>
        <w:spacing w:after="0" w:line="1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cash and investment presentation on the unaudited condensed consolidated balance sheet is based on how we account for the cash or investment. The following table details how T. Rowe Price Group’s interests in cash and investments relate to where they are presented in the unaudited condensed consolidated balance sheet as of September 30, 2018.</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Net assets of</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consolidated 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Rowe Price</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Cash and cash</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investment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equivalents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Investments</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products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9/30/2018</w:t>
            </w:r>
          </w:p>
        </w:tc>
        <w:tc>
          <w:tcPr>
            <w:tcW w:w="0" w:type="dxa"/>
            <w:vAlign w:val="bottom"/>
          </w:tcPr>
          <w:p>
            <w:pPr>
              <w:spacing w:after="0"/>
              <w:rPr>
                <w:sz w:val="1"/>
                <w:szCs w:val="1"/>
                <w:color w:val="auto"/>
              </w:rPr>
            </w:pPr>
          </w:p>
        </w:tc>
      </w:tr>
      <w:tr>
        <w:trPr>
          <w:trHeight w:val="263"/>
        </w:trPr>
        <w:tc>
          <w:tcPr>
            <w:tcW w:w="546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2,090.6</w:t>
            </w:r>
          </w:p>
        </w:tc>
        <w:tc>
          <w:tcPr>
            <w:tcW w:w="12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1,607.7</w:t>
            </w:r>
          </w:p>
        </w:tc>
        <w:tc>
          <w:tcPr>
            <w:tcW w:w="1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3,727.0</w:t>
            </w:r>
          </w:p>
        </w:tc>
        <w:tc>
          <w:tcPr>
            <w:tcW w:w="0" w:type="dxa"/>
            <w:vAlign w:val="bottom"/>
          </w:tcPr>
          <w:p>
            <w:pPr>
              <w:spacing w:after="0"/>
              <w:rPr>
                <w:sz w:val="1"/>
                <w:szCs w:val="1"/>
                <w:color w:val="auto"/>
              </w:rPr>
            </w:pPr>
          </w:p>
        </w:tc>
      </w:tr>
      <w:tr>
        <w:trPr>
          <w:trHeight w:val="277"/>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Seed capital investments</w:t>
            </w:r>
          </w:p>
        </w:tc>
        <w:tc>
          <w:tcPr>
            <w:tcW w:w="26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953.8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1,204.5</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8"/>
                <w:szCs w:val="18"/>
                <w:color w:val="auto"/>
              </w:rPr>
              <w:t>Investment products used to hedge supplemental savings plan</w:t>
            </w:r>
          </w:p>
        </w:tc>
        <w:tc>
          <w:tcPr>
            <w:tcW w:w="26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294.6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r>
        <w:trPr>
          <w:trHeight w:val="215"/>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investments in T. Rowe Price products attributable</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 T. Rowe Price Group</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2,090.6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2,153.0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982.5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5,226.1</w:t>
            </w:r>
          </w:p>
        </w:tc>
        <w:tc>
          <w:tcPr>
            <w:tcW w:w="0" w:type="dxa"/>
            <w:vAlign w:val="bottom"/>
          </w:tcPr>
          <w:p>
            <w:pPr>
              <w:spacing w:after="0"/>
              <w:rPr>
                <w:sz w:val="1"/>
                <w:szCs w:val="1"/>
                <w:color w:val="auto"/>
              </w:rPr>
            </w:pPr>
          </w:p>
        </w:tc>
      </w:tr>
      <w:tr>
        <w:trPr>
          <w:trHeight w:val="264"/>
        </w:trPr>
        <w:tc>
          <w:tcPr>
            <w:tcW w:w="5460" w:type="dxa"/>
            <w:vAlign w:val="bottom"/>
          </w:tcPr>
          <w:p>
            <w:pPr>
              <w:ind w:left="80"/>
              <w:spacing w:after="0"/>
              <w:rPr>
                <w:sz w:val="20"/>
                <w:szCs w:val="20"/>
                <w:color w:val="auto"/>
              </w:rPr>
            </w:pPr>
            <w:r>
              <w:rPr>
                <w:rFonts w:ascii="Arial" w:cs="Arial" w:eastAsia="Arial" w:hAnsi="Arial"/>
                <w:sz w:val="18"/>
                <w:szCs w:val="18"/>
                <w:color w:val="auto"/>
              </w:rPr>
              <w:t>Investment in UTI and other investments</w:t>
            </w:r>
          </w:p>
        </w:tc>
        <w:tc>
          <w:tcPr>
            <w:tcW w:w="26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70"/>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 Group</w:t>
            </w:r>
          </w:p>
        </w:tc>
        <w:tc>
          <w:tcPr>
            <w:tcW w:w="2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2,090.6</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2,414.4</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982.5</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5,487.5</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860.6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860.6</w:t>
            </w:r>
          </w:p>
        </w:tc>
        <w:tc>
          <w:tcPr>
            <w:tcW w:w="0" w:type="dxa"/>
            <w:vAlign w:val="bottom"/>
          </w:tcPr>
          <w:p>
            <w:pPr>
              <w:spacing w:after="0"/>
              <w:rPr>
                <w:sz w:val="1"/>
                <w:szCs w:val="1"/>
                <w:color w:val="auto"/>
              </w:rPr>
            </w:pPr>
          </w:p>
        </w:tc>
      </w:tr>
      <w:tr>
        <w:trPr>
          <w:trHeight w:val="215"/>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reported on unaudited condensed consolidated balance sheet at</w:t>
            </w:r>
          </w:p>
        </w:tc>
        <w:tc>
          <w:tcPr>
            <w:tcW w:w="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2,090.6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2,414.4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1,843.1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6,348.1</w:t>
            </w:r>
          </w:p>
        </w:tc>
        <w:tc>
          <w:tcPr>
            <w:tcW w:w="0" w:type="dxa"/>
            <w:vAlign w:val="bottom"/>
          </w:tcPr>
          <w:p>
            <w:pPr>
              <w:spacing w:after="0"/>
              <w:rPr>
                <w:sz w:val="1"/>
                <w:szCs w:val="1"/>
                <w:color w:val="auto"/>
              </w:rPr>
            </w:pPr>
          </w:p>
        </w:tc>
      </w:tr>
      <w:tr>
        <w:trPr>
          <w:trHeight w:val="217"/>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2018</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unaudited condensed consolidated balance sheet reflects the cash and cash equivalents, investments, other assets and liabilities of those T. Rowe Price investment products we consolidate, as well as redeemable non-controlling interests for the portion of these T. Rowe Price investment products that are held by unrelated third-party investors. Although we can redeem our net interest in these T. Rowe Price investment products at any time, we cannot directly access or sell the assets held by the products to obtain cash for general operations. Additionally, the assets of these T. Rowe Price investment products are not available to our general creditors. Our interest in these T. Rowe Price investment products was used as initial seed capital and is recategorized as discretionary when it is determined by management that the seed capital is no longer needed. We assess the discretionary investment products and when we decide to liquidate our interest, we seek to do so in a way as to not impact the product and ultimately, the unrelated third-party investors.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42</w:t>
      </w:r>
    </w:p>
    <w:p>
      <w:pPr>
        <w:sectPr>
          <w:pgSz w:w="11900" w:h="16838" w:orient="portrait"/>
          <w:cols w:equalWidth="0" w:num="1">
            <w:col w:w="11420"/>
          </w:cols>
          <w:pgMar w:left="240" w:top="59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auto"/>
        </w:rPr>
        <w:t>Our Uses of Liquidity</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increased our quarterly recurring dividend per share in March 2018 by 22.8% to $.70 per share. In the first nine months of 2018, we expended $574.8 million to repurchase 5.4 million shares, or 2.2%, of our outstanding common stock at an average price of $ 107.38 per share. These dividends and repurchases were expended using existing cash balances and cash generated from operations. We will generally repurchase our common stock over time to offset the dilution created by our equity-based compensation plans.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Since the end of 2015, we have returned $3.3 billion to stockholders through stock repurchases and our regular quarterly dividends,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Total cash</w:t>
            </w:r>
          </w:p>
        </w:tc>
      </w:tr>
      <w:tr>
        <w:trPr>
          <w:trHeight w:val="162"/>
        </w:trPr>
        <w:tc>
          <w:tcPr>
            <w:tcW w:w="70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78"/>
              <w:spacing w:after="0"/>
              <w:rPr>
                <w:sz w:val="20"/>
                <w:szCs w:val="20"/>
                <w:color w:val="auto"/>
              </w:rPr>
            </w:pPr>
            <w:r>
              <w:rPr>
                <w:rFonts w:ascii="Arial" w:cs="Arial" w:eastAsia="Arial" w:hAnsi="Arial"/>
                <w:sz w:val="14"/>
                <w:szCs w:val="14"/>
                <w:b w:val="1"/>
                <w:bCs w:val="1"/>
                <w:color w:val="auto"/>
              </w:rPr>
              <w:t>returned to</w:t>
            </w:r>
          </w:p>
        </w:tc>
      </w:tr>
      <w:tr>
        <w:trPr>
          <w:trHeight w:val="19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4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Recurring dividend</w:t>
            </w:r>
          </w:p>
        </w:tc>
        <w:tc>
          <w:tcPr>
            <w:tcW w:w="14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Stock repurchases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stockholders</w:t>
            </w:r>
          </w:p>
        </w:tc>
      </w:tr>
      <w:tr>
        <w:trPr>
          <w:trHeight w:val="249"/>
        </w:trPr>
        <w:tc>
          <w:tcPr>
            <w:tcW w:w="7080" w:type="dxa"/>
            <w:vAlign w:val="bottom"/>
          </w:tcPr>
          <w:p>
            <w:pPr>
              <w:ind w:left="40"/>
              <w:spacing w:after="0"/>
              <w:rPr>
                <w:sz w:val="20"/>
                <w:szCs w:val="20"/>
                <w:color w:val="auto"/>
              </w:rPr>
            </w:pPr>
            <w:r>
              <w:rPr>
                <w:rFonts w:ascii="Arial" w:cs="Arial" w:eastAsia="Arial" w:hAnsi="Arial"/>
                <w:sz w:val="18"/>
                <w:szCs w:val="18"/>
                <w:color w:val="auto"/>
              </w:rPr>
              <w:t>2016</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541.2</w:t>
            </w:r>
          </w:p>
        </w:tc>
        <w:tc>
          <w:tcPr>
            <w:tcW w:w="120" w:type="dxa"/>
            <w:vAlign w:val="bottom"/>
          </w:tcPr>
          <w:p>
            <w:pPr>
              <w:spacing w:after="0"/>
              <w:rPr>
                <w:sz w:val="21"/>
                <w:szCs w:val="21"/>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676.9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1,218.1</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562.6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1,020.7</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Nine months ended 9/30/2018</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522.5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574.8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1,097.3</w:t>
            </w: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1,626.3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3,336.1</w:t>
            </w:r>
          </w:p>
        </w:tc>
      </w:tr>
      <w:tr>
        <w:trPr>
          <w:trHeight w:val="20"/>
        </w:trPr>
        <w:tc>
          <w:tcPr>
            <w:tcW w:w="7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We anticipate property and equipment expenditures for the full-year 2018 to be about $170 million, of which about 70% is planned for technology initiatives. Given the availability of our financial resources, we expect to fund our anticipated capital expenditures with operating resources, and do not maintain an available external source of additional liquidity.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43</w:t>
      </w:r>
    </w:p>
    <w:p>
      <w:pPr>
        <w:sectPr>
          <w:pgSz w:w="11900" w:h="16838" w:orient="portrait"/>
          <w:cols w:equalWidth="0" w:num="1">
            <w:col w:w="11420"/>
          </w:cols>
          <w:pgMar w:left="240" w:top="59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auto"/>
        </w:rPr>
        <w:t>Cash Flows</w:t>
      </w:r>
    </w:p>
    <w:p>
      <w:pPr>
        <w:spacing w:after="0" w:line="2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following table summarizes the cash flows for the nine months ended September 30, 2017 and 2018, that are attributable to T. Rowe Price Group, our consolidated T. Rowe Price investment products, and the related eliminations required in preparing the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5"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26035</wp:posOffset>
            </wp:positionV>
            <wp:extent cx="48964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964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4"/>
                <w:szCs w:val="14"/>
                <w:b w:val="1"/>
                <w:bCs w:val="1"/>
                <w:color w:val="auto"/>
              </w:rPr>
              <w:t>9/30/2017</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9/30/2018</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75"/>
        </w:trPr>
        <w:tc>
          <w:tcPr>
            <w:tcW w:w="37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Cash flow</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Cash flow</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2"/>
        </w:trPr>
        <w:tc>
          <w:tcPr>
            <w:tcW w:w="3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attributable to</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attributable to</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2"/>
        </w:trPr>
        <w:tc>
          <w:tcPr>
            <w:tcW w:w="37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Cash flow</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consolidated</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Cash flow</w:t>
            </w: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consolidated</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2"/>
        </w:trPr>
        <w:tc>
          <w:tcPr>
            <w:tcW w:w="37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attributable</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 Rowe Price</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attributable</w:t>
            </w: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T. Rowe Price</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2"/>
        </w:trPr>
        <w:tc>
          <w:tcPr>
            <w:tcW w:w="37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8"/>
              </w:rPr>
              <w:t>to T. Rowe</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investment</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As</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 T. Rowe</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investment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As</w:t>
            </w:r>
          </w:p>
        </w:tc>
      </w:tr>
      <w:tr>
        <w:trPr>
          <w:trHeight w:val="202"/>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Price Group</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Elims</w:t>
            </w: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reported</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Price Group</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Elims</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reported</w:t>
            </w:r>
          </w:p>
        </w:tc>
      </w:tr>
      <w:tr>
        <w:trPr>
          <w:trHeight w:val="257"/>
        </w:trPr>
        <w:tc>
          <w:tcPr>
            <w:tcW w:w="370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277"/>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$ 1,150.7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(73.4)</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$1,194.6</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$ 1,485.6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$1,496.7</w:t>
            </w:r>
          </w:p>
        </w:tc>
      </w:tr>
      <w:tr>
        <w:trPr>
          <w:trHeight w:val="229"/>
        </w:trPr>
        <w:tc>
          <w:tcPr>
            <w:tcW w:w="370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cash provided by (used in) operating</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4"/>
        </w:trPr>
        <w:tc>
          <w:tcPr>
            <w:tcW w:w="370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5"/>
        </w:trPr>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 of property</w:t>
            </w: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and equipment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106.9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114.9</w:t>
            </w:r>
          </w:p>
        </w:tc>
      </w:tr>
      <w:tr>
        <w:trPr>
          <w:trHeight w:val="263"/>
        </w:trPr>
        <w:tc>
          <w:tcPr>
            <w:tcW w:w="370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2"/>
                <w:szCs w:val="22"/>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135.3</w:t>
            </w:r>
          </w:p>
        </w:tc>
      </w:tr>
      <w:tr>
        <w:trPr>
          <w:trHeight w:val="235"/>
        </w:trPr>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Realized gains on dispositions of</w:t>
            </w: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03"/>
        </w:trPr>
        <w:tc>
          <w:tcPr>
            <w:tcW w:w="37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available-for-sale T. Rowe Price</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investment products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3700" w:type="dxa"/>
            <w:vAlign w:val="bottom"/>
          </w:tcPr>
          <w:p>
            <w:pPr>
              <w:ind w:left="280"/>
              <w:spacing w:after="0"/>
              <w:rPr>
                <w:sz w:val="20"/>
                <w:szCs w:val="20"/>
                <w:color w:val="auto"/>
              </w:rPr>
            </w:pPr>
            <w:r>
              <w:rPr>
                <w:rFonts w:ascii="Arial" w:cs="Arial" w:eastAsia="Arial" w:hAnsi="Arial"/>
                <w:sz w:val="18"/>
                <w:szCs w:val="18"/>
                <w:color w:val="auto"/>
              </w:rPr>
              <w:t>Gains recognized upon transfer of an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3"/>
        </w:trPr>
        <w:tc>
          <w:tcPr>
            <w:tcW w:w="3700" w:type="dxa"/>
            <w:vAlign w:val="bottom"/>
          </w:tcPr>
          <w:p>
            <w:pPr>
              <w:ind w:left="280"/>
              <w:spacing w:after="0" w:line="202" w:lineRule="exact"/>
              <w:rPr>
                <w:sz w:val="20"/>
                <w:szCs w:val="20"/>
                <w:color w:val="auto"/>
              </w:rPr>
            </w:pPr>
            <w:r>
              <w:rPr>
                <w:rFonts w:ascii="Arial" w:cs="Arial" w:eastAsia="Arial" w:hAnsi="Arial"/>
                <w:sz w:val="18"/>
                <w:szCs w:val="18"/>
                <w:color w:val="auto"/>
              </w:rPr>
              <w:t>investment in a T. Rowe Price mutual fund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4"/>
        </w:trPr>
        <w:tc>
          <w:tcPr>
            <w:tcW w:w="3700" w:type="dxa"/>
            <w:vAlign w:val="bottom"/>
          </w:tcPr>
          <w:p>
            <w:pPr>
              <w:ind w:left="280"/>
              <w:spacing w:after="0"/>
              <w:rPr>
                <w:sz w:val="20"/>
                <w:szCs w:val="20"/>
                <w:color w:val="auto"/>
              </w:rPr>
            </w:pPr>
            <w:r>
              <w:rPr>
                <w:rFonts w:ascii="Arial" w:cs="Arial" w:eastAsia="Arial" w:hAnsi="Arial"/>
                <w:sz w:val="18"/>
                <w:szCs w:val="18"/>
                <w:color w:val="auto"/>
              </w:rPr>
              <w:t>from available-for-sale to held as trading</w:t>
            </w:r>
          </w:p>
        </w:tc>
        <w:tc>
          <w:tcPr>
            <w:tcW w:w="92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gains recognized on investments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r>
      <w:tr>
        <w:trPr>
          <w:trHeight w:val="229"/>
        </w:trPr>
        <w:tc>
          <w:tcPr>
            <w:tcW w:w="3700" w:type="dxa"/>
            <w:vAlign w:val="bottom"/>
          </w:tcPr>
          <w:p>
            <w:pPr>
              <w:ind w:left="280"/>
              <w:spacing w:after="0"/>
              <w:rPr>
                <w:sz w:val="20"/>
                <w:szCs w:val="20"/>
                <w:color w:val="auto"/>
              </w:rPr>
            </w:pPr>
            <w:r>
              <w:rPr>
                <w:rFonts w:ascii="Arial" w:cs="Arial" w:eastAsia="Arial" w:hAnsi="Arial"/>
                <w:sz w:val="18"/>
                <w:szCs w:val="18"/>
                <w:color w:val="auto"/>
              </w:rPr>
              <w:t>Net investments in T. Rowe Price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3"/>
        </w:trPr>
        <w:tc>
          <w:tcPr>
            <w:tcW w:w="3700" w:type="dxa"/>
            <w:vAlign w:val="bottom"/>
          </w:tcPr>
          <w:p>
            <w:pPr>
              <w:ind w:left="280"/>
              <w:spacing w:after="0" w:line="202" w:lineRule="exact"/>
              <w:rPr>
                <w:sz w:val="20"/>
                <w:szCs w:val="20"/>
                <w:color w:val="auto"/>
              </w:rPr>
            </w:pPr>
            <w:r>
              <w:rPr>
                <w:rFonts w:ascii="Arial" w:cs="Arial" w:eastAsia="Arial" w:hAnsi="Arial"/>
                <w:sz w:val="18"/>
                <w:szCs w:val="18"/>
                <w:color w:val="auto"/>
              </w:rPr>
              <w:t>investment products to economically</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4"/>
        </w:trPr>
        <w:tc>
          <w:tcPr>
            <w:tcW w:w="3700" w:type="dxa"/>
            <w:vAlign w:val="bottom"/>
          </w:tcPr>
          <w:p>
            <w:pPr>
              <w:ind w:left="280"/>
              <w:spacing w:after="0"/>
              <w:rPr>
                <w:sz w:val="20"/>
                <w:szCs w:val="20"/>
                <w:color w:val="auto"/>
              </w:rPr>
            </w:pPr>
            <w:r>
              <w:rPr>
                <w:rFonts w:ascii="Arial" w:cs="Arial" w:eastAsia="Arial" w:hAnsi="Arial"/>
                <w:sz w:val="18"/>
                <w:szCs w:val="18"/>
                <w:color w:val="auto"/>
              </w:rPr>
              <w:t>hedge supplemental savings plan liability</w:t>
            </w:r>
          </w:p>
        </w:tc>
        <w:tc>
          <w:tcPr>
            <w:tcW w:w="920" w:type="dxa"/>
            <w:vAlign w:val="bottom"/>
          </w:tcPr>
          <w:p>
            <w:pPr>
              <w:jc w:val="right"/>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5"/>
        </w:trPr>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change in trading securities held by</w:t>
            </w: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03"/>
        </w:trPr>
        <w:tc>
          <w:tcPr>
            <w:tcW w:w="37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consolidated T. Rowe Price investment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products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(1,210.5)</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w:t>
            </w:r>
          </w:p>
        </w:tc>
      </w:tr>
      <w:tr>
        <w:trPr>
          <w:trHeight w:val="264"/>
        </w:trPr>
        <w:tc>
          <w:tcPr>
            <w:tcW w:w="3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changes in assets and liabilities</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438.6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422.2</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454.0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438.4</w:t>
            </w:r>
          </w:p>
        </w:tc>
      </w:tr>
      <w:tr>
        <w:trPr>
          <w:trHeight w:val="215"/>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1,462.4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(1,106.1)</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352.8</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2,060.9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1,486.4</w:t>
            </w:r>
          </w:p>
        </w:tc>
      </w:tr>
      <w:tr>
        <w:trPr>
          <w:trHeight w:val="229"/>
        </w:trPr>
        <w:tc>
          <w:tcPr>
            <w:tcW w:w="3700" w:type="dxa"/>
            <w:vAlign w:val="bottom"/>
          </w:tcPr>
          <w:p>
            <w:pPr>
              <w:ind w:left="40"/>
              <w:spacing w:after="0"/>
              <w:rPr>
                <w:sz w:val="20"/>
                <w:szCs w:val="20"/>
                <w:color w:val="auto"/>
              </w:rPr>
            </w:pPr>
            <w:r>
              <w:rPr>
                <w:rFonts w:ascii="Arial" w:cs="Arial" w:eastAsia="Arial" w:hAnsi="Arial"/>
                <w:sz w:val="18"/>
                <w:szCs w:val="18"/>
                <w:color w:val="auto"/>
              </w:rPr>
              <w:t>Net cash provided by (used in) investing</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4"/>
        </w:trPr>
        <w:tc>
          <w:tcPr>
            <w:tcW w:w="370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92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640" w:type="dxa"/>
            <w:vAlign w:val="bottom"/>
            <w:gridSpan w:val="2"/>
          </w:tcPr>
          <w:p>
            <w:pPr>
              <w:jc w:val="right"/>
              <w:ind w:right="11"/>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(830.4)</w:t>
            </w:r>
          </w:p>
        </w:tc>
      </w:tr>
      <w:tr>
        <w:trPr>
          <w:trHeight w:val="235"/>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w:t>
            </w: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1,186.4</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270.6</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597.9</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r>
      <w:tr>
        <w:trPr>
          <w:trHeight w:val="229"/>
        </w:trPr>
        <w:tc>
          <w:tcPr>
            <w:tcW w:w="3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3"/>
        </w:trPr>
        <w:tc>
          <w:tcPr>
            <w:tcW w:w="3700" w:type="dxa"/>
            <w:vAlign w:val="bottom"/>
          </w:tcPr>
          <w:p>
            <w:pPr>
              <w:ind w:left="40"/>
              <w:spacing w:after="0" w:line="202" w:lineRule="exact"/>
              <w:rPr>
                <w:sz w:val="20"/>
                <w:szCs w:val="20"/>
                <w:color w:val="auto"/>
              </w:rPr>
            </w:pPr>
            <w:r>
              <w:rPr>
                <w:rFonts w:ascii="Arial" w:cs="Arial" w:eastAsia="Arial" w:hAnsi="Arial"/>
                <w:sz w:val="18"/>
                <w:szCs w:val="18"/>
                <w:color w:val="auto"/>
              </w:rPr>
              <w:t>cash equivalents of consolidated T. Rowe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4"/>
        </w:trPr>
        <w:tc>
          <w:tcPr>
            <w:tcW w:w="3700" w:type="dxa"/>
            <w:vAlign w:val="bottom"/>
          </w:tcPr>
          <w:p>
            <w:pPr>
              <w:ind w:left="40"/>
              <w:spacing w:after="0"/>
              <w:rPr>
                <w:sz w:val="20"/>
                <w:szCs w:val="20"/>
                <w:color w:val="auto"/>
              </w:rPr>
            </w:pPr>
            <w:r>
              <w:rPr>
                <w:rFonts w:ascii="Arial" w:cs="Arial" w:eastAsia="Arial" w:hAnsi="Arial"/>
                <w:sz w:val="18"/>
                <w:szCs w:val="18"/>
                <w:color w:val="auto"/>
              </w:rPr>
              <w:t>Price investment products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5"/>
        </w:trPr>
        <w:tc>
          <w:tcPr>
            <w:tcW w:w="3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30"/>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during period</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664.5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705.7</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190.5</w:t>
            </w:r>
          </w:p>
        </w:tc>
      </w:tr>
      <w:tr>
        <w:trPr>
          <w:trHeight w:val="229"/>
        </w:trPr>
        <w:tc>
          <w:tcPr>
            <w:tcW w:w="37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4"/>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year</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1,204.9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1,270.5</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1,902.7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103.1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2,005.8</w:t>
            </w: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$ 1,869.4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$1,976.2</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$ 2,090.6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105.7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$2,196.3</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44</w:t>
      </w:r>
    </w:p>
    <w:p>
      <w:pPr>
        <w:sectPr>
          <w:pgSz w:w="11900" w:h="16838" w:orient="portrait"/>
          <w:cols w:equalWidth="0" w:num="1">
            <w:col w:w="11420"/>
          </w:cols>
          <w:pgMar w:left="240" w:top="598" w:right="239" w:bottom="1440" w:gutter="0" w:footer="0" w:header="0"/>
        </w:sectPr>
      </w:pPr>
    </w:p>
    <w:bookmarkStart w:id="44" w:name="page45"/>
    <w:bookmarkEnd w:id="44"/>
    <w:p>
      <w:pPr>
        <w:ind w:right="80"/>
        <w:spacing w:after="0" w:line="251" w:lineRule="auto"/>
        <w:rPr>
          <w:sz w:val="20"/>
          <w:szCs w:val="20"/>
          <w:color w:val="auto"/>
        </w:rPr>
      </w:pPr>
      <w:r>
        <w:rPr>
          <w:rFonts w:ascii="Arial" w:cs="Arial" w:eastAsia="Arial" w:hAnsi="Arial"/>
          <w:sz w:val="18"/>
          <w:szCs w:val="18"/>
          <w:color w:val="auto"/>
        </w:rPr>
        <w:t>Operating activities attributable to T. Rowe Price Group during the first nine months of 2018 provided cash flows of $2,060.9 million, an increase of $598.5 million from the 2017 period, as higher net income, non-cash depreciation expense, and non-cash stock-based compensation expense recognized during the first nine months of 2018 added cash flows of $367.6 million. A decrease of $100.9 million in adjustments for investment gains also increased cash flows as a result of a change in accounting guidance that we adopted on January 1, 2018. See Note 1 to our unaudited condensed consolidated financial statements for more information. We invested $129.0 million into certain investment products in 2017 to establish the hedge and invested an additional $14.4 million in 2018 in order to maintain it. Timing differences on the cash settlement of our assets and liabilities, including insurance receivables related to the Dell appraisal rights, increased cash flows by $15.4 million. Our interim operating cash flows do not include the cash impact of variable compensation that is accrued throughout the year before being substantially paid out in December. The remaining change in reported operating cash flows is attributable to the net change in trading securities held in our consolidated investment products’ underlying portfolios.</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Net cash used in investing activities that are attributable to T. Rowe Price Group totaled $ 923.7 million in the first nine months of 2018, an increase of $860.5 million compared with the 2017 period. During the first nine months of 2018, we rebalanced our cash and discretionary investments portfolio resulting in the reallocation of cash and cash equivalents of $1,003.0 million to certain T. Rowe Price funds. Excluding these reallocations, we received net proceeds of $227.9 million upon the sale of certain T. Rowe Price investment products during the first nine months of 2018, compared with $256.8 million of net proceeds received during the 2017 period. A portion of the net proceeds received in 2017 were used to fund the newly established economic hedge of our supplemental savings liability mentioned above. These investing cash flows were offset by a $7.6 million decrease in property and equipment expenditures, a $95.0 million change in other investing activity, primarily relating to the sale of our 10% interest in Daiwa SB Investments Ltd. during the third quarter, and a $68.8 million decrease in seed capital provided during the first nine months of 2018 compared with the 2017 period. Since we consolidate the seed capital in T. Rowe Price investment products, our seed capital was eliminated in preparing our unaudited condensed consolidated statement of cash flows. The remaining change in reported cash flows from investing activities is attributable to a $23.5 million decrease in net cash removed from our balance sheet from consolidating and deconsolidating investment products during the first nine months of 2018 compared with the 2017 period.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attributable to T. Rowe Price Group were $949.3 million in the first nine months of 2018 compared with</w:t>
      </w:r>
    </w:p>
    <w:p>
      <w:pPr>
        <w:spacing w:after="0" w:line="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$734.7 million in the 2017 period. The increase in cash used in financing activities includes a $101.5 million increase in dividends paid resulting from a nearly 23% increase in our quarterly dividend per share and an increase in cash paid for common stock repurchases of $86.3 million. Additionally, fewer stock options were exercised during 2018 which resulted in a $26.8 million decrease in cash proceeds compared with the 2017 period. The remaining change in reported cash flows from financing activities is primarily attributable to a $519.1 million decrease in net subscriptions received from redeemable non-controlling interest holders of our consolidated investment products during the first nine months of 2018 compared to the 2017 period.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condensed consolidated balance sheets, the revenues and expenses in our unaudited condensed consolidated statements of income, and the information that is contained in our significant accounting policies and notes to unaudited condensed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condensed consolidated financial statements, significant accounting policies, and notes.</w:t>
      </w:r>
    </w:p>
    <w:p>
      <w:pPr>
        <w:spacing w:after="0" w:line="206"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We adopted Accounting Standards Update No. 2016-01 — Financial Instruments — Overall (Subtopic 825-10): Recognition and Measurement of Financial Assets and Financial Liabilities on January 1, 2018. The guidance eliminated the available-for-sale investment category for equity securities, which required unrealized holding gains to be recognized in accumulated other comprehensive income. As a result, our other-than-temporary impairment policy for available-for-sale investments is no longer considered a critical accounting policy as of January 1,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other material changes in the critical accounting policies previously identified in our 2017 Annual Report on Form 10-K.</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45</w:t>
      </w:r>
    </w:p>
    <w:p>
      <w:pPr>
        <w:sectPr>
          <w:pgSz w:w="11900" w:h="16838" w:orient="portrait"/>
          <w:cols w:equalWidth="0" w:num="1">
            <w:col w:w="11400"/>
          </w:cols>
          <w:pgMar w:left="240" w:top="598"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NEW ACCOUNTING STANDARDS.</w:t>
      </w:r>
    </w:p>
    <w:p>
      <w:pPr>
        <w:spacing w:after="0" w:line="20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The Company and Basis of Preparation</w:t>
      </w:r>
      <w:r>
        <w:rPr>
          <w:rFonts w:ascii="Arial" w:cs="Arial" w:eastAsia="Arial" w:hAnsi="Arial"/>
          <w:sz w:val="18"/>
          <w:szCs w:val="18"/>
          <w:color w:val="auto"/>
        </w:rPr>
        <w:t xml:space="preserve"> note within </w:t>
      </w:r>
      <w:r>
        <w:rPr>
          <w:rFonts w:ascii="Arial" w:cs="Arial" w:eastAsia="Arial" w:hAnsi="Arial"/>
          <w:sz w:val="18"/>
          <w:szCs w:val="18"/>
          <w:i w:val="1"/>
          <w:iCs w:val="1"/>
          <w:color w:val="auto"/>
        </w:rPr>
        <w:t>Item 1. Financial Statements</w:t>
      </w:r>
      <w:r>
        <w:rPr>
          <w:rFonts w:ascii="Arial" w:cs="Arial" w:eastAsia="Arial" w:hAnsi="Arial"/>
          <w:sz w:val="18"/>
          <w:szCs w:val="18"/>
          <w:color w:val="auto"/>
        </w:rPr>
        <w:t xml:space="preserve"> for a discussion of newly issued but not yet adopted accounting guidance.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 including information or anticipated information relating to: our revenues, net income, and earnings per share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 changes in the amount and composition of our assets under management; our expense levels; the impact of U.S. tax reform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enacted in December 2017, and tax changes in Maryland in 2018, including on our estimated effective income tax rate; and our expectations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regarding financial markets, future transactions, dividends, investments, capital expenditures, and other conditions. Readers are cautioned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any forward-looking information provided by or on behalf of T. Rowe Price is not a guarantee of future performance. Actual results may differ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materially from those in forward-looking information because of various factors including, but not limited to, those discussed below and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 of our Form 10-K Annual Report. Further, forward-looking statements speak only as of the date on which they are made,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we undertake no obligation to update any forward-looking statement to reflect events or circumstances after the date on which it is made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reflect the occurrence of unanticipated events.</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U.S. mutual funds and other investment products, fluctuations in global financial markets that result in appreciation or depreciation of the assets under our management, our introduction of new mutual funds and investment products,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U.S. mutual funds and other investment products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changes in their market valuations, or, in the case of our equity method investments, our proportionate share of the investees' net income.</w:t>
      </w:r>
    </w:p>
    <w:p>
      <w:pPr>
        <w:spacing w:after="0" w:line="21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fund and product recordkeeping, facilities, communications, power, and the mutual fund transfer agent and accounting systems.</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our investment products and investing in general or in particular classes of mutual funds or other investments.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46</w:t>
      </w:r>
    </w:p>
    <w:p>
      <w:pPr>
        <w:sectPr>
          <w:pgSz w:w="11900" w:h="16838" w:orient="portrait"/>
          <w:cols w:equalWidth="0" w:num="1">
            <w:col w:w="11400"/>
          </w:cols>
          <w:pgMar w:left="240" w:top="598"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investments in T. Rowe Price investment products expose us to market risk as they are measured at fair value each reporting period based the products’ net asset value per share. Investments in these products generally moderate market risk as they are diversified and invest in a number of different financial instruments. T. Rowe Price further manages its exposure to market risk by diversifying its investments among many domestic and international products as well as diversification among equity and fixed income portfolios. In addition, investment holdings may be altered from time to time in response to changes in market risks and other factors, as management deems appropriate.</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order to quantify the sensitivity of our T. Rowe Price investment products to changes in market valuations, we have chosen to use a variant of each product's net asset value to quantify the equity price risk, as we believe the volatility in each product's net asset value best reflects the underlying risk potential as well as the market trends surrounding each of its investment objectives. The potential future loss of value, before any income tax benefits, of these investments at each reporting period is determined by using the lower of each product’s lowest net asset value per share during the period or its net asset value per share at the end of the reporting period, reduced by 10%. In considering this presentation, it is important to note that: not all products experienced their lowest net asset value per share on the same day; it is likely that the composition of the investment portfolio would be changed if adverse market conditions persisted; and we could experience future losses in excess of those presented.</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market risk sensitivity analysis on our investments in T. Rowe Price investment products at September 30, 2018, indicates that the total potential loss in value on these investments is materially the same as what we reported in our Form 10-K Annual Report for 2017. However, the implementation of the new financial instrument guidance would result in the total potential loss in value to be recognized in our unaudited condensed consolidated statements of income rather than a portion being recognized within accumulated other comprehensive income in our unaudited condensed consolidated balance sheets as discussed in the Form 10-K. Other than these changes, there has been no other material change in the information provided in Item 7A of the Form 10-K Annual Report for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September 30, 2018. Based on that evaluation, our principal executive and principal financial officers have concluded that our disclosure controls and procedures as of September 30, 2018,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0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third quarter of 2018, and has concluded that there was no change during the third quarter of 2018 that has materially affected, or is reasonably likely to materially affect, our internal control over financial reporting.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plaintiffs are seeking certification of the complaint as a class action. T. Rowe Price believes the claims are without merit and is vigorously defending the action. This matter is in the early stages of litigation and we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47</w:t>
      </w:r>
    </w:p>
    <w:p>
      <w:pPr>
        <w:sectPr>
          <w:pgSz w:w="11900" w:h="16838" w:orient="portrait"/>
          <w:cols w:equalWidth="0" w:num="1">
            <w:col w:w="11400"/>
          </w:cols>
          <w:pgMar w:left="240" w:top="576" w:right="259" w:bottom="1440" w:gutter="0" w:footer="0" w:header="0"/>
        </w:sectPr>
      </w:pPr>
    </w:p>
    <w:bookmarkStart w:id="47" w:name="page48"/>
    <w:bookmarkEnd w:id="47"/>
    <w:p>
      <w:pPr>
        <w:ind w:right="140"/>
        <w:spacing w:after="0" w:line="262" w:lineRule="auto"/>
        <w:rPr>
          <w:sz w:val="20"/>
          <w:szCs w:val="20"/>
          <w:color w:val="auto"/>
        </w:rPr>
      </w:pPr>
      <w:r>
        <w:rPr>
          <w:rFonts w:ascii="Arial" w:cs="Arial" w:eastAsia="Arial" w:hAnsi="Arial"/>
          <w:sz w:val="18"/>
          <w:szCs w:val="18"/>
          <w:color w:val="auto"/>
        </w:rPr>
        <w:t>cannot predict the eventual outcome or whether it will have a material negative impact on our financial results, or estimate the possible loss or range of loss that may arise from any negative outcome.</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 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 T. Rowe Price believes the claims are without merit and is vigorously defending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pacing w:after="0" w:line="158"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Other than the update below, there have been no material changes in the information provided in Item 1A of our Form 10-K Annual Report for 2017.</w:t>
      </w:r>
    </w:p>
    <w:p>
      <w:pPr>
        <w:spacing w:after="0" w:line="1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There has been substantial regulatory and legislative activity at federal and state levels regarding standards of care for financial services firms, related to both retirement and taxable accounts. This includes the U.S. Department of Labor’s (DOL) adoption of a fiduciary rule that was ultimately struck down by the Fifth Circuit Court of Appeals and the SEC’s proposal of a package of related rules and interpretations. The ultimate action taken by the DOL, SEC or other applicable regulatory or legislative body may impact our business activities and increase our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third quarter of 2018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Shares Purchased as</w:t>
            </w: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Shares that May Yet Be</w:t>
            </w:r>
          </w:p>
        </w:tc>
      </w:tr>
      <w:tr>
        <w:trPr>
          <w:trHeight w:val="162"/>
        </w:trPr>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Average Price</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Purchased Under the</w:t>
            </w:r>
          </w:p>
        </w:tc>
      </w:tr>
      <w:tr>
        <w:trPr>
          <w:trHeight w:val="196"/>
        </w:trPr>
        <w:tc>
          <w:tcPr>
            <w:tcW w:w="3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Month</w:t>
            </w:r>
          </w:p>
        </w:tc>
        <w:tc>
          <w:tcPr>
            <w:tcW w:w="120" w:type="dxa"/>
            <w:vAlign w:val="bottom"/>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20" w:type="dxa"/>
            <w:vAlign w:val="bottom"/>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Program</w:t>
            </w:r>
          </w:p>
        </w:tc>
      </w:tr>
      <w:tr>
        <w:trPr>
          <w:trHeight w:val="249"/>
        </w:trPr>
        <w:tc>
          <w:tcPr>
            <w:tcW w:w="3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July</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63,697</w:t>
            </w:r>
          </w:p>
        </w:tc>
        <w:tc>
          <w:tcPr>
            <w:tcW w:w="12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119.23</w:t>
            </w:r>
          </w:p>
        </w:tc>
        <w:tc>
          <w:tcPr>
            <w:tcW w:w="120" w:type="dxa"/>
            <w:vAlign w:val="bottom"/>
          </w:tcPr>
          <w:p>
            <w:pPr>
              <w:spacing w:after="0"/>
              <w:rPr>
                <w:sz w:val="21"/>
                <w:szCs w:val="21"/>
                <w:color w:val="auto"/>
              </w:rPr>
            </w:pPr>
          </w:p>
        </w:tc>
        <w:tc>
          <w:tcPr>
            <w:tcW w:w="19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8"/>
              <w:spacing w:after="0"/>
              <w:rPr>
                <w:sz w:val="20"/>
                <w:szCs w:val="20"/>
                <w:color w:val="auto"/>
              </w:rPr>
            </w:pPr>
            <w:r>
              <w:rPr>
                <w:rFonts w:ascii="Arial" w:cs="Arial" w:eastAsia="Arial" w:hAnsi="Arial"/>
                <w:sz w:val="18"/>
                <w:szCs w:val="18"/>
                <w:color w:val="auto"/>
              </w:rPr>
              <w:t>20,954,201</w:t>
            </w:r>
          </w:p>
        </w:tc>
      </w:tr>
      <w:tr>
        <w:trPr>
          <w:trHeight w:val="277"/>
        </w:trPr>
        <w:tc>
          <w:tcPr>
            <w:tcW w:w="3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August</w:t>
            </w:r>
          </w:p>
        </w:tc>
        <w:tc>
          <w:tcPr>
            <w:tcW w:w="18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37,348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115.77</w:t>
            </w:r>
          </w:p>
        </w:tc>
        <w:tc>
          <w:tcPr>
            <w:tcW w:w="12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5,550</w:t>
            </w:r>
          </w:p>
        </w:tc>
        <w:tc>
          <w:tcPr>
            <w:tcW w:w="19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20,948,651</w:t>
            </w:r>
          </w:p>
        </w:tc>
      </w:tr>
      <w:tr>
        <w:trPr>
          <w:trHeight w:val="264"/>
        </w:trPr>
        <w:tc>
          <w:tcPr>
            <w:tcW w:w="36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September</w:t>
            </w:r>
          </w:p>
        </w:tc>
        <w:tc>
          <w:tcPr>
            <w:tcW w:w="1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1,128,405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110.74</w:t>
            </w:r>
          </w:p>
        </w:tc>
        <w:tc>
          <w:tcPr>
            <w:tcW w:w="12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1,118,104</w:t>
            </w:r>
          </w:p>
        </w:tc>
        <w:tc>
          <w:tcPr>
            <w:tcW w:w="192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19,830,547</w:t>
            </w:r>
          </w:p>
        </w:tc>
      </w:tr>
      <w:tr>
        <w:trPr>
          <w:trHeight w:val="257"/>
        </w:trPr>
        <w:tc>
          <w:tcPr>
            <w:tcW w:w="3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Total</w:t>
            </w:r>
          </w:p>
        </w:tc>
        <w:tc>
          <w:tcPr>
            <w:tcW w:w="1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1,229,450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111.34</w:t>
            </w: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1,123,654</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third quarter of 2018, 105,697 were related to shares surrendered in connection with employee stock option exercises and 99 were related to shares withheld to cover tax withholdings associated with the vesting of restricted stock awards.</w:t>
      </w:r>
    </w:p>
    <w:p>
      <w:pPr>
        <w:spacing w:after="0" w:line="20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1,123,654 shares of our common stock were repurchased pursuant to the Board of Directors’ December 6, 2016 publicly announced authorization. The maximum number of shares that may yet be purchased as of September 30, 2018, under the Board of Directors’ December 6, 2016, and April 26, 2018, publicly announced authorizations is 19,830,547.</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48</w:t>
      </w:r>
    </w:p>
    <w:p>
      <w:pPr>
        <w:sectPr>
          <w:pgSz w:w="11900" w:h="16838" w:orient="portrait"/>
          <w:cols w:equalWidth="0" w:num="1">
            <w:col w:w="11420"/>
          </w:cols>
          <w:pgMar w:left="240" w:top="598"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On October 25, 2018, we issued an earnings release reporting our results of operations for the third quarter of 2018 and first nine months of 2018. A copy of that earnings release is furnished herewith as Exhibit 99.1 This information shall not be deemed filed for purposes of Section 18 of the Securities Exchange Act of 1934, nor shall it be deemed incorporated by reference in any filing under the Securities Act of 1933.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SEC FILINGS.</w:t>
      </w:r>
    </w:p>
    <w:p>
      <w:pPr>
        <w:spacing w:after="0" w:line="9"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We make available free of charge through our website our annual report on Form 10-K, quarterly reports on Form 10-Q, current reports on Form 8-K, and any amendments to those reports filed or furnished pursuant to Section 13(a) of the Exchange Act as soon as reasonably practicable after we electronically file them with, or furnish them to, the SEC. To obtain any of this information, access our website at troweprice.com. We use our website as a channel of distribution for material company information, including our monthly disclosure of preliminary assets under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auto"/>
              </w:rPr>
              <w:t>3(i)</w:t>
            </w:r>
          </w:p>
        </w:tc>
        <w:tc>
          <w:tcPr>
            <w:tcW w:w="10140" w:type="dxa"/>
            <w:vAlign w:val="bottom"/>
          </w:tcPr>
          <w:p>
            <w:pPr>
              <w:ind w:left="520"/>
              <w:spacing w:after="0"/>
              <w:rPr>
                <w:rFonts w:ascii="Arial" w:cs="Arial" w:eastAsia="Arial" w:hAnsi="Arial"/>
                <w:sz w:val="18"/>
                <w:szCs w:val="18"/>
                <w:color w:val="auto"/>
              </w:rPr>
            </w:pPr>
            <w:hyperlink r:id="rId36">
              <w:r>
                <w:rPr>
                  <w:rFonts w:ascii="Arial" w:cs="Arial" w:eastAsia="Arial" w:hAnsi="Arial"/>
                  <w:sz w:val="18"/>
                  <w:szCs w:val="18"/>
                  <w:color w:val="auto"/>
                </w:rPr>
                <w:t>Charter of T. Rowe Price Group, Inc., as reflected by Articles of Restatement dated June 20, 2018. (Incorporated by</w:t>
              </w:r>
            </w:hyperlink>
          </w:p>
        </w:tc>
      </w:tr>
      <w:tr>
        <w:trPr>
          <w:trHeight w:val="217"/>
        </w:trPr>
        <w:tc>
          <w:tcPr>
            <w:tcW w:w="1200" w:type="dxa"/>
            <w:vAlign w:val="bottom"/>
          </w:tcPr>
          <w:p>
            <w:pPr>
              <w:spacing w:after="0"/>
              <w:rPr>
                <w:sz w:val="18"/>
                <w:szCs w:val="18"/>
                <w:color w:val="auto"/>
              </w:rPr>
            </w:pPr>
          </w:p>
        </w:tc>
        <w:tc>
          <w:tcPr>
            <w:tcW w:w="10140" w:type="dxa"/>
            <w:vAlign w:val="bottom"/>
          </w:tcPr>
          <w:p>
            <w:pPr>
              <w:ind w:left="520"/>
              <w:spacing w:after="0"/>
              <w:rPr>
                <w:rFonts w:ascii="Arial" w:cs="Arial" w:eastAsia="Arial" w:hAnsi="Arial"/>
                <w:sz w:val="18"/>
                <w:szCs w:val="18"/>
                <w:color w:val="auto"/>
              </w:rPr>
            </w:pPr>
            <w:hyperlink r:id="rId36">
              <w:r>
                <w:rPr>
                  <w:rFonts w:ascii="Arial" w:cs="Arial" w:eastAsia="Arial" w:hAnsi="Arial"/>
                  <w:sz w:val="18"/>
                  <w:szCs w:val="18"/>
                  <w:color w:val="auto"/>
                </w:rPr>
                <w:t>reference from Form 10-Q Quarterly Report filed on July 25, 2018.)</w:t>
              </w:r>
            </w:hyperlink>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3(ii)</w:t>
            </w:r>
          </w:p>
        </w:tc>
        <w:tc>
          <w:tcPr>
            <w:tcW w:w="10140" w:type="dxa"/>
            <w:vAlign w:val="bottom"/>
          </w:tcPr>
          <w:p>
            <w:pPr>
              <w:ind w:left="520"/>
              <w:spacing w:after="0"/>
              <w:rPr>
                <w:rFonts w:ascii="Arial" w:cs="Arial" w:eastAsia="Arial" w:hAnsi="Arial"/>
                <w:sz w:val="18"/>
                <w:szCs w:val="18"/>
                <w:color w:val="auto"/>
                <w:w w:val="99"/>
              </w:rPr>
            </w:pPr>
            <w:hyperlink r:id="rId37">
              <w:r>
                <w:rPr>
                  <w:rFonts w:ascii="Arial" w:cs="Arial" w:eastAsia="Arial" w:hAnsi="Arial"/>
                  <w:sz w:val="18"/>
                  <w:szCs w:val="18"/>
                  <w:color w:val="auto"/>
                  <w:w w:val="99"/>
                </w:rPr>
                <w:t>Amended and Restated By-Laws of T. Rowe Price Group, Inc. as of December 10, 2015. (Incorporated by reference from</w:t>
              </w:r>
            </w:hyperlink>
          </w:p>
        </w:tc>
      </w:tr>
      <w:tr>
        <w:trPr>
          <w:trHeight w:val="217"/>
        </w:trPr>
        <w:tc>
          <w:tcPr>
            <w:tcW w:w="1200" w:type="dxa"/>
            <w:vAlign w:val="bottom"/>
          </w:tcPr>
          <w:p>
            <w:pPr>
              <w:spacing w:after="0"/>
              <w:rPr>
                <w:sz w:val="18"/>
                <w:szCs w:val="18"/>
                <w:color w:val="auto"/>
              </w:rPr>
            </w:pPr>
          </w:p>
        </w:tc>
        <w:tc>
          <w:tcPr>
            <w:tcW w:w="10140" w:type="dxa"/>
            <w:vAlign w:val="bottom"/>
          </w:tcPr>
          <w:p>
            <w:pPr>
              <w:ind w:left="520"/>
              <w:spacing w:after="0"/>
              <w:rPr>
                <w:rFonts w:ascii="Arial" w:cs="Arial" w:eastAsia="Arial" w:hAnsi="Arial"/>
                <w:sz w:val="18"/>
                <w:szCs w:val="18"/>
                <w:color w:val="auto"/>
              </w:rPr>
            </w:pPr>
            <w:hyperlink r:id="rId37">
              <w:r>
                <w:rPr>
                  <w:rFonts w:ascii="Arial" w:cs="Arial" w:eastAsia="Arial" w:hAnsi="Arial"/>
                  <w:sz w:val="18"/>
                  <w:szCs w:val="18"/>
                  <w:color w:val="auto"/>
                </w:rPr>
                <w:t>Form 8-K Current Report filed on December 10, 2015.)</w:t>
              </w:r>
            </w:hyperlink>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10.03</w:t>
            </w:r>
          </w:p>
        </w:tc>
        <w:tc>
          <w:tcPr>
            <w:tcW w:w="10140" w:type="dxa"/>
            <w:vAlign w:val="bottom"/>
          </w:tcPr>
          <w:p>
            <w:pPr>
              <w:ind w:left="520"/>
              <w:spacing w:after="0"/>
              <w:rPr>
                <w:rFonts w:ascii="Arial" w:cs="Arial" w:eastAsia="Arial" w:hAnsi="Arial"/>
                <w:sz w:val="18"/>
                <w:szCs w:val="18"/>
                <w:color w:val="auto"/>
              </w:rPr>
            </w:pPr>
            <w:hyperlink r:id="rId38">
              <w:r>
                <w:rPr>
                  <w:rFonts w:ascii="Arial" w:cs="Arial" w:eastAsia="Arial" w:hAnsi="Arial"/>
                  <w:sz w:val="18"/>
                  <w:szCs w:val="18"/>
                  <w:color w:val="auto"/>
                </w:rPr>
                <w:t>Transfer Agency and Service Agreement as of January 1, 2018, between T. Rowe Price Services, Inc. and the T. Rowe</w:t>
              </w:r>
            </w:hyperlink>
          </w:p>
        </w:tc>
      </w:tr>
      <w:tr>
        <w:trPr>
          <w:trHeight w:val="217"/>
        </w:trPr>
        <w:tc>
          <w:tcPr>
            <w:tcW w:w="1200" w:type="dxa"/>
            <w:vAlign w:val="bottom"/>
          </w:tcPr>
          <w:p>
            <w:pPr>
              <w:spacing w:after="0"/>
              <w:rPr>
                <w:sz w:val="18"/>
                <w:szCs w:val="18"/>
                <w:color w:val="auto"/>
              </w:rPr>
            </w:pPr>
          </w:p>
        </w:tc>
        <w:tc>
          <w:tcPr>
            <w:tcW w:w="10140" w:type="dxa"/>
            <w:vAlign w:val="bottom"/>
          </w:tcPr>
          <w:p>
            <w:pPr>
              <w:ind w:left="520"/>
              <w:spacing w:after="0"/>
              <w:rPr>
                <w:rFonts w:ascii="Arial" w:cs="Arial" w:eastAsia="Arial" w:hAnsi="Arial"/>
                <w:sz w:val="18"/>
                <w:szCs w:val="18"/>
                <w:color w:val="auto"/>
              </w:rPr>
            </w:pPr>
            <w:hyperlink r:id="rId38">
              <w:r>
                <w:rPr>
                  <w:rFonts w:ascii="Arial" w:cs="Arial" w:eastAsia="Arial" w:hAnsi="Arial"/>
                  <w:sz w:val="18"/>
                  <w:szCs w:val="18"/>
                  <w:color w:val="auto"/>
                </w:rPr>
                <w:t>Price Funds. (Incorporated by reference from Form 485BPOS filed on April 26, 2018.)</w:t>
              </w:r>
            </w:hyperlink>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10.04</w:t>
            </w:r>
          </w:p>
        </w:tc>
        <w:tc>
          <w:tcPr>
            <w:tcW w:w="10140" w:type="dxa"/>
            <w:vAlign w:val="bottom"/>
          </w:tcPr>
          <w:p>
            <w:pPr>
              <w:ind w:left="520"/>
              <w:spacing w:after="0"/>
              <w:rPr>
                <w:rFonts w:ascii="Arial" w:cs="Arial" w:eastAsia="Arial" w:hAnsi="Arial"/>
                <w:sz w:val="18"/>
                <w:szCs w:val="18"/>
                <w:color w:val="auto"/>
              </w:rPr>
            </w:pPr>
            <w:hyperlink r:id="rId39">
              <w:r>
                <w:rPr>
                  <w:rFonts w:ascii="Arial" w:cs="Arial" w:eastAsia="Arial" w:hAnsi="Arial"/>
                  <w:sz w:val="18"/>
                  <w:szCs w:val="18"/>
                  <w:color w:val="auto"/>
                </w:rPr>
                <w:t>Agreement as of January 1, 2018, between T. Rowe Price Retirement Plan Services, Inc. and certain of the T. Rowe</w:t>
              </w:r>
            </w:hyperlink>
          </w:p>
        </w:tc>
      </w:tr>
      <w:tr>
        <w:trPr>
          <w:trHeight w:val="217"/>
        </w:trPr>
        <w:tc>
          <w:tcPr>
            <w:tcW w:w="1200" w:type="dxa"/>
            <w:vAlign w:val="bottom"/>
          </w:tcPr>
          <w:p>
            <w:pPr>
              <w:spacing w:after="0"/>
              <w:rPr>
                <w:sz w:val="18"/>
                <w:szCs w:val="18"/>
                <w:color w:val="auto"/>
              </w:rPr>
            </w:pPr>
          </w:p>
        </w:tc>
        <w:tc>
          <w:tcPr>
            <w:tcW w:w="10140" w:type="dxa"/>
            <w:vAlign w:val="bottom"/>
          </w:tcPr>
          <w:p>
            <w:pPr>
              <w:ind w:left="520"/>
              <w:spacing w:after="0"/>
              <w:rPr>
                <w:rFonts w:ascii="Arial" w:cs="Arial" w:eastAsia="Arial" w:hAnsi="Arial"/>
                <w:sz w:val="18"/>
                <w:szCs w:val="18"/>
                <w:color w:val="auto"/>
              </w:rPr>
            </w:pPr>
            <w:hyperlink r:id="rId39">
              <w:r>
                <w:rPr>
                  <w:rFonts w:ascii="Arial" w:cs="Arial" w:eastAsia="Arial" w:hAnsi="Arial"/>
                  <w:sz w:val="18"/>
                  <w:szCs w:val="18"/>
                  <w:color w:val="auto"/>
                </w:rPr>
                <w:t>Price Funds. (Incorporated by reference from Form 485BPOS filed on April 26, 2018.)</w:t>
              </w:r>
            </w:hyperlink>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10.05</w:t>
            </w:r>
          </w:p>
        </w:tc>
        <w:tc>
          <w:tcPr>
            <w:tcW w:w="10140" w:type="dxa"/>
            <w:vAlign w:val="bottom"/>
          </w:tcPr>
          <w:p>
            <w:pPr>
              <w:ind w:left="520"/>
              <w:spacing w:after="0"/>
              <w:rPr>
                <w:rFonts w:ascii="Arial" w:cs="Arial" w:eastAsia="Arial" w:hAnsi="Arial"/>
                <w:sz w:val="18"/>
                <w:szCs w:val="18"/>
                <w:color w:val="auto"/>
              </w:rPr>
            </w:pPr>
            <w:hyperlink r:id="rId40">
              <w:r>
                <w:rPr>
                  <w:rFonts w:ascii="Arial" w:cs="Arial" w:eastAsia="Arial" w:hAnsi="Arial"/>
                  <w:sz w:val="18"/>
                  <w:szCs w:val="18"/>
                  <w:color w:val="auto"/>
                </w:rPr>
                <w:t>Fund Accounting Services Agreement as of August 1, 2015 between T. Rowe Price Associates, Inc. and the T. Rowe</w:t>
              </w:r>
            </w:hyperlink>
          </w:p>
        </w:tc>
      </w:tr>
      <w:tr>
        <w:trPr>
          <w:trHeight w:val="217"/>
        </w:trPr>
        <w:tc>
          <w:tcPr>
            <w:tcW w:w="1200" w:type="dxa"/>
            <w:vAlign w:val="bottom"/>
          </w:tcPr>
          <w:p>
            <w:pPr>
              <w:spacing w:after="0"/>
              <w:rPr>
                <w:sz w:val="18"/>
                <w:szCs w:val="18"/>
                <w:color w:val="auto"/>
              </w:rPr>
            </w:pPr>
          </w:p>
        </w:tc>
        <w:tc>
          <w:tcPr>
            <w:tcW w:w="10140" w:type="dxa"/>
            <w:vAlign w:val="bottom"/>
          </w:tcPr>
          <w:p>
            <w:pPr>
              <w:ind w:left="520"/>
              <w:spacing w:after="0"/>
              <w:rPr>
                <w:rFonts w:ascii="Arial" w:cs="Arial" w:eastAsia="Arial" w:hAnsi="Arial"/>
                <w:sz w:val="18"/>
                <w:szCs w:val="18"/>
                <w:color w:val="auto"/>
              </w:rPr>
            </w:pPr>
            <w:hyperlink r:id="rId40">
              <w:r>
                <w:rPr>
                  <w:rFonts w:ascii="Arial" w:cs="Arial" w:eastAsia="Arial" w:hAnsi="Arial"/>
                  <w:sz w:val="18"/>
                  <w:szCs w:val="18"/>
                  <w:color w:val="auto"/>
                </w:rPr>
                <w:t>Price Funds. (Incorporated by reference from Form 485BPOS filed on April 26, 2018.)</w:t>
              </w:r>
            </w:hyperlink>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10.16.1</w:t>
            </w:r>
          </w:p>
        </w:tc>
        <w:tc>
          <w:tcPr>
            <w:tcW w:w="10140" w:type="dxa"/>
            <w:vAlign w:val="bottom"/>
          </w:tcPr>
          <w:p>
            <w:pPr>
              <w:ind w:left="520"/>
              <w:spacing w:after="0"/>
              <w:rPr>
                <w:rFonts w:ascii="Arial" w:cs="Arial" w:eastAsia="Arial" w:hAnsi="Arial"/>
                <w:sz w:val="18"/>
                <w:szCs w:val="18"/>
                <w:color w:val="auto"/>
              </w:rPr>
            </w:pPr>
            <w:hyperlink r:id="rId41">
              <w:r>
                <w:rPr>
                  <w:rFonts w:ascii="Arial" w:cs="Arial" w:eastAsia="Arial" w:hAnsi="Arial"/>
                  <w:sz w:val="18"/>
                  <w:szCs w:val="18"/>
                  <w:color w:val="auto"/>
                </w:rPr>
                <w:t>T. Rowe Price Group, Inc. 2018 Annual Incentive Compensation Pool for Executive Officers. (Incorporated by reference</w:t>
              </w:r>
            </w:hyperlink>
          </w:p>
        </w:tc>
      </w:tr>
      <w:tr>
        <w:trPr>
          <w:trHeight w:val="217"/>
        </w:trPr>
        <w:tc>
          <w:tcPr>
            <w:tcW w:w="1200" w:type="dxa"/>
            <w:vAlign w:val="bottom"/>
          </w:tcPr>
          <w:p>
            <w:pPr>
              <w:spacing w:after="0"/>
              <w:rPr>
                <w:sz w:val="18"/>
                <w:szCs w:val="18"/>
                <w:color w:val="auto"/>
              </w:rPr>
            </w:pPr>
          </w:p>
        </w:tc>
        <w:tc>
          <w:tcPr>
            <w:tcW w:w="10140" w:type="dxa"/>
            <w:vAlign w:val="bottom"/>
          </w:tcPr>
          <w:p>
            <w:pPr>
              <w:ind w:left="520"/>
              <w:spacing w:after="0"/>
              <w:rPr>
                <w:rFonts w:ascii="Arial" w:cs="Arial" w:eastAsia="Arial" w:hAnsi="Arial"/>
                <w:sz w:val="18"/>
                <w:szCs w:val="18"/>
                <w:color w:val="auto"/>
              </w:rPr>
            </w:pPr>
            <w:hyperlink r:id="rId41">
              <w:r>
                <w:rPr>
                  <w:rFonts w:ascii="Arial" w:cs="Arial" w:eastAsia="Arial" w:hAnsi="Arial"/>
                  <w:sz w:val="18"/>
                  <w:szCs w:val="18"/>
                  <w:color w:val="auto"/>
                </w:rPr>
                <w:t>from Form 8-K Current Report filed on February 16, 2018).</w:t>
              </w:r>
            </w:hyperlink>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10.18.12</w:t>
            </w:r>
          </w:p>
        </w:tc>
        <w:tc>
          <w:tcPr>
            <w:tcW w:w="10140" w:type="dxa"/>
            <w:vAlign w:val="bottom"/>
          </w:tcPr>
          <w:p>
            <w:pPr>
              <w:ind w:left="520"/>
              <w:spacing w:after="0"/>
              <w:rPr>
                <w:rFonts w:ascii="Arial" w:cs="Arial" w:eastAsia="Arial" w:hAnsi="Arial"/>
                <w:sz w:val="18"/>
                <w:szCs w:val="18"/>
                <w:color w:val="auto"/>
              </w:rPr>
            </w:pPr>
            <w:hyperlink w:anchor="page52">
              <w:r>
                <w:rPr>
                  <w:rFonts w:ascii="Arial" w:cs="Arial" w:eastAsia="Arial" w:hAnsi="Arial"/>
                  <w:sz w:val="18"/>
                  <w:szCs w:val="18"/>
                  <w:color w:val="auto"/>
                </w:rPr>
                <w:t>Form of Statement of Additional Terms Regarding Awards of Restricted Stock Units (Version 4A) issued on or after</w:t>
              </w:r>
            </w:hyperlink>
          </w:p>
        </w:tc>
      </w:tr>
      <w:tr>
        <w:trPr>
          <w:trHeight w:val="217"/>
        </w:trPr>
        <w:tc>
          <w:tcPr>
            <w:tcW w:w="1200" w:type="dxa"/>
            <w:vAlign w:val="bottom"/>
          </w:tcPr>
          <w:p>
            <w:pPr>
              <w:spacing w:after="0"/>
              <w:rPr>
                <w:sz w:val="18"/>
                <w:szCs w:val="18"/>
                <w:color w:val="auto"/>
              </w:rPr>
            </w:pPr>
          </w:p>
        </w:tc>
        <w:tc>
          <w:tcPr>
            <w:tcW w:w="10140" w:type="dxa"/>
            <w:vAlign w:val="bottom"/>
          </w:tcPr>
          <w:p>
            <w:pPr>
              <w:ind w:left="520"/>
              <w:spacing w:after="0"/>
              <w:rPr>
                <w:rFonts w:ascii="Arial" w:cs="Arial" w:eastAsia="Arial" w:hAnsi="Arial"/>
                <w:sz w:val="18"/>
                <w:szCs w:val="18"/>
                <w:color w:val="auto"/>
              </w:rPr>
            </w:pPr>
            <w:hyperlink w:anchor="page52">
              <w:r>
                <w:rPr>
                  <w:rFonts w:ascii="Arial" w:cs="Arial" w:eastAsia="Arial" w:hAnsi="Arial"/>
                  <w:sz w:val="18"/>
                  <w:szCs w:val="18"/>
                  <w:color w:val="auto"/>
                </w:rPr>
                <w:t>December 9, 2018 under the T. Rowe Price Group, Inc. 2012 Long-Term Incentive Plan.</w:t>
              </w:r>
            </w:hyperlink>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10.18.13</w:t>
            </w:r>
          </w:p>
        </w:tc>
        <w:tc>
          <w:tcPr>
            <w:tcW w:w="10140" w:type="dxa"/>
            <w:vAlign w:val="bottom"/>
          </w:tcPr>
          <w:p>
            <w:pPr>
              <w:ind w:left="520"/>
              <w:spacing w:after="0"/>
              <w:rPr>
                <w:rFonts w:ascii="Arial" w:cs="Arial" w:eastAsia="Arial" w:hAnsi="Arial"/>
                <w:sz w:val="18"/>
                <w:szCs w:val="18"/>
                <w:color w:val="auto"/>
              </w:rPr>
            </w:pPr>
            <w:hyperlink w:anchor="page75">
              <w:r>
                <w:rPr>
                  <w:rFonts w:ascii="Arial" w:cs="Arial" w:eastAsia="Arial" w:hAnsi="Arial"/>
                  <w:sz w:val="18"/>
                  <w:szCs w:val="18"/>
                  <w:color w:val="auto"/>
                </w:rPr>
                <w:t>Form of Statement of Additional Terms Regarding Awards of Restricted Stock Units (Version 4B) issued on or after</w:t>
              </w:r>
            </w:hyperlink>
          </w:p>
        </w:tc>
      </w:tr>
      <w:tr>
        <w:trPr>
          <w:trHeight w:val="217"/>
        </w:trPr>
        <w:tc>
          <w:tcPr>
            <w:tcW w:w="1200" w:type="dxa"/>
            <w:vAlign w:val="bottom"/>
          </w:tcPr>
          <w:p>
            <w:pPr>
              <w:spacing w:after="0"/>
              <w:rPr>
                <w:sz w:val="18"/>
                <w:szCs w:val="18"/>
                <w:color w:val="auto"/>
              </w:rPr>
            </w:pPr>
          </w:p>
        </w:tc>
        <w:tc>
          <w:tcPr>
            <w:tcW w:w="10140" w:type="dxa"/>
            <w:vAlign w:val="bottom"/>
          </w:tcPr>
          <w:p>
            <w:pPr>
              <w:ind w:left="520"/>
              <w:spacing w:after="0"/>
              <w:rPr>
                <w:rFonts w:ascii="Arial" w:cs="Arial" w:eastAsia="Arial" w:hAnsi="Arial"/>
                <w:sz w:val="18"/>
                <w:szCs w:val="18"/>
                <w:color w:val="auto"/>
              </w:rPr>
            </w:pPr>
            <w:hyperlink w:anchor="page75">
              <w:r>
                <w:rPr>
                  <w:rFonts w:ascii="Arial" w:cs="Arial" w:eastAsia="Arial" w:hAnsi="Arial"/>
                  <w:sz w:val="18"/>
                  <w:szCs w:val="18"/>
                  <w:color w:val="auto"/>
                </w:rPr>
                <w:t>December 9, 2018 under the T. Rowe Price Group, Inc. 2012 Long-Term Incentive Plan.</w:t>
              </w:r>
            </w:hyperlink>
          </w:p>
        </w:tc>
      </w:tr>
      <w:tr>
        <w:trPr>
          <w:trHeight w:val="392"/>
        </w:trPr>
        <w:tc>
          <w:tcPr>
            <w:tcW w:w="1200" w:type="dxa"/>
            <w:vAlign w:val="bottom"/>
          </w:tcPr>
          <w:p>
            <w:pPr>
              <w:spacing w:after="0"/>
              <w:rPr>
                <w:sz w:val="20"/>
                <w:szCs w:val="20"/>
                <w:color w:val="auto"/>
              </w:rPr>
            </w:pPr>
            <w:r>
              <w:rPr>
                <w:rFonts w:ascii="Arial" w:cs="Arial" w:eastAsia="Arial" w:hAnsi="Arial"/>
                <w:sz w:val="18"/>
                <w:szCs w:val="18"/>
                <w:color w:val="auto"/>
              </w:rPr>
              <w:t>15</w:t>
            </w:r>
          </w:p>
        </w:tc>
        <w:tc>
          <w:tcPr>
            <w:tcW w:w="10140" w:type="dxa"/>
            <w:vAlign w:val="bottom"/>
          </w:tcPr>
          <w:p>
            <w:pPr>
              <w:ind w:left="520"/>
              <w:spacing w:after="0"/>
              <w:rPr>
                <w:rFonts w:ascii="Arial" w:cs="Arial" w:eastAsia="Arial" w:hAnsi="Arial"/>
                <w:sz w:val="18"/>
                <w:szCs w:val="18"/>
                <w:color w:val="auto"/>
              </w:rPr>
            </w:pPr>
            <w:hyperlink w:anchor="page98">
              <w:r>
                <w:rPr>
                  <w:rFonts w:ascii="Arial" w:cs="Arial" w:eastAsia="Arial" w:hAnsi="Arial"/>
                  <w:sz w:val="18"/>
                  <w:szCs w:val="18"/>
                  <w:color w:val="auto"/>
                </w:rPr>
                <w:t>Letter from KPMG LLP, independent registered public accounting firm, re unaudited interim financial information.</w:t>
              </w:r>
            </w:hyperlink>
          </w:p>
        </w:tc>
      </w:tr>
      <w:tr>
        <w:trPr>
          <w:trHeight w:val="392"/>
        </w:trPr>
        <w:tc>
          <w:tcPr>
            <w:tcW w:w="1200" w:type="dxa"/>
            <w:vAlign w:val="bottom"/>
          </w:tcPr>
          <w:p>
            <w:pPr>
              <w:spacing w:after="0"/>
              <w:rPr>
                <w:sz w:val="20"/>
                <w:szCs w:val="20"/>
                <w:color w:val="auto"/>
              </w:rPr>
            </w:pPr>
            <w:r>
              <w:rPr>
                <w:rFonts w:ascii="Arial" w:cs="Arial" w:eastAsia="Arial" w:hAnsi="Arial"/>
                <w:sz w:val="18"/>
                <w:szCs w:val="18"/>
                <w:color w:val="auto"/>
              </w:rPr>
              <w:t>31(i).1</w:t>
            </w:r>
          </w:p>
        </w:tc>
        <w:tc>
          <w:tcPr>
            <w:tcW w:w="10140" w:type="dxa"/>
            <w:vAlign w:val="bottom"/>
          </w:tcPr>
          <w:p>
            <w:pPr>
              <w:ind w:left="520"/>
              <w:spacing w:after="0"/>
              <w:rPr>
                <w:rFonts w:ascii="Arial" w:cs="Arial" w:eastAsia="Arial" w:hAnsi="Arial"/>
                <w:sz w:val="18"/>
                <w:szCs w:val="18"/>
                <w:color w:val="auto"/>
              </w:rPr>
            </w:pPr>
            <w:hyperlink w:anchor="page99">
              <w:r>
                <w:rPr>
                  <w:rFonts w:ascii="Arial" w:cs="Arial" w:eastAsia="Arial" w:hAnsi="Arial"/>
                  <w:sz w:val="18"/>
                  <w:szCs w:val="18"/>
                  <w:color w:val="auto"/>
                </w:rPr>
                <w:t>Rule 13a-14(a) Certification of Principal Executive Officer.</w:t>
              </w:r>
            </w:hyperlink>
          </w:p>
        </w:tc>
      </w:tr>
      <w:tr>
        <w:trPr>
          <w:trHeight w:val="392"/>
        </w:trPr>
        <w:tc>
          <w:tcPr>
            <w:tcW w:w="1200" w:type="dxa"/>
            <w:vAlign w:val="bottom"/>
          </w:tcPr>
          <w:p>
            <w:pPr>
              <w:spacing w:after="0"/>
              <w:rPr>
                <w:sz w:val="20"/>
                <w:szCs w:val="20"/>
                <w:color w:val="auto"/>
              </w:rPr>
            </w:pPr>
            <w:r>
              <w:rPr>
                <w:rFonts w:ascii="Arial" w:cs="Arial" w:eastAsia="Arial" w:hAnsi="Arial"/>
                <w:sz w:val="18"/>
                <w:szCs w:val="18"/>
                <w:color w:val="auto"/>
              </w:rPr>
              <w:t>31(i).2</w:t>
            </w:r>
          </w:p>
        </w:tc>
        <w:tc>
          <w:tcPr>
            <w:tcW w:w="10140" w:type="dxa"/>
            <w:vAlign w:val="bottom"/>
          </w:tcPr>
          <w:p>
            <w:pPr>
              <w:ind w:left="520"/>
              <w:spacing w:after="0"/>
              <w:rPr>
                <w:rFonts w:ascii="Arial" w:cs="Arial" w:eastAsia="Arial" w:hAnsi="Arial"/>
                <w:sz w:val="18"/>
                <w:szCs w:val="18"/>
                <w:color w:val="auto"/>
              </w:rPr>
            </w:pPr>
            <w:hyperlink w:anchor="page100">
              <w:r>
                <w:rPr>
                  <w:rFonts w:ascii="Arial" w:cs="Arial" w:eastAsia="Arial" w:hAnsi="Arial"/>
                  <w:sz w:val="18"/>
                  <w:szCs w:val="18"/>
                  <w:color w:val="auto"/>
                </w:rPr>
                <w:t>Rule 13a-14(a) Certification of Principal Financial Officer.</w:t>
              </w:r>
            </w:hyperlink>
          </w:p>
        </w:tc>
      </w:tr>
      <w:tr>
        <w:trPr>
          <w:trHeight w:val="392"/>
        </w:trPr>
        <w:tc>
          <w:tcPr>
            <w:tcW w:w="1200" w:type="dxa"/>
            <w:vAlign w:val="bottom"/>
          </w:tcPr>
          <w:p>
            <w:pPr>
              <w:spacing w:after="0"/>
              <w:rPr>
                <w:sz w:val="20"/>
                <w:szCs w:val="20"/>
                <w:color w:val="auto"/>
              </w:rPr>
            </w:pPr>
            <w:r>
              <w:rPr>
                <w:rFonts w:ascii="Arial" w:cs="Arial" w:eastAsia="Arial" w:hAnsi="Arial"/>
                <w:sz w:val="18"/>
                <w:szCs w:val="18"/>
                <w:color w:val="auto"/>
              </w:rPr>
              <w:t>32</w:t>
            </w:r>
          </w:p>
        </w:tc>
        <w:tc>
          <w:tcPr>
            <w:tcW w:w="10140" w:type="dxa"/>
            <w:vAlign w:val="bottom"/>
          </w:tcPr>
          <w:p>
            <w:pPr>
              <w:ind w:left="520"/>
              <w:spacing w:after="0"/>
              <w:rPr>
                <w:rFonts w:ascii="Arial" w:cs="Arial" w:eastAsia="Arial" w:hAnsi="Arial"/>
                <w:sz w:val="18"/>
                <w:szCs w:val="18"/>
                <w:color w:val="auto"/>
              </w:rPr>
            </w:pPr>
            <w:hyperlink w:anchor="page101">
              <w:r>
                <w:rPr>
                  <w:rFonts w:ascii="Arial" w:cs="Arial" w:eastAsia="Arial" w:hAnsi="Arial"/>
                  <w:sz w:val="18"/>
                  <w:szCs w:val="18"/>
                  <w:color w:val="auto"/>
                </w:rPr>
                <w:t>Section 1350 Certifications.</w:t>
              </w:r>
            </w:hyperlink>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99.1</w:t>
            </w:r>
          </w:p>
        </w:tc>
        <w:tc>
          <w:tcPr>
            <w:tcW w:w="10140" w:type="dxa"/>
            <w:vAlign w:val="bottom"/>
          </w:tcPr>
          <w:p>
            <w:pPr>
              <w:ind w:left="520"/>
              <w:spacing w:after="0"/>
              <w:rPr>
                <w:rFonts w:ascii="Arial" w:cs="Arial" w:eastAsia="Arial" w:hAnsi="Arial"/>
                <w:sz w:val="18"/>
                <w:szCs w:val="18"/>
                <w:color w:val="auto"/>
              </w:rPr>
            </w:pPr>
            <w:hyperlink w:anchor="page102">
              <w:r>
                <w:rPr>
                  <w:rFonts w:ascii="Arial" w:cs="Arial" w:eastAsia="Arial" w:hAnsi="Arial"/>
                  <w:sz w:val="18"/>
                  <w:szCs w:val="18"/>
                  <w:color w:val="auto"/>
                </w:rPr>
                <w:t>Earnings release issued October 25, 2018, reporting our results of operations for the third quarter and first nine months</w:t>
              </w:r>
            </w:hyperlink>
          </w:p>
        </w:tc>
      </w:tr>
      <w:tr>
        <w:trPr>
          <w:trHeight w:val="217"/>
        </w:trPr>
        <w:tc>
          <w:tcPr>
            <w:tcW w:w="1200" w:type="dxa"/>
            <w:vAlign w:val="bottom"/>
          </w:tcPr>
          <w:p>
            <w:pPr>
              <w:spacing w:after="0"/>
              <w:rPr>
                <w:sz w:val="18"/>
                <w:szCs w:val="18"/>
                <w:color w:val="auto"/>
              </w:rPr>
            </w:pPr>
          </w:p>
        </w:tc>
        <w:tc>
          <w:tcPr>
            <w:tcW w:w="10140" w:type="dxa"/>
            <w:vAlign w:val="bottom"/>
          </w:tcPr>
          <w:p>
            <w:pPr>
              <w:ind w:left="520"/>
              <w:spacing w:after="0"/>
              <w:rPr>
                <w:rFonts w:ascii="Arial" w:cs="Arial" w:eastAsia="Arial" w:hAnsi="Arial"/>
                <w:sz w:val="18"/>
                <w:szCs w:val="18"/>
                <w:color w:val="auto"/>
              </w:rPr>
            </w:pPr>
            <w:hyperlink w:anchor="page102">
              <w:r>
                <w:rPr>
                  <w:rFonts w:ascii="Arial" w:cs="Arial" w:eastAsia="Arial" w:hAnsi="Arial"/>
                  <w:sz w:val="18"/>
                  <w:szCs w:val="18"/>
                  <w:color w:val="auto"/>
                </w:rPr>
                <w:t>of 2018.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49</w:t>
      </w:r>
    </w:p>
    <w:p>
      <w:pPr>
        <w:sectPr>
          <w:pgSz w:w="11900" w:h="16838" w:orient="portrait"/>
          <w:cols w:equalWidth="0" w:num="1">
            <w:col w:w="11380"/>
          </w:cols>
          <w:pgMar w:left="240" w:top="576" w:right="2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000" w:type="dxa"/>
            <w:vAlign w:val="bottom"/>
          </w:tcPr>
          <w:p>
            <w:pPr>
              <w:jc w:val="right"/>
              <w:ind w:right="610"/>
              <w:spacing w:after="0"/>
              <w:rPr>
                <w:sz w:val="20"/>
                <w:szCs w:val="20"/>
                <w:color w:val="auto"/>
              </w:rPr>
            </w:pPr>
            <w:r>
              <w:rPr>
                <w:rFonts w:ascii="Arial" w:cs="Arial" w:eastAsia="Arial" w:hAnsi="Arial"/>
                <w:sz w:val="18"/>
                <w:szCs w:val="18"/>
                <w:color w:val="auto"/>
                <w:w w:val="93"/>
              </w:rPr>
              <w:t>101</w:t>
            </w:r>
          </w:p>
        </w:tc>
        <w:tc>
          <w:tcPr>
            <w:tcW w:w="9880" w:type="dxa"/>
            <w:vAlign w:val="bottom"/>
          </w:tcPr>
          <w:p>
            <w:pPr>
              <w:ind w:left="720"/>
              <w:spacing w:after="0"/>
              <w:rPr>
                <w:sz w:val="20"/>
                <w:szCs w:val="20"/>
                <w:color w:val="auto"/>
              </w:rPr>
            </w:pPr>
            <w:r>
              <w:rPr>
                <w:rFonts w:ascii="Arial" w:cs="Arial" w:eastAsia="Arial" w:hAnsi="Arial"/>
                <w:sz w:val="18"/>
                <w:szCs w:val="18"/>
                <w:color w:val="auto"/>
                <w:w w:val="99"/>
              </w:rPr>
              <w:t>The following series of unaudited XBRL-formatted documents are collectively included herewith as Exhibit 101. The</w:t>
            </w:r>
          </w:p>
        </w:tc>
      </w:tr>
      <w:tr>
        <w:trPr>
          <w:trHeight w:val="203"/>
        </w:trPr>
        <w:tc>
          <w:tcPr>
            <w:tcW w:w="1000" w:type="dxa"/>
            <w:vAlign w:val="bottom"/>
          </w:tcPr>
          <w:p>
            <w:pPr>
              <w:spacing w:after="0"/>
              <w:rPr>
                <w:sz w:val="17"/>
                <w:szCs w:val="17"/>
                <w:color w:val="auto"/>
              </w:rPr>
            </w:pPr>
          </w:p>
        </w:tc>
        <w:tc>
          <w:tcPr>
            <w:tcW w:w="9880" w:type="dxa"/>
            <w:vAlign w:val="bottom"/>
          </w:tcPr>
          <w:p>
            <w:pPr>
              <w:ind w:left="720"/>
              <w:spacing w:after="0" w:line="202" w:lineRule="exact"/>
              <w:rPr>
                <w:sz w:val="20"/>
                <w:szCs w:val="20"/>
                <w:color w:val="auto"/>
              </w:rPr>
            </w:pPr>
            <w:r>
              <w:rPr>
                <w:rFonts w:ascii="Arial" w:cs="Arial" w:eastAsia="Arial" w:hAnsi="Arial"/>
                <w:sz w:val="18"/>
                <w:szCs w:val="18"/>
                <w:color w:val="auto"/>
              </w:rPr>
              <w:t>financial information is extracted from T. Rowe Price Group’s unaudited condensed consolidated interim financial</w:t>
            </w:r>
          </w:p>
        </w:tc>
      </w:tr>
      <w:tr>
        <w:trPr>
          <w:trHeight w:val="217"/>
        </w:trPr>
        <w:tc>
          <w:tcPr>
            <w:tcW w:w="1000" w:type="dxa"/>
            <w:vAlign w:val="bottom"/>
          </w:tcPr>
          <w:p>
            <w:pPr>
              <w:spacing w:after="0"/>
              <w:rPr>
                <w:sz w:val="18"/>
                <w:szCs w:val="18"/>
                <w:color w:val="auto"/>
              </w:rPr>
            </w:pPr>
          </w:p>
        </w:tc>
        <w:tc>
          <w:tcPr>
            <w:tcW w:w="9880" w:type="dxa"/>
            <w:vAlign w:val="bottom"/>
          </w:tcPr>
          <w:p>
            <w:pPr>
              <w:ind w:left="720"/>
              <w:spacing w:after="0"/>
              <w:rPr>
                <w:sz w:val="20"/>
                <w:szCs w:val="20"/>
                <w:color w:val="auto"/>
              </w:rPr>
            </w:pPr>
            <w:r>
              <w:rPr>
                <w:rFonts w:ascii="Arial" w:cs="Arial" w:eastAsia="Arial" w:hAnsi="Arial"/>
                <w:sz w:val="18"/>
                <w:szCs w:val="18"/>
                <w:color w:val="auto"/>
              </w:rPr>
              <w:t>statements and notes that are included in this Form 10-Q Report.</w:t>
            </w:r>
          </w:p>
        </w:tc>
      </w:tr>
    </w:tbl>
    <w:p>
      <w:pPr>
        <w:spacing w:after="0" w:line="18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101.INS XBRL Instance Document</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101.SCH XBRL Taxonomy Extension Schema Document</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101.CAL XBRL Taxonomy Calculation Linkbase Document</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101.LAB XBRL Taxonomy Label Linkbase Document</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101.PRE XBRL Taxonomy Presentation Linkbase Document</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101.DEF XBRL Taxonomy Definition Linkbase Document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Page 50</w:t>
      </w:r>
    </w:p>
    <w:p>
      <w:pPr>
        <w:sectPr>
          <w:pgSz w:w="11900" w:h="16838" w:orient="portrait"/>
          <w:cols w:equalWidth="0" w:num="1">
            <w:col w:w="10880"/>
          </w:cols>
          <w:pgMar w:left="280" w:top="755" w:right="739" w:bottom="1440" w:gutter="0" w:footer="0" w:header="0"/>
        </w:sectPr>
      </w:pPr>
    </w:p>
    <w:bookmarkStart w:id="50" w:name="page51"/>
    <w:bookmarkEnd w:id="50"/>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25, 2018.</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Céline S. Dufétel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6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Page 51</w:t>
      </w:r>
    </w:p>
    <w:p>
      <w:pPr>
        <w:sectPr>
          <w:pgSz w:w="11900" w:h="16838" w:orient="portrait"/>
          <w:cols w:equalWidth="0" w:num="1">
            <w:col w:w="11120"/>
          </w:cols>
          <w:pgMar w:left="240" w:top="360" w:right="539" w:bottom="1440" w:gutter="0" w:footer="0" w:header="0"/>
        </w:sectPr>
      </w:pPr>
    </w:p>
    <w:bookmarkStart w:id="51" w:name="page52"/>
    <w:bookmarkEnd w:id="51"/>
    <w:p>
      <w:pPr>
        <w:jc w:val="center"/>
        <w:ind w:right="80"/>
        <w:spacing w:after="0"/>
        <w:rPr>
          <w:sz w:val="20"/>
          <w:szCs w:val="20"/>
          <w:color w:val="auto"/>
        </w:rPr>
      </w:pPr>
      <w:r>
        <w:rPr>
          <w:rFonts w:ascii="Arial" w:cs="Arial" w:eastAsia="Arial" w:hAnsi="Arial"/>
          <w:sz w:val="19"/>
          <w:szCs w:val="19"/>
          <w:b w:val="1"/>
          <w:bCs w:val="1"/>
          <w:color w:val="auto"/>
        </w:rPr>
        <w:t>T. R</w:t>
      </w:r>
      <w:r>
        <w:rPr>
          <w:rFonts w:ascii="Arial" w:cs="Arial" w:eastAsia="Arial" w:hAnsi="Arial"/>
          <w:sz w:val="15"/>
          <w:szCs w:val="15"/>
          <w:b w:val="1"/>
          <w:bCs w:val="1"/>
          <w:color w:val="auto"/>
        </w:rPr>
        <w:t>OWE</w:t>
      </w:r>
      <w:r>
        <w:rPr>
          <w:rFonts w:ascii="Arial" w:cs="Arial" w:eastAsia="Arial" w:hAnsi="Arial"/>
          <w:sz w:val="19"/>
          <w:szCs w:val="19"/>
          <w:b w:val="1"/>
          <w:bCs w:val="1"/>
          <w:color w:val="auto"/>
        </w:rPr>
        <w:t xml:space="preserve"> P</w:t>
      </w:r>
      <w:r>
        <w:rPr>
          <w:rFonts w:ascii="Arial" w:cs="Arial" w:eastAsia="Arial" w:hAnsi="Arial"/>
          <w:sz w:val="15"/>
          <w:szCs w:val="15"/>
          <w:b w:val="1"/>
          <w:bCs w:val="1"/>
          <w:color w:val="auto"/>
        </w:rPr>
        <w:t>RICE</w:t>
      </w:r>
      <w:r>
        <w:rPr>
          <w:rFonts w:ascii="Arial" w:cs="Arial" w:eastAsia="Arial" w:hAnsi="Arial"/>
          <w:sz w:val="19"/>
          <w:szCs w:val="19"/>
          <w:b w:val="1"/>
          <w:bCs w:val="1"/>
          <w:color w:val="auto"/>
        </w:rPr>
        <w:t xml:space="preserve"> G</w:t>
      </w:r>
      <w:r>
        <w:rPr>
          <w:rFonts w:ascii="Arial" w:cs="Arial" w:eastAsia="Arial" w:hAnsi="Arial"/>
          <w:sz w:val="15"/>
          <w:szCs w:val="15"/>
          <w:b w:val="1"/>
          <w:bCs w:val="1"/>
          <w:color w:val="auto"/>
        </w:rPr>
        <w:t>ROUP</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 2012 L</w:t>
      </w:r>
      <w:r>
        <w:rPr>
          <w:rFonts w:ascii="Arial" w:cs="Arial" w:eastAsia="Arial" w:hAnsi="Arial"/>
          <w:sz w:val="15"/>
          <w:szCs w:val="15"/>
          <w:b w:val="1"/>
          <w:bCs w:val="1"/>
          <w:color w:val="auto"/>
        </w:rPr>
        <w:t>ONG</w:t>
      </w:r>
      <w:r>
        <w:rPr>
          <w:rFonts w:ascii="Arial" w:cs="Arial" w:eastAsia="Arial" w:hAnsi="Arial"/>
          <w:sz w:val="19"/>
          <w:szCs w:val="19"/>
          <w:b w:val="1"/>
          <w:bCs w:val="1"/>
          <w:color w:val="auto"/>
        </w:rPr>
        <w:t>-T</w:t>
      </w:r>
      <w:r>
        <w:rPr>
          <w:rFonts w:ascii="Arial" w:cs="Arial" w:eastAsia="Arial" w:hAnsi="Arial"/>
          <w:sz w:val="15"/>
          <w:szCs w:val="15"/>
          <w:b w:val="1"/>
          <w:bCs w:val="1"/>
          <w:color w:val="auto"/>
        </w:rPr>
        <w:t>ERM</w:t>
      </w:r>
      <w:r>
        <w:rPr>
          <w:rFonts w:ascii="Arial" w:cs="Arial" w:eastAsia="Arial" w:hAnsi="Arial"/>
          <w:sz w:val="19"/>
          <w:szCs w:val="19"/>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9"/>
          <w:szCs w:val="19"/>
          <w:b w:val="1"/>
          <w:bCs w:val="1"/>
          <w:color w:val="auto"/>
        </w:rPr>
        <w:t xml:space="preserve"> P</w:t>
      </w:r>
      <w:r>
        <w:rPr>
          <w:rFonts w:ascii="Arial" w:cs="Arial" w:eastAsia="Arial" w:hAnsi="Arial"/>
          <w:sz w:val="15"/>
          <w:szCs w:val="15"/>
          <w:b w:val="1"/>
          <w:bCs w:val="1"/>
          <w:color w:val="auto"/>
        </w:rPr>
        <w:t>LAN</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4"/>
          <w:szCs w:val="24"/>
          <w:color w:val="auto"/>
        </w:rPr>
        <w:t>_______________</w:t>
      </w:r>
    </w:p>
    <w:p>
      <w:pPr>
        <w:spacing w:after="0" w:line="181"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STATEMENT OF ADDITIONAL TERMS REGARDING AWARDS OF RESTRICTED STOCK UNITS</w:t>
      </w:r>
    </w:p>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version 4A</w:t>
      </w:r>
      <w:r>
        <w:rPr>
          <w:rFonts w:ascii="Arial" w:cs="Arial" w:eastAsia="Arial" w:hAnsi="Arial"/>
          <w:sz w:val="17"/>
          <w:szCs w:val="17"/>
          <w:color w:val="auto"/>
        </w:rPr>
        <w:t>)</w:t>
      </w:r>
    </w:p>
    <w:p>
      <w:pPr>
        <w:spacing w:after="0" w:line="4" w:lineRule="exact"/>
        <w:rPr>
          <w:sz w:val="20"/>
          <w:szCs w:val="20"/>
          <w:color w:val="auto"/>
        </w:rPr>
      </w:pPr>
    </w:p>
    <w:p>
      <w:pPr>
        <w:ind w:left="4560"/>
        <w:spacing w:after="0"/>
        <w:rPr>
          <w:sz w:val="20"/>
          <w:szCs w:val="20"/>
          <w:color w:val="auto"/>
        </w:rPr>
      </w:pPr>
      <w:r>
        <w:rPr>
          <w:rFonts w:ascii="Arial" w:cs="Arial" w:eastAsia="Arial" w:hAnsi="Arial"/>
          <w:sz w:val="14"/>
          <w:szCs w:val="14"/>
          <w:b w:val="1"/>
          <w:bCs w:val="1"/>
          <w:color w:val="auto"/>
        </w:rPr>
        <w:t>______________________________</w:t>
      </w:r>
    </w:p>
    <w:p>
      <w:pPr>
        <w:spacing w:after="0" w:line="200" w:lineRule="exact"/>
        <w:rPr>
          <w:sz w:val="20"/>
          <w:szCs w:val="20"/>
          <w:color w:val="auto"/>
        </w:rPr>
      </w:pPr>
    </w:p>
    <w:p>
      <w:pPr>
        <w:spacing w:after="0" w:line="25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This Statement of Additional Terms Regarding Awards of Restricted Stock Units made on or after December 9, 2018 (the</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Terms</w:t>
      </w:r>
      <w:r>
        <w:rPr>
          <w:rFonts w:ascii="Arial" w:cs="Arial" w:eastAsia="Arial" w:hAnsi="Arial"/>
          <w:sz w:val="19"/>
          <w:szCs w:val="19"/>
          <w:color w:val="auto"/>
        </w:rPr>
        <w:t>”) and all of the provisions of the T. Rowe Price Group, Inc. 2012 Long-Term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are incorporated into</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your stock units award, the specifics of which are described on the “Notice of Grant of Restricted Stock Units Award” (the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that</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you received. Once you have accepted the Notice in accordance with the instructions set forth thereon, the Terms (including its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Appendix), the Plan and the Notice, together, constitute a binding and enforceable contract respecting your restricted stock units award.</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That contract is referred to in this document as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w:t>
      </w:r>
    </w:p>
    <w:p>
      <w:pPr>
        <w:spacing w:after="0" w:line="243" w:lineRule="exact"/>
        <w:rPr>
          <w:sz w:val="20"/>
          <w:szCs w:val="20"/>
          <w:color w:val="auto"/>
        </w:rPr>
      </w:pPr>
    </w:p>
    <w:p>
      <w:pPr>
        <w:ind w:right="720" w:firstLine="630"/>
        <w:spacing w:after="0" w:line="291" w:lineRule="auto"/>
        <w:tabs>
          <w:tab w:leader="none" w:pos="140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Terminology</w:t>
      </w:r>
      <w:r>
        <w:rPr>
          <w:rFonts w:ascii="Arial" w:cs="Arial" w:eastAsia="Arial" w:hAnsi="Arial"/>
          <w:sz w:val="19"/>
          <w:szCs w:val="19"/>
          <w:color w:val="auto"/>
        </w:rPr>
        <w:t>. Capitalized words and phrases used in these Terms are defined in the Glossary at the end of this document or the first place such word or phrase appears in this document.</w:t>
      </w:r>
    </w:p>
    <w:p>
      <w:pPr>
        <w:spacing w:after="0" w:line="185" w:lineRule="exact"/>
        <w:rPr>
          <w:rFonts w:ascii="Arial" w:cs="Arial" w:eastAsia="Arial" w:hAnsi="Arial"/>
          <w:sz w:val="19"/>
          <w:szCs w:val="19"/>
          <w:color w:val="auto"/>
        </w:rPr>
      </w:pPr>
    </w:p>
    <w:p>
      <w:pPr>
        <w:ind w:left="1280" w:hanging="636"/>
        <w:spacing w:after="0"/>
        <w:tabs>
          <w:tab w:leader="none" w:pos="1280"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ind w:right="220" w:firstLine="1265"/>
        <w:spacing w:after="0" w:line="251" w:lineRule="auto"/>
        <w:tabs>
          <w:tab w:leader="none" w:pos="1678" w:val="left"/>
        </w:tabs>
        <w:numPr>
          <w:ilvl w:val="2"/>
          <w:numId w:val="19"/>
        </w:numPr>
        <w:rPr>
          <w:rFonts w:ascii="Arial" w:cs="Arial" w:eastAsia="Arial" w:hAnsi="Arial"/>
          <w:sz w:val="20"/>
          <w:szCs w:val="20"/>
          <w:color w:val="auto"/>
        </w:rPr>
      </w:pPr>
      <w:r>
        <w:rPr>
          <w:rFonts w:ascii="Arial" w:cs="Arial" w:eastAsia="Arial" w:hAnsi="Arial"/>
          <w:sz w:val="19"/>
          <w:szCs w:val="19"/>
          <w:u w:val="single" w:color="auto"/>
          <w:color w:val="auto"/>
        </w:rPr>
        <w:t>Vested Status upon Grant Date</w:t>
      </w:r>
      <w:r>
        <w:rPr>
          <w:rFonts w:ascii="Arial" w:cs="Arial" w:eastAsia="Arial" w:hAnsi="Arial"/>
          <w:sz w:val="19"/>
          <w:szCs w:val="19"/>
          <w:color w:val="auto"/>
        </w:rPr>
        <w:t>. All of the Stock Units are nonvested and forfeitable as of the Grant Date. Your Stock Units will become vested for purposes of this Agreement only on the applicable vesting dates under the vesting schedule set forth on the correlating Notice or on the dates specified in Section 2(d), Section 2(e), or Section 9, as applicable, notwithstanding the fact that, prior to any such date, subsequent vesting ceases to be conditioned upon your continued employment with the Company or any other substantial risk of forfeiture ceases to exist. A vested Stock Unit remains subject to the terms, conditions and forfeiture provisions provided for in the Plan and in this Agreement.</w:t>
      </w:r>
    </w:p>
    <w:p>
      <w:pPr>
        <w:spacing w:after="0" w:line="210" w:lineRule="exact"/>
        <w:rPr>
          <w:rFonts w:ascii="Arial" w:cs="Arial" w:eastAsia="Arial" w:hAnsi="Arial"/>
          <w:sz w:val="20"/>
          <w:szCs w:val="20"/>
          <w:color w:val="auto"/>
        </w:rPr>
      </w:pPr>
    </w:p>
    <w:p>
      <w:pPr>
        <w:ind w:right="40" w:firstLine="1265"/>
        <w:spacing w:after="0" w:line="251" w:lineRule="auto"/>
        <w:tabs>
          <w:tab w:leader="none" w:pos="1678" w:val="left"/>
        </w:tabs>
        <w:numPr>
          <w:ilvl w:val="2"/>
          <w:numId w:val="19"/>
        </w:numPr>
        <w:rPr>
          <w:rFonts w:ascii="Arial" w:cs="Arial" w:eastAsia="Arial" w:hAnsi="Arial"/>
          <w:sz w:val="20"/>
          <w:szCs w:val="20"/>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 So long as your Service is continuous from the Grant Date through the applicable date upon which vesting is scheduled to occur and all other conditions for earning the Stock Units as set forth in the Notice have been satisfied, the Stock Units will become vested and nonforfeitable on the vesting dates set forth in the correlating Notice. If the Notice indicates that your restricted stock units award is a Qualified Performance- Based Award, then in no event will vesting under this Section 2(b) occur before the Executive Compensation Committee has certified in writing the extent to which the applicable Performance Threshold has been satisfied. If the Notice reflects that your restricted stock award is subject to satisfaction of a Performance Threshold then, to the extent that satisfaction of the Performance Threshold is determined based on information reported by a Peer Company in financial statements filed with the Securities and Exchange Commission or information otherwise disclosed by a Peer Company in a press release, such a determination shall be final and conclusive and no adjustment thereafter shall be made to the number of Stock Units eligible to vest in the event that a Peer Company thereafter files or discloses restated or updated financial information. To the extent that satisfaction of the Performance Threshold is to be determined based on information reported by Peer Companies, any Peer Company that has not filed</w:t>
      </w:r>
    </w:p>
    <w:p>
      <w:pPr>
        <w:spacing w:after="0" w:line="200" w:lineRule="exact"/>
        <w:rPr>
          <w:sz w:val="20"/>
          <w:szCs w:val="20"/>
          <w:color w:val="auto"/>
        </w:rPr>
      </w:pPr>
    </w:p>
    <w:p>
      <w:pPr>
        <w:spacing w:after="0" w:line="37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320" w:top="674" w:right="239" w:bottom="1440" w:gutter="0" w:footer="0" w:header="0"/>
        </w:sectPr>
      </w:pPr>
    </w:p>
    <w:bookmarkStart w:id="52" w:name="page53"/>
    <w:bookmarkEnd w:id="52"/>
    <w:p>
      <w:pPr>
        <w:spacing w:after="0" w:line="252" w:lineRule="auto"/>
        <w:rPr>
          <w:sz w:val="20"/>
          <w:szCs w:val="20"/>
          <w:color w:val="auto"/>
        </w:rPr>
      </w:pPr>
      <w:r>
        <w:rPr>
          <w:rFonts w:ascii="Arial" w:cs="Arial" w:eastAsia="Arial" w:hAnsi="Arial"/>
          <w:sz w:val="19"/>
          <w:szCs w:val="19"/>
          <w:color w:val="auto"/>
        </w:rPr>
        <w:t>financial statements with the Securities and Exchange Commission or otherwise disclosed in a press release the relevant financial information for the Performance Period within 45 days after the end of the Performance Period in question, will not be considered a Peer Company for purposes of the determination. To the extent that satisfaction of the Performance Threshold is to be determined based on financial information reported for a specified period ending on the close of a calendar quarter and a Peer Company reports its relevant financial information over a fiscal period that does not end on the close of a calendar quarter, the Committee shall use the financial information reported by such Peer Company that most closely correlates to the duration of the Performance Period as reported before the close of the Performance Period.</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color w:val="auto"/>
        </w:rPr>
        <w:t>For example, if the Performance Period is the 12-month period that ends December 31, 2012, and a Peer Company’s fiscal year ends on October 31, 2012, then for purposes of calculating the Performance Threshold and the extent to which such Performance Threshold has been satisfied, the relevant financial information for the 12-month period that ends October 31, 2012 will be used for such Peer Company.</w:t>
      </w:r>
    </w:p>
    <w:p>
      <w:pPr>
        <w:spacing w:after="0" w:line="108" w:lineRule="exact"/>
        <w:rPr>
          <w:sz w:val="20"/>
          <w:szCs w:val="20"/>
          <w:color w:val="auto"/>
        </w:rPr>
      </w:pPr>
    </w:p>
    <w:p>
      <w:pPr>
        <w:ind w:left="1900" w:hanging="621"/>
        <w:spacing w:after="0"/>
        <w:tabs>
          <w:tab w:leader="none" w:pos="1900" w:val="left"/>
        </w:tabs>
        <w:numPr>
          <w:ilvl w:val="2"/>
          <w:numId w:val="20"/>
        </w:numPr>
        <w:rPr>
          <w:rFonts w:ascii="Arial" w:cs="Arial" w:eastAsia="Arial" w:hAnsi="Arial"/>
          <w:sz w:val="20"/>
          <w:szCs w:val="20"/>
          <w:color w:val="auto"/>
        </w:rPr>
      </w:pPr>
      <w:r>
        <w:rPr>
          <w:rFonts w:ascii="Arial" w:cs="Arial" w:eastAsia="Arial" w:hAnsi="Arial"/>
          <w:sz w:val="19"/>
          <w:szCs w:val="19"/>
          <w:u w:val="single" w:color="auto"/>
          <w:color w:val="auto"/>
        </w:rPr>
        <w:t>Post-employment Vesting Continuation</w:t>
      </w:r>
      <w:r>
        <w:rPr>
          <w:rFonts w:ascii="Arial" w:cs="Arial" w:eastAsia="Arial" w:hAnsi="Arial"/>
          <w:sz w:val="19"/>
          <w:szCs w:val="19"/>
          <w:color w:val="auto"/>
        </w:rPr>
        <w:t>.</w:t>
      </w:r>
    </w:p>
    <w:p>
      <w:pPr>
        <w:spacing w:after="0" w:line="124" w:lineRule="exact"/>
        <w:rPr>
          <w:rFonts w:ascii="Arial" w:cs="Arial" w:eastAsia="Arial" w:hAnsi="Arial"/>
          <w:sz w:val="20"/>
          <w:szCs w:val="20"/>
          <w:color w:val="auto"/>
        </w:rPr>
      </w:pPr>
    </w:p>
    <w:p>
      <w:pPr>
        <w:ind w:left="640" w:right="240" w:hanging="631"/>
        <w:spacing w:after="0" w:line="266"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as of the date on which your Termination of Service occurs, you have attained (i) age 58 and have at least seven years of Service credit with the Company (as determined by the Committee), including Service with any successor to the Company, or</w:t>
      </w:r>
    </w:p>
    <w:p>
      <w:pPr>
        <w:ind w:left="640" w:right="140" w:firstLine="4"/>
        <w:spacing w:after="0" w:line="253" w:lineRule="auto"/>
        <w:tabs>
          <w:tab w:leader="none" w:pos="902" w:val="left"/>
        </w:tabs>
        <w:numPr>
          <w:ilvl w:val="1"/>
          <w:numId w:val="21"/>
        </w:numPr>
        <w:rPr>
          <w:rFonts w:ascii="Arial" w:cs="Arial" w:eastAsia="Arial" w:hAnsi="Arial"/>
          <w:sz w:val="19"/>
          <w:szCs w:val="19"/>
          <w:color w:val="auto"/>
        </w:rPr>
      </w:pPr>
      <w:r>
        <w:rPr>
          <w:rFonts w:ascii="Arial" w:cs="Arial" w:eastAsia="Arial" w:hAnsi="Arial"/>
          <w:sz w:val="19"/>
          <w:szCs w:val="19"/>
          <w:color w:val="auto"/>
        </w:rPr>
        <w:t xml:space="preserve">age 60 and have at least ten years of Service credit with the Company (as determined by the Committee), including in each case Service with any successor to the Company, then, except as otherwise provided in this Agreement, the then-unvested Stock Units with a Grant Date on or after December 9, 2018 that have not been previously forfeited and that are scheduled to vest during the period immediately following your Termination of Service will become vested and nonforfeitable as provided in the table below, notwithstanding the fact that your Service has terminated, on their scheduled vesting dates set forth in the correlating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other conditions for earning the Stock Units as set forth in the Notice and these Terms are satisfied.</w:t>
      </w:r>
    </w:p>
    <w:p>
      <w:pPr>
        <w:spacing w:after="0" w:line="227" w:lineRule="exact"/>
        <w:rPr>
          <w:sz w:val="20"/>
          <w:szCs w:val="20"/>
          <w:color w:val="auto"/>
        </w:rPr>
      </w:pPr>
    </w:p>
    <w:tbl>
      <w:tblPr>
        <w:tblLayout w:type="fixed"/>
        <w:tblInd w:w="650" w:type="dxa"/>
        <w:tblCellMar>
          <w:top w:w="0" w:type="dxa"/>
          <w:left w:w="0" w:type="dxa"/>
          <w:bottom w:w="0" w:type="dxa"/>
          <w:right w:w="0" w:type="dxa"/>
        </w:tblCellMar>
      </w:tblPr>
      <w:tr>
        <w:trPr>
          <w:trHeight w:val="237"/>
        </w:trPr>
        <w:tc>
          <w:tcPr>
            <w:tcW w:w="38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9"/>
                <w:szCs w:val="19"/>
                <w:b w:val="1"/>
                <w:bCs w:val="1"/>
                <w:color w:val="auto"/>
              </w:rPr>
              <w:t>Age and Years of Service as of</w:t>
            </w:r>
          </w:p>
        </w:tc>
        <w:tc>
          <w:tcPr>
            <w:tcW w:w="64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9"/>
                <w:szCs w:val="19"/>
                <w:b w:val="1"/>
                <w:bCs w:val="1"/>
                <w:color w:val="auto"/>
              </w:rPr>
              <w:t>Nonforfeited, Unvested Stock Units That Will Vest on Their Scheduled</w:t>
            </w:r>
          </w:p>
        </w:tc>
      </w:tr>
      <w:tr>
        <w:trPr>
          <w:trHeight w:val="257"/>
        </w:trPr>
        <w:tc>
          <w:tcPr>
            <w:tcW w:w="38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9"/>
                <w:szCs w:val="19"/>
                <w:b w:val="1"/>
                <w:bCs w:val="1"/>
                <w:color w:val="auto"/>
              </w:rPr>
              <w:t>Termination of Service</w:t>
            </w:r>
          </w:p>
        </w:tc>
        <w:tc>
          <w:tcPr>
            <w:tcW w:w="64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b w:val="1"/>
                <w:bCs w:val="1"/>
                <w:color w:val="auto"/>
              </w:rPr>
              <w:t>Vesting Date Following Termination of Service</w:t>
            </w:r>
          </w:p>
        </w:tc>
      </w:tr>
      <w:tr>
        <w:trPr>
          <w:trHeight w:val="247"/>
        </w:trPr>
        <w:tc>
          <w:tcPr>
            <w:tcW w:w="38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Age 58 with at least 7 but less than 20 years</w:t>
            </w:r>
          </w:p>
        </w:tc>
        <w:tc>
          <w:tcPr>
            <w:tcW w:w="644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Stock Units that will vest in the two tranches vesting in the two calendar</w:t>
            </w:r>
          </w:p>
        </w:tc>
      </w:tr>
      <w:tr>
        <w:trPr>
          <w:trHeight w:val="233"/>
        </w:trPr>
        <w:tc>
          <w:tcPr>
            <w:tcW w:w="38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of Service</w:t>
            </w:r>
          </w:p>
        </w:tc>
        <w:tc>
          <w:tcPr>
            <w:tcW w:w="64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years immediately following Termination of Service</w:t>
            </w:r>
            <w:r>
              <w:rPr>
                <w:rFonts w:ascii="Arial" w:cs="Arial" w:eastAsia="Arial" w:hAnsi="Arial"/>
                <w:sz w:val="15"/>
                <w:szCs w:val="15"/>
                <w:color w:val="auto"/>
              </w:rPr>
              <w:t>1</w:t>
            </w:r>
          </w:p>
        </w:tc>
      </w:tr>
      <w:tr>
        <w:trPr>
          <w:trHeight w:val="247"/>
        </w:trPr>
        <w:tc>
          <w:tcPr>
            <w:tcW w:w="38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Age 58 with 20 or more years of Service</w:t>
            </w:r>
          </w:p>
        </w:tc>
        <w:tc>
          <w:tcPr>
            <w:tcW w:w="644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Stock Units that will vest in the three tranches vesting in the two calendar</w:t>
            </w:r>
          </w:p>
        </w:tc>
      </w:tr>
      <w:tr>
        <w:trPr>
          <w:trHeight w:val="233"/>
        </w:trPr>
        <w:tc>
          <w:tcPr>
            <w:tcW w:w="3820" w:type="dxa"/>
            <w:vAlign w:val="bottom"/>
            <w:tcBorders>
              <w:left w:val="single" w:sz="8" w:color="00000A"/>
              <w:bottom w:val="single" w:sz="8" w:color="00000A"/>
              <w:right w:val="single" w:sz="8" w:color="00000A"/>
            </w:tcBorders>
          </w:tcPr>
          <w:p>
            <w:pPr>
              <w:spacing w:after="0"/>
              <w:rPr>
                <w:sz w:val="20"/>
                <w:szCs w:val="20"/>
                <w:color w:val="auto"/>
              </w:rPr>
            </w:pPr>
          </w:p>
        </w:tc>
        <w:tc>
          <w:tcPr>
            <w:tcW w:w="64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years immediately following Termination of Service</w:t>
            </w:r>
            <w:r>
              <w:rPr>
                <w:rFonts w:ascii="Arial" w:cs="Arial" w:eastAsia="Arial" w:hAnsi="Arial"/>
                <w:sz w:val="15"/>
                <w:szCs w:val="15"/>
                <w:color w:val="auto"/>
              </w:rPr>
              <w:t>2</w:t>
            </w:r>
          </w:p>
        </w:tc>
      </w:tr>
      <w:tr>
        <w:trPr>
          <w:trHeight w:val="264"/>
        </w:trPr>
        <w:tc>
          <w:tcPr>
            <w:tcW w:w="38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Age 60 with 10 or more years of Service</w:t>
            </w:r>
          </w:p>
        </w:tc>
        <w:tc>
          <w:tcPr>
            <w:tcW w:w="64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All Stock Units that will vest following Termination of Service</w:t>
            </w:r>
          </w:p>
        </w:tc>
      </w:tr>
    </w:tbl>
    <w:p>
      <w:pPr>
        <w:spacing w:after="0" w:line="5" w:lineRule="exact"/>
        <w:rPr>
          <w:sz w:val="20"/>
          <w:szCs w:val="20"/>
          <w:color w:val="auto"/>
        </w:rPr>
      </w:pPr>
    </w:p>
    <w:p>
      <w:pPr>
        <w:ind w:left="740" w:right="440"/>
        <w:spacing w:after="0" w:line="241" w:lineRule="auto"/>
        <w:rPr>
          <w:sz w:val="20"/>
          <w:szCs w:val="20"/>
          <w:color w:val="auto"/>
        </w:rPr>
      </w:pPr>
      <w:r>
        <w:rPr>
          <w:rFonts w:ascii="Arial" w:cs="Arial" w:eastAsia="Arial" w:hAnsi="Arial"/>
          <w:sz w:val="14"/>
          <w:szCs w:val="14"/>
          <w:color w:val="auto"/>
        </w:rPr>
        <w:t>1 Solely for the 2018 performance-based restricted stock unit awards “two tranches vesting in the two calendar years” shall be replaced with “26 whole calendar months”.</w:t>
      </w:r>
    </w:p>
    <w:p>
      <w:pPr>
        <w:spacing w:after="0" w:line="1" w:lineRule="exact"/>
        <w:rPr>
          <w:sz w:val="20"/>
          <w:szCs w:val="20"/>
          <w:color w:val="auto"/>
        </w:rPr>
      </w:pPr>
    </w:p>
    <w:p>
      <w:pPr>
        <w:ind w:left="740" w:right="240"/>
        <w:spacing w:after="0" w:line="258" w:lineRule="auto"/>
        <w:rPr>
          <w:sz w:val="20"/>
          <w:szCs w:val="20"/>
          <w:color w:val="auto"/>
        </w:rPr>
      </w:pPr>
      <w:r>
        <w:rPr>
          <w:rFonts w:ascii="Arial" w:cs="Arial" w:eastAsia="Arial" w:hAnsi="Arial"/>
          <w:sz w:val="14"/>
          <w:szCs w:val="14"/>
          <w:color w:val="auto"/>
        </w:rPr>
        <w:t>2 Solely for the 2018 performance-based restricted stock unit awards “three tranches vesting in the three calendar years” shall be replaced with “38 whole calendar months”.</w:t>
      </w:r>
    </w:p>
    <w:p>
      <w:pPr>
        <w:spacing w:after="0" w:line="99" w:lineRule="exact"/>
        <w:rPr>
          <w:sz w:val="20"/>
          <w:szCs w:val="20"/>
          <w:color w:val="auto"/>
        </w:rPr>
      </w:pPr>
    </w:p>
    <w:p>
      <w:pPr>
        <w:ind w:left="640" w:right="340" w:firstLine="1260"/>
        <w:spacing w:after="0" w:line="255" w:lineRule="auto"/>
        <w:tabs>
          <w:tab w:leader="none" w:pos="2286" w:val="left"/>
        </w:tabs>
        <w:numPr>
          <w:ilvl w:val="1"/>
          <w:numId w:val="22"/>
        </w:numPr>
        <w:rPr>
          <w:rFonts w:ascii="Arial" w:cs="Arial" w:eastAsia="Arial" w:hAnsi="Arial"/>
          <w:sz w:val="19"/>
          <w:szCs w:val="19"/>
          <w:color w:val="auto"/>
        </w:rPr>
      </w:pPr>
      <w:r>
        <w:rPr>
          <w:rFonts w:ascii="Arial" w:cs="Arial" w:eastAsia="Arial" w:hAnsi="Arial"/>
          <w:sz w:val="19"/>
          <w:szCs w:val="19"/>
          <w:color w:val="auto"/>
        </w:rPr>
        <w:t>Notwithstanding the provisions of Section 2(c)(i) to the contrary, unless the Committee determines otherwise, your unvested Stock Units and all accrued dividend equivalents with respect to your unvested Stock Units will be immediately forfeited for no consideration, no further vesting will accrue and no shares of Common Stock will be delivered in respect thereof, if you breach any of the restrictive covenants set forth in Section 8.</w:t>
      </w:r>
    </w:p>
    <w:p>
      <w:pPr>
        <w:spacing w:after="0" w:line="108" w:lineRule="exact"/>
        <w:rPr>
          <w:rFonts w:ascii="Arial" w:cs="Arial" w:eastAsia="Arial" w:hAnsi="Arial"/>
          <w:sz w:val="19"/>
          <w:szCs w:val="19"/>
          <w:color w:val="auto"/>
        </w:rPr>
      </w:pPr>
    </w:p>
    <w:p>
      <w:pPr>
        <w:ind w:left="1680" w:hanging="415"/>
        <w:spacing w:after="0"/>
        <w:tabs>
          <w:tab w:leader="none" w:pos="1680" w:val="left"/>
        </w:tabs>
        <w:numPr>
          <w:ilvl w:val="0"/>
          <w:numId w:val="23"/>
        </w:numPr>
        <w:rPr>
          <w:rFonts w:ascii="Arial" w:cs="Arial" w:eastAsia="Arial" w:hAnsi="Arial"/>
          <w:sz w:val="20"/>
          <w:szCs w:val="20"/>
          <w:color w:val="auto"/>
        </w:rPr>
      </w:pPr>
      <w:r>
        <w:rPr>
          <w:rFonts w:ascii="Arial" w:cs="Arial" w:eastAsia="Arial" w:hAnsi="Arial"/>
          <w:sz w:val="19"/>
          <w:szCs w:val="19"/>
          <w:u w:val="single" w:color="auto"/>
          <w:color w:val="auto"/>
        </w:rPr>
        <w:t>Vesting upon Death or Disability</w:t>
      </w:r>
      <w:r>
        <w:rPr>
          <w:rFonts w:ascii="Arial" w:cs="Arial" w:eastAsia="Arial" w:hAnsi="Arial"/>
          <w:sz w:val="19"/>
          <w:szCs w:val="19"/>
          <w:color w:val="auto"/>
        </w:rPr>
        <w:t>. All Stock Units that have not already</w:t>
      </w:r>
    </w:p>
    <w:p>
      <w:pPr>
        <w:spacing w:after="0" w:line="34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320" w:top="819" w:right="239" w:bottom="1440" w:gutter="0" w:footer="0" w:header="0"/>
        </w:sectPr>
      </w:pPr>
    </w:p>
    <w:bookmarkStart w:id="53" w:name="page54"/>
    <w:bookmarkEnd w:id="53"/>
    <w:p>
      <w:pPr>
        <w:spacing w:after="0" w:line="261" w:lineRule="auto"/>
        <w:rPr>
          <w:sz w:val="20"/>
          <w:szCs w:val="20"/>
          <w:color w:val="auto"/>
        </w:rPr>
      </w:pPr>
      <w:r>
        <w:rPr>
          <w:rFonts w:ascii="Arial" w:cs="Arial" w:eastAsia="Arial" w:hAnsi="Arial"/>
          <w:sz w:val="19"/>
          <w:szCs w:val="19"/>
          <w:color w:val="auto"/>
        </w:rPr>
        <w:t>vested or been previously forfeited will become vested and nonforfeitable upon your death or Termination of Service due to your Total and Permanent Disability.</w:t>
      </w:r>
    </w:p>
    <w:p>
      <w:pPr>
        <w:spacing w:after="0" w:line="200" w:lineRule="exact"/>
        <w:rPr>
          <w:sz w:val="20"/>
          <w:szCs w:val="20"/>
          <w:color w:val="auto"/>
        </w:rPr>
      </w:pPr>
    </w:p>
    <w:p>
      <w:pPr>
        <w:ind w:left="80" w:right="120" w:firstLine="1265"/>
        <w:spacing w:after="0" w:line="251" w:lineRule="auto"/>
        <w:tabs>
          <w:tab w:leader="none" w:pos="1758" w:val="left"/>
        </w:tabs>
        <w:numPr>
          <w:ilvl w:val="1"/>
          <w:numId w:val="24"/>
        </w:numPr>
        <w:rPr>
          <w:rFonts w:ascii="Arial" w:cs="Arial" w:eastAsia="Arial" w:hAnsi="Arial"/>
          <w:sz w:val="20"/>
          <w:szCs w:val="20"/>
          <w:color w:val="auto"/>
        </w:rPr>
      </w:pPr>
      <w:r>
        <w:rPr>
          <w:rFonts w:ascii="Arial" w:cs="Arial" w:eastAsia="Arial" w:hAnsi="Arial"/>
          <w:sz w:val="19"/>
          <w:szCs w:val="19"/>
          <w:u w:val="single" w:color="auto"/>
          <w:color w:val="auto"/>
        </w:rPr>
        <w:t>Double-trigger Vesting</w:t>
      </w:r>
      <w:r>
        <w:rPr>
          <w:rFonts w:ascii="Arial" w:cs="Arial" w:eastAsia="Arial" w:hAnsi="Arial"/>
          <w:sz w:val="19"/>
          <w:szCs w:val="19"/>
          <w:color w:val="auto"/>
        </w:rPr>
        <w:t>. If, coincident with or during the 18-month period following the effective date of a Change in Control, your Service is terminated either (i) by the Company or a successor to the Company, other than for Cause, Total and Permanent Disability or death or (ii) by you for Good Reason, then all Stock Units that have not already vested or been previously forfeited or terminated in connection with the Change in Control will become vested and nonforfeitable upon such Termination of Service.</w:t>
      </w:r>
    </w:p>
    <w:p>
      <w:pPr>
        <w:spacing w:after="0" w:line="209" w:lineRule="exact"/>
        <w:rPr>
          <w:rFonts w:ascii="Arial" w:cs="Arial" w:eastAsia="Arial" w:hAnsi="Arial"/>
          <w:sz w:val="20"/>
          <w:szCs w:val="20"/>
          <w:color w:val="auto"/>
        </w:rPr>
      </w:pPr>
    </w:p>
    <w:p>
      <w:pPr>
        <w:ind w:left="1360" w:hanging="636"/>
        <w:spacing w:after="0"/>
        <w:tabs>
          <w:tab w:leader="none" w:pos="1360"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Forfeitures Upon Termination of Service</w:t>
      </w:r>
      <w:r>
        <w:rPr>
          <w:rFonts w:ascii="Arial" w:cs="Arial" w:eastAsia="Arial" w:hAnsi="Arial"/>
          <w:sz w:val="19"/>
          <w:szCs w:val="19"/>
          <w:color w:val="auto"/>
        </w:rPr>
        <w:t>.</w:t>
      </w:r>
    </w:p>
    <w:p>
      <w:pPr>
        <w:spacing w:after="0" w:line="300" w:lineRule="exact"/>
        <w:rPr>
          <w:sz w:val="20"/>
          <w:szCs w:val="20"/>
          <w:color w:val="auto"/>
        </w:rPr>
      </w:pPr>
    </w:p>
    <w:p>
      <w:pPr>
        <w:jc w:val="both"/>
        <w:ind w:left="800" w:right="200" w:hanging="242"/>
        <w:spacing w:after="0" w:line="267" w:lineRule="auto"/>
        <w:rPr>
          <w:sz w:val="20"/>
          <w:szCs w:val="20"/>
          <w:color w:val="auto"/>
        </w:rPr>
      </w:pPr>
      <w:r>
        <w:rPr>
          <w:rFonts w:ascii="Arial" w:cs="Arial" w:eastAsia="Arial" w:hAnsi="Arial"/>
          <w:sz w:val="20"/>
          <w:szCs w:val="20"/>
          <w:color w:val="auto"/>
        </w:rPr>
        <w:t>(a)</w:t>
      </w:r>
      <w:r>
        <w:rPr>
          <w:rFonts w:ascii="Arial" w:cs="Arial" w:eastAsia="Arial" w:hAnsi="Arial"/>
          <w:sz w:val="18"/>
          <w:szCs w:val="18"/>
          <w:u w:val="single" w:color="auto"/>
          <w:color w:val="auto"/>
        </w:rPr>
        <w:t>Termination before Satisfying a Post-employment Vesting Continuation Provision in Section 2(c)(i)</w:t>
      </w:r>
      <w:r>
        <w:rPr>
          <w:rFonts w:ascii="Arial" w:cs="Arial" w:eastAsia="Arial" w:hAnsi="Arial"/>
          <w:sz w:val="18"/>
          <w:szCs w:val="18"/>
          <w:color w:val="auto"/>
        </w:rPr>
        <w:t>. If your Service ceases for</w:t>
      </w:r>
      <w:r>
        <w:rPr>
          <w:rFonts w:ascii="Arial" w:cs="Arial" w:eastAsia="Arial" w:hAnsi="Arial"/>
          <w:sz w:val="20"/>
          <w:szCs w:val="20"/>
          <w:color w:val="auto"/>
        </w:rPr>
        <w:t xml:space="preserve"> </w:t>
      </w:r>
      <w:r>
        <w:rPr>
          <w:rFonts w:ascii="Arial" w:cs="Arial" w:eastAsia="Arial" w:hAnsi="Arial"/>
          <w:sz w:val="18"/>
          <w:szCs w:val="18"/>
          <w:color w:val="auto"/>
        </w:rPr>
        <w:t>any reason before you satisfy any one of the post-employment vesting continuation provisions contained in Section 2(c)(i)all Stock Units that are not then vested and nonforfeitable, after giving effect to the applicable provisions of Section 2 above, will be immediately forfeited upon such cessation for no consideration.</w:t>
      </w:r>
    </w:p>
    <w:p>
      <w:pPr>
        <w:spacing w:after="0" w:line="196" w:lineRule="exact"/>
        <w:rPr>
          <w:sz w:val="20"/>
          <w:szCs w:val="20"/>
          <w:color w:val="auto"/>
        </w:rPr>
      </w:pPr>
    </w:p>
    <w:p>
      <w:pPr>
        <w:ind w:left="80" w:right="200" w:firstLine="1265"/>
        <w:spacing w:after="0" w:line="249" w:lineRule="auto"/>
        <w:tabs>
          <w:tab w:leader="none" w:pos="1758" w:val="left"/>
        </w:tabs>
        <w:numPr>
          <w:ilvl w:val="1"/>
          <w:numId w:val="26"/>
        </w:numPr>
        <w:rPr>
          <w:rFonts w:ascii="Arial" w:cs="Arial" w:eastAsia="Arial" w:hAnsi="Arial"/>
          <w:sz w:val="20"/>
          <w:szCs w:val="20"/>
          <w:color w:val="auto"/>
        </w:rPr>
      </w:pPr>
      <w:r>
        <w:rPr>
          <w:rFonts w:ascii="Arial" w:cs="Arial" w:eastAsia="Arial" w:hAnsi="Arial"/>
          <w:sz w:val="19"/>
          <w:szCs w:val="19"/>
          <w:u w:val="single" w:color="auto"/>
          <w:color w:val="auto"/>
        </w:rPr>
        <w:t>Forfeiture of Accrued Dividend Equivalents</w:t>
      </w:r>
      <w:r>
        <w:rPr>
          <w:rFonts w:ascii="Arial" w:cs="Arial" w:eastAsia="Arial" w:hAnsi="Arial"/>
          <w:sz w:val="19"/>
          <w:szCs w:val="19"/>
          <w:color w:val="auto"/>
        </w:rPr>
        <w:t>. Any accrued dividend equivalents attributable to forfeited Stock Units shall also be forfeited if and when the Stock Units are forfeited.</w:t>
      </w:r>
    </w:p>
    <w:p>
      <w:pPr>
        <w:spacing w:after="0" w:line="209" w:lineRule="exact"/>
        <w:rPr>
          <w:rFonts w:ascii="Arial" w:cs="Arial" w:eastAsia="Arial" w:hAnsi="Arial"/>
          <w:sz w:val="20"/>
          <w:szCs w:val="20"/>
          <w:color w:val="auto"/>
        </w:rPr>
      </w:pPr>
    </w:p>
    <w:p>
      <w:pPr>
        <w:ind w:left="80" w:right="20" w:firstLine="1265"/>
        <w:spacing w:after="0" w:line="250" w:lineRule="auto"/>
        <w:tabs>
          <w:tab w:leader="none" w:pos="1747" w:val="left"/>
        </w:tabs>
        <w:numPr>
          <w:ilvl w:val="1"/>
          <w:numId w:val="26"/>
        </w:numPr>
        <w:rPr>
          <w:rFonts w:ascii="Arial" w:cs="Arial" w:eastAsia="Arial" w:hAnsi="Arial"/>
          <w:sz w:val="20"/>
          <w:szCs w:val="20"/>
          <w:color w:val="auto"/>
        </w:rPr>
      </w:pPr>
      <w:r>
        <w:rPr>
          <w:rFonts w:ascii="Arial" w:cs="Arial" w:eastAsia="Arial" w:hAnsi="Arial"/>
          <w:sz w:val="19"/>
          <w:szCs w:val="19"/>
          <w:u w:val="single" w:color="auto"/>
          <w:color w:val="auto"/>
        </w:rPr>
        <w:t>Consequences of Forfeiture</w:t>
      </w:r>
      <w:r>
        <w:rPr>
          <w:rFonts w:ascii="Arial" w:cs="Arial" w:eastAsia="Arial" w:hAnsi="Arial"/>
          <w:sz w:val="19"/>
          <w:szCs w:val="19"/>
          <w:color w:val="auto"/>
        </w:rPr>
        <w:t>. You acknowledge and agree that upon the forfeiture of any unvested Stock Units, your right to receive dividend equivalents on, and all other rights, title or interest in, to or with respect to, the forfeited Stock Units and the shares into which they otherwise may have been converted shall automatically, without further act, terminate.</w:t>
      </w:r>
    </w:p>
    <w:p>
      <w:pPr>
        <w:spacing w:after="0" w:line="223" w:lineRule="exact"/>
        <w:rPr>
          <w:rFonts w:ascii="Arial" w:cs="Arial" w:eastAsia="Arial" w:hAnsi="Arial"/>
          <w:sz w:val="20"/>
          <w:szCs w:val="20"/>
          <w:color w:val="auto"/>
        </w:rPr>
      </w:pPr>
    </w:p>
    <w:p>
      <w:pPr>
        <w:ind w:left="80" w:right="120" w:firstLine="630"/>
        <w:spacing w:after="0" w:line="286" w:lineRule="auto"/>
        <w:tabs>
          <w:tab w:leader="none" w:pos="1480"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Restrictions on Transfer</w:t>
      </w:r>
      <w:r>
        <w:rPr>
          <w:rFonts w:ascii="Arial" w:cs="Arial" w:eastAsia="Arial" w:hAnsi="Arial"/>
          <w:sz w:val="19"/>
          <w:szCs w:val="19"/>
          <w:color w:val="auto"/>
        </w:rPr>
        <w:t>. Stock Units may not be assigned, transferred, pledged, hypothecated or disposed of in any way, whether by operation of law or otherwise, except by will or the laws of descent and distribution, and Stock Units may not be made subject to execution, attachment or similar process.</w:t>
      </w:r>
    </w:p>
    <w:p>
      <w:pPr>
        <w:spacing w:after="0" w:line="204" w:lineRule="exact"/>
        <w:rPr>
          <w:rFonts w:ascii="Arial" w:cs="Arial" w:eastAsia="Arial" w:hAnsi="Arial"/>
          <w:sz w:val="19"/>
          <w:szCs w:val="19"/>
          <w:color w:val="auto"/>
        </w:rPr>
      </w:pPr>
    </w:p>
    <w:p>
      <w:pPr>
        <w:ind w:left="80" w:right="20" w:firstLine="630"/>
        <w:spacing w:after="0" w:line="282" w:lineRule="auto"/>
        <w:tabs>
          <w:tab w:leader="none" w:pos="1480"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Dividend Equivalent Payments</w:t>
      </w:r>
      <w:r>
        <w:rPr>
          <w:rFonts w:ascii="Arial" w:cs="Arial" w:eastAsia="Arial" w:hAnsi="Arial"/>
          <w:sz w:val="19"/>
          <w:szCs w:val="19"/>
          <w:color w:val="auto"/>
        </w:rPr>
        <w:t xml:space="preserve">. On each dividend payment date for each regular cash dividend payable with respect to the Common Stock, the Company will pay to you in cash an amount equal to the product of (a) the per share cash dividend, multiplied by (b) the number of your Stock Units outstanding on the record date regardless of the vested or nonvested status of the Stock Units;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Notice reflects that your Stock Units are subject to satisfaction of a Performance Threshold then any regular cash dividends that become payable with respect to unvested Stock Units before the Performance Threshold has been determined to have been satisfied will be accrued and held by the Company or an escrow agent appointed by the Committee until a determination has been made by the Executive Compensation Committee as to whether and the extent to which the Performance Threshold has been satisfied. Any such accrued dividends will be paid to you, without interest, within 14 days after the date on which the Executive Compensation Committee determines that, and the extent to which, the Performance Threshold has been satisfied or will be forfeited to the Company if and when the Stock Units to which they relate are forfeited due to a failure to satisfy the Performance Threshold.</w:t>
      </w:r>
    </w:p>
    <w:p>
      <w:pPr>
        <w:spacing w:after="0" w:line="214" w:lineRule="exact"/>
        <w:rPr>
          <w:rFonts w:ascii="Arial" w:cs="Arial" w:eastAsia="Arial" w:hAnsi="Arial"/>
          <w:sz w:val="19"/>
          <w:szCs w:val="19"/>
          <w:color w:val="auto"/>
        </w:rPr>
      </w:pPr>
    </w:p>
    <w:p>
      <w:pPr>
        <w:ind w:left="80" w:right="560" w:firstLine="630"/>
        <w:spacing w:after="0" w:line="297"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Settlement of Stock Units</w:t>
      </w:r>
      <w:r>
        <w:rPr>
          <w:rFonts w:ascii="Arial" w:cs="Arial" w:eastAsia="Arial" w:hAnsi="Arial"/>
          <w:sz w:val="18"/>
          <w:szCs w:val="18"/>
          <w:color w:val="auto"/>
        </w:rPr>
        <w:t>. Your Stock Units will be settled automatically, via the issuance of Common Stock as described herein, when or as soon as practicable, but in all events within 30 days, after they become vested and nonforfeitable in</w:t>
      </w:r>
    </w:p>
    <w:p>
      <w:pPr>
        <w:ind w:left="80"/>
        <w:spacing w:after="0"/>
        <w:rPr>
          <w:rFonts w:ascii="Arial" w:cs="Arial" w:eastAsia="Arial" w:hAnsi="Arial"/>
          <w:sz w:val="18"/>
          <w:szCs w:val="18"/>
          <w:color w:val="auto"/>
        </w:rPr>
      </w:pPr>
      <w:r>
        <w:rPr>
          <w:rFonts w:ascii="Arial" w:cs="Arial" w:eastAsia="Arial" w:hAnsi="Arial"/>
          <w:sz w:val="19"/>
          <w:szCs w:val="19"/>
          <w:color w:val="auto"/>
        </w:rPr>
        <w:t>accordance with</w:t>
      </w:r>
    </w:p>
    <w:p>
      <w:pPr>
        <w:spacing w:after="0" w:line="24" w:lineRule="exact"/>
        <w:rPr>
          <w:rFonts w:ascii="Arial" w:cs="Arial" w:eastAsia="Arial" w:hAnsi="Arial"/>
          <w:sz w:val="18"/>
          <w:szCs w:val="18"/>
          <w:color w:val="auto"/>
        </w:rPr>
      </w:pPr>
    </w:p>
    <w:p>
      <w:pPr>
        <w:ind w:left="80" w:right="280"/>
        <w:spacing w:after="0" w:line="242" w:lineRule="auto"/>
        <w:rPr>
          <w:rFonts w:ascii="Arial" w:cs="Arial" w:eastAsia="Arial" w:hAnsi="Arial"/>
          <w:sz w:val="18"/>
          <w:szCs w:val="18"/>
          <w:color w:val="auto"/>
        </w:rPr>
      </w:pPr>
      <w:r>
        <w:rPr>
          <w:rFonts w:ascii="Arial" w:cs="Arial" w:eastAsia="Arial" w:hAnsi="Arial"/>
          <w:sz w:val="19"/>
          <w:szCs w:val="19"/>
          <w:color w:val="auto"/>
        </w:rPr>
        <w:t>Section 2 or Section 9, as applicable. You may not, directly or indirectly, designate the calendar year in which such settlement will be made. You are not required to make any monetary payment (other than applicable tax withholding, if required) as a condition to settlement of the Stock Units.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17" w:right="239" w:bottom="1440" w:gutter="0" w:footer="0" w:header="0"/>
        </w:sectPr>
      </w:pPr>
    </w:p>
    <w:bookmarkStart w:id="54" w:name="page55"/>
    <w:bookmarkEnd w:id="54"/>
    <w:p>
      <w:pPr>
        <w:ind w:right="140"/>
        <w:spacing w:after="0"/>
        <w:rPr>
          <w:sz w:val="20"/>
          <w:szCs w:val="20"/>
          <w:color w:val="auto"/>
        </w:rPr>
      </w:pPr>
      <w:r>
        <w:rPr>
          <w:rFonts w:ascii="Arial" w:cs="Arial" w:eastAsia="Arial" w:hAnsi="Arial"/>
          <w:sz w:val="19"/>
          <w:szCs w:val="19"/>
          <w:color w:val="auto"/>
        </w:rPr>
        <w:t>The Company will issue to you, in settlement of your Stock Units, the number of whole shares of Common Stock that equals the number of whole Stock Units that vested, and the vested Stock Units will cease to be outstanding upon the issuance of those shares. Unless you request the Company to deliver a share certificate to you, or deliver shares electronically or in certificate form to your designated broker, bank or nominee on your behalf, the Company will retain the shares in uncertificated book entry form.</w:t>
      </w:r>
    </w:p>
    <w:p>
      <w:pPr>
        <w:spacing w:after="0" w:line="206" w:lineRule="exact"/>
        <w:rPr>
          <w:sz w:val="20"/>
          <w:szCs w:val="20"/>
          <w:color w:val="auto"/>
        </w:rPr>
      </w:pPr>
    </w:p>
    <w:p>
      <w:pPr>
        <w:ind w:left="1280" w:hanging="636"/>
        <w:spacing w:after="0"/>
        <w:tabs>
          <w:tab w:leader="none" w:pos="128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ind w:firstLine="1265"/>
        <w:spacing w:after="0" w:line="251" w:lineRule="auto"/>
        <w:tabs>
          <w:tab w:leader="none" w:pos="1678" w:val="left"/>
        </w:tabs>
        <w:numPr>
          <w:ilvl w:val="1"/>
          <w:numId w:val="28"/>
        </w:numPr>
        <w:rPr>
          <w:rFonts w:ascii="Arial" w:cs="Arial" w:eastAsia="Arial" w:hAnsi="Arial"/>
          <w:sz w:val="20"/>
          <w:szCs w:val="20"/>
          <w:color w:val="auto"/>
        </w:rPr>
      </w:pPr>
      <w:r>
        <w:rPr>
          <w:rFonts w:ascii="Arial" w:cs="Arial" w:eastAsia="Arial" w:hAnsi="Arial"/>
          <w:sz w:val="19"/>
          <w:szCs w:val="19"/>
          <w:u w:val="single" w:color="auto"/>
          <w:color w:val="auto"/>
        </w:rPr>
        <w:t>General Authority to Withhold</w:t>
      </w:r>
      <w:r>
        <w:rPr>
          <w:rFonts w:ascii="Arial" w:cs="Arial" w:eastAsia="Arial" w:hAnsi="Arial"/>
          <w:sz w:val="19"/>
          <w:szCs w:val="19"/>
          <w:color w:val="auto"/>
        </w:rPr>
        <w:t xml:space="preserve">. By accepting the Notice correlating with these Terms, you agree to make adequate provision for foreign (non-United States), federal, state and local taxes and social insurance contributions required by law to be withheld, if any, that arise in connection with the Stock Units. The Company shall have the right to deduct from any compensation or any other payment of any kind due you (including withholding the issuance or delivery of shares of Common Stock) the amount of any foreign (non-United States), federal, state or local taxes and social insurance contributions required by law to be withheld as a result of the vesting or settlement of the Stock Units, in whole or in part, or as otherwise may be required by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value of the shares of Common Stock withheld may not exceed, by more than a fractional share, the statutory minimum withholding amount required by law. In lieu of such deduction, the Company may require you to make a cash payment to the Company equal to the amount required to be withheld. If you do not make such payment when requested, the Company may refuse to issue any Common Stock or deliver any stock certificate under this Agreement or otherwise release for transfer any such shares until arrangements satisfactory to the Company for such payment have been made.</w:t>
      </w:r>
    </w:p>
    <w:p>
      <w:pPr>
        <w:spacing w:after="0" w:line="216" w:lineRule="exact"/>
        <w:rPr>
          <w:rFonts w:ascii="Arial" w:cs="Arial" w:eastAsia="Arial" w:hAnsi="Arial"/>
          <w:sz w:val="20"/>
          <w:szCs w:val="20"/>
          <w:color w:val="auto"/>
        </w:rPr>
      </w:pPr>
    </w:p>
    <w:p>
      <w:pPr>
        <w:ind w:right="260" w:firstLine="1265"/>
        <w:spacing w:after="0" w:line="251" w:lineRule="auto"/>
        <w:tabs>
          <w:tab w:leader="none" w:pos="1678" w:val="left"/>
        </w:tabs>
        <w:numPr>
          <w:ilvl w:val="1"/>
          <w:numId w:val="28"/>
        </w:numPr>
        <w:rPr>
          <w:rFonts w:ascii="Arial" w:cs="Arial" w:eastAsia="Arial" w:hAnsi="Arial"/>
          <w:sz w:val="20"/>
          <w:szCs w:val="20"/>
          <w:color w:val="auto"/>
        </w:rPr>
      </w:pPr>
      <w:r>
        <w:rPr>
          <w:rFonts w:ascii="Arial" w:cs="Arial" w:eastAsia="Arial" w:hAnsi="Arial"/>
          <w:sz w:val="19"/>
          <w:szCs w:val="19"/>
          <w:u w:val="single" w:color="auto"/>
          <w:color w:val="auto"/>
        </w:rPr>
        <w:t>Withholding Taxes Satisfied with Shares of Common Stock</w:t>
      </w:r>
      <w:r>
        <w:rPr>
          <w:rFonts w:ascii="Arial" w:cs="Arial" w:eastAsia="Arial" w:hAnsi="Arial"/>
          <w:sz w:val="19"/>
          <w:szCs w:val="19"/>
          <w:color w:val="auto"/>
        </w:rPr>
        <w:t>. The Company may, in its sole discretion, permit or require you to satisfy, in whole or in part, any tax withholding or social insurance contribution obligation that may arise in connection with the Stock Units either by having the Company withhold from the shares to be issued upon vesting that number of shares, or by delivering to the Company already-owned shares, in either case having a fair market value equal to no more than the amount necessary to satisfy the statutory minimum withholding amount due.</w:t>
      </w:r>
    </w:p>
    <w:p>
      <w:pPr>
        <w:spacing w:after="0" w:line="209" w:lineRule="exact"/>
        <w:rPr>
          <w:rFonts w:ascii="Arial" w:cs="Arial" w:eastAsia="Arial" w:hAnsi="Arial"/>
          <w:sz w:val="20"/>
          <w:szCs w:val="20"/>
          <w:color w:val="auto"/>
        </w:rPr>
      </w:pPr>
    </w:p>
    <w:p>
      <w:pPr>
        <w:ind w:left="1280" w:hanging="636"/>
        <w:spacing w:after="0"/>
        <w:tabs>
          <w:tab w:leader="none" w:pos="128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Restrictive Covenants</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jc w:val="both"/>
        <w:ind w:right="160" w:firstLine="1265"/>
        <w:spacing w:after="0" w:line="250" w:lineRule="auto"/>
        <w:tabs>
          <w:tab w:leader="none" w:pos="1678" w:val="left"/>
        </w:tabs>
        <w:numPr>
          <w:ilvl w:val="1"/>
          <w:numId w:val="28"/>
        </w:numPr>
        <w:rPr>
          <w:rFonts w:ascii="Arial" w:cs="Arial" w:eastAsia="Arial" w:hAnsi="Arial"/>
          <w:sz w:val="20"/>
          <w:szCs w:val="20"/>
          <w:color w:val="auto"/>
        </w:rPr>
      </w:pPr>
      <w:r>
        <w:rPr>
          <w:rFonts w:ascii="Arial" w:cs="Arial" w:eastAsia="Arial" w:hAnsi="Arial"/>
          <w:sz w:val="19"/>
          <w:szCs w:val="19"/>
          <w:u w:val="single" w:color="auto"/>
          <w:color w:val="auto"/>
        </w:rPr>
        <w:t>Termination of Vesting</w:t>
      </w:r>
      <w:r>
        <w:rPr>
          <w:rFonts w:ascii="Arial" w:cs="Arial" w:eastAsia="Arial" w:hAnsi="Arial"/>
          <w:sz w:val="19"/>
          <w:szCs w:val="19"/>
          <w:color w:val="auto"/>
        </w:rPr>
        <w:t>. Notwithstanding anything in Section 2 or Section 3 to the contrary, unless the Committee determines otherwise, upon the occurrence of any Prohibited Action set forth in Section 8(b), the following shall occur with respect to your Stock Units: (i) no further Stock Units will become vested and (ii) Stock Units that are not then vested and nonforfeitable will be immediately forfeited for no consideration.</w:t>
      </w:r>
    </w:p>
    <w:p>
      <w:pPr>
        <w:spacing w:after="0" w:line="190" w:lineRule="exact"/>
        <w:rPr>
          <w:rFonts w:ascii="Arial" w:cs="Arial" w:eastAsia="Arial" w:hAnsi="Arial"/>
          <w:sz w:val="20"/>
          <w:szCs w:val="20"/>
          <w:color w:val="auto"/>
        </w:rPr>
      </w:pPr>
    </w:p>
    <w:p>
      <w:pPr>
        <w:ind w:firstLine="1265"/>
        <w:spacing w:after="0" w:line="262" w:lineRule="auto"/>
        <w:tabs>
          <w:tab w:leader="none" w:pos="1678" w:val="left"/>
        </w:tabs>
        <w:numPr>
          <w:ilvl w:val="1"/>
          <w:numId w:val="28"/>
        </w:numPr>
        <w:rPr>
          <w:rFonts w:ascii="Arial" w:cs="Arial" w:eastAsia="Arial" w:hAnsi="Arial"/>
          <w:sz w:val="20"/>
          <w:szCs w:val="20"/>
          <w:color w:val="auto"/>
        </w:rPr>
      </w:pPr>
      <w:r>
        <w:rPr>
          <w:rFonts w:ascii="Arial" w:cs="Arial" w:eastAsia="Arial" w:hAnsi="Arial"/>
          <w:sz w:val="19"/>
          <w:szCs w:val="19"/>
          <w:u w:val="single" w:color="auto"/>
          <w:color w:val="auto"/>
        </w:rPr>
        <w:t>Prohibited Actions</w:t>
      </w:r>
      <w:r>
        <w:rPr>
          <w:rFonts w:ascii="Arial" w:cs="Arial" w:eastAsia="Arial" w:hAnsi="Arial"/>
          <w:sz w:val="19"/>
          <w:szCs w:val="19"/>
          <w:color w:val="auto"/>
        </w:rPr>
        <w:t xml:space="preserve">. The following actions are considered </w:t>
      </w:r>
      <w:r>
        <w:rPr>
          <w:rFonts w:ascii="Arial" w:cs="Arial" w:eastAsia="Arial" w:hAnsi="Arial"/>
          <w:sz w:val="19"/>
          <w:szCs w:val="19"/>
          <w:b w:val="1"/>
          <w:bCs w:val="1"/>
          <w:i w:val="1"/>
          <w:iCs w:val="1"/>
          <w:color w:val="auto"/>
        </w:rPr>
        <w:t>Prohibited Actions</w:t>
      </w:r>
      <w:r>
        <w:rPr>
          <w:rFonts w:ascii="Arial" w:cs="Arial" w:eastAsia="Arial" w:hAnsi="Arial"/>
          <w:sz w:val="19"/>
          <w:szCs w:val="19"/>
          <w:color w:val="auto"/>
        </w:rPr>
        <w:t xml:space="preserve"> and subject to the consequences set forth in Section 8(a) above, whether engaged in by you directly or indirectly, either as an employee, employer, consultant, or in any other capacity: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617" w:right="339" w:bottom="1440" w:gutter="0" w:footer="0" w:header="0"/>
        </w:sectPr>
      </w:pPr>
    </w:p>
    <w:bookmarkStart w:id="55" w:name="page56"/>
    <w:bookmarkEnd w:id="55"/>
    <w:p>
      <w:pPr>
        <w:ind w:left="640" w:right="540" w:firstLine="1260"/>
        <w:spacing w:after="0" w:line="269" w:lineRule="auto"/>
        <w:tabs>
          <w:tab w:leader="none" w:pos="2244" w:val="left"/>
        </w:tabs>
        <w:numPr>
          <w:ilvl w:val="2"/>
          <w:numId w:val="29"/>
        </w:numPr>
        <w:rPr>
          <w:rFonts w:ascii="Arial" w:cs="Arial" w:eastAsia="Arial" w:hAnsi="Arial"/>
          <w:sz w:val="19"/>
          <w:szCs w:val="19"/>
          <w:color w:val="auto"/>
        </w:rPr>
      </w:pPr>
      <w:r>
        <w:rPr>
          <w:rFonts w:ascii="Arial" w:cs="Arial" w:eastAsia="Arial" w:hAnsi="Arial"/>
          <w:sz w:val="19"/>
          <w:szCs w:val="19"/>
          <w:color w:val="auto"/>
        </w:rPr>
        <w:t>engaging in any Competing Business. “</w:t>
      </w:r>
      <w:r>
        <w:rPr>
          <w:rFonts w:ascii="Arial" w:cs="Arial" w:eastAsia="Arial" w:hAnsi="Arial"/>
          <w:sz w:val="19"/>
          <w:szCs w:val="19"/>
          <w:b w:val="1"/>
          <w:bCs w:val="1"/>
          <w:i w:val="1"/>
          <w:iCs w:val="1"/>
          <w:color w:val="auto"/>
        </w:rPr>
        <w:t>Competing Business</w:t>
      </w:r>
      <w:r>
        <w:rPr>
          <w:rFonts w:ascii="Arial" w:cs="Arial" w:eastAsia="Arial" w:hAnsi="Arial"/>
          <w:sz w:val="19"/>
          <w:szCs w:val="19"/>
          <w:color w:val="auto"/>
        </w:rPr>
        <w:t>” shall be defined as the business of investment advisory services to individual and/or institutional investors, retirement plan services, discount brokerage, trust services, and any other business that is competitive with the business activities of the Company;</w:t>
      </w:r>
    </w:p>
    <w:p>
      <w:pPr>
        <w:spacing w:after="0" w:line="192" w:lineRule="exact"/>
        <w:rPr>
          <w:rFonts w:ascii="Arial" w:cs="Arial" w:eastAsia="Arial" w:hAnsi="Arial"/>
          <w:sz w:val="19"/>
          <w:szCs w:val="19"/>
          <w:color w:val="auto"/>
        </w:rPr>
      </w:pPr>
    </w:p>
    <w:p>
      <w:pPr>
        <w:ind w:left="640" w:right="20" w:firstLine="1260"/>
        <w:spacing w:after="0" w:line="270" w:lineRule="auto"/>
        <w:tabs>
          <w:tab w:leader="none" w:pos="2286" w:val="left"/>
        </w:tabs>
        <w:numPr>
          <w:ilvl w:val="2"/>
          <w:numId w:val="29"/>
        </w:numPr>
        <w:rPr>
          <w:rFonts w:ascii="Arial" w:cs="Arial" w:eastAsia="Arial" w:hAnsi="Arial"/>
          <w:sz w:val="18"/>
          <w:szCs w:val="18"/>
          <w:color w:val="auto"/>
        </w:rPr>
      </w:pPr>
      <w:r>
        <w:rPr>
          <w:rFonts w:ascii="Arial" w:cs="Arial" w:eastAsia="Arial" w:hAnsi="Arial"/>
          <w:sz w:val="18"/>
          <w:szCs w:val="18"/>
          <w:color w:val="auto"/>
        </w:rPr>
        <w:t>soliciting, encouraging, or inducing any customers or clients of the Company who were current or prospective customers or clients as of the date on which your Termination of Service occurred, to terminate or reduce his, her or its relationship with the Company or not to proceed with, or enter into, any business relationship with the Company, or otherwise interfering with any such business relationship with the Company, including by encouraging or suggesting any investment management client of the Company (A) to withdraw any funds for which the Company provides investment management or advisory services, or (B) not to engage the Company to provide investment management or advisory services for any funds;</w:t>
      </w:r>
    </w:p>
    <w:p>
      <w:pPr>
        <w:spacing w:after="0" w:line="196" w:lineRule="exact"/>
        <w:rPr>
          <w:rFonts w:ascii="Arial" w:cs="Arial" w:eastAsia="Arial" w:hAnsi="Arial"/>
          <w:sz w:val="18"/>
          <w:szCs w:val="18"/>
          <w:color w:val="auto"/>
        </w:rPr>
      </w:pPr>
    </w:p>
    <w:p>
      <w:pPr>
        <w:ind w:left="640" w:right="260" w:firstLine="1260"/>
        <w:spacing w:after="0" w:line="255" w:lineRule="auto"/>
        <w:tabs>
          <w:tab w:leader="none" w:pos="2328" w:val="left"/>
        </w:tabs>
        <w:numPr>
          <w:ilvl w:val="2"/>
          <w:numId w:val="29"/>
        </w:numPr>
        <w:rPr>
          <w:rFonts w:ascii="Arial" w:cs="Arial" w:eastAsia="Arial" w:hAnsi="Arial"/>
          <w:sz w:val="19"/>
          <w:szCs w:val="19"/>
          <w:color w:val="auto"/>
        </w:rPr>
      </w:pPr>
      <w:r>
        <w:rPr>
          <w:rFonts w:ascii="Arial" w:cs="Arial" w:eastAsia="Arial" w:hAnsi="Arial"/>
          <w:sz w:val="19"/>
          <w:szCs w:val="19"/>
          <w:color w:val="auto"/>
        </w:rPr>
        <w:t>(A) soliciting, encouraging, or inducing any officer, director, employee, agent, partner, consultant or independent contractor of the Company to terminate, modify or reduce his or her relationship with the Company, (B) hiring, employing, supervising, managing or engaging any such individual, or (C) otherwise attempting to disrupt or interfere with the Company’s relationship with any such individual;</w:t>
      </w:r>
    </w:p>
    <w:p>
      <w:pPr>
        <w:spacing w:after="0" w:line="183" w:lineRule="exact"/>
        <w:rPr>
          <w:rFonts w:ascii="Arial" w:cs="Arial" w:eastAsia="Arial" w:hAnsi="Arial"/>
          <w:sz w:val="19"/>
          <w:szCs w:val="19"/>
          <w:color w:val="auto"/>
        </w:rPr>
      </w:pPr>
    </w:p>
    <w:p>
      <w:pPr>
        <w:ind w:left="640" w:right="100" w:firstLine="1260"/>
        <w:spacing w:after="0" w:line="258" w:lineRule="auto"/>
        <w:tabs>
          <w:tab w:leader="none" w:pos="2338" w:val="left"/>
        </w:tabs>
        <w:numPr>
          <w:ilvl w:val="2"/>
          <w:numId w:val="29"/>
        </w:numPr>
        <w:rPr>
          <w:rFonts w:ascii="Arial" w:cs="Arial" w:eastAsia="Arial" w:hAnsi="Arial"/>
          <w:sz w:val="19"/>
          <w:szCs w:val="19"/>
          <w:color w:val="auto"/>
        </w:rPr>
      </w:pPr>
      <w:r>
        <w:rPr>
          <w:rFonts w:ascii="Arial" w:cs="Arial" w:eastAsia="Arial" w:hAnsi="Arial"/>
          <w:sz w:val="19"/>
          <w:szCs w:val="19"/>
          <w:color w:val="auto"/>
        </w:rPr>
        <w:t>using, reproducing, or disclosing any Confidential Information of the Company.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shall be defined as client and customer lists, information with respect to the name, address, contact persons or requirements of any customer or client, other information relating to clients and prospective clients from whom the Company has solicited business or plans to solicit business, information relating to business plans and business that is conducted or anticipated to be conducted, research, technology, computer software, processes, products, pricing, costs, business methods, business objectives or strategies, marketing plans and finances;</w:t>
      </w:r>
    </w:p>
    <w:p>
      <w:pPr>
        <w:spacing w:after="0" w:line="186" w:lineRule="exact"/>
        <w:rPr>
          <w:rFonts w:ascii="Arial" w:cs="Arial" w:eastAsia="Arial" w:hAnsi="Arial"/>
          <w:sz w:val="19"/>
          <w:szCs w:val="19"/>
          <w:color w:val="auto"/>
        </w:rPr>
      </w:pPr>
    </w:p>
    <w:p>
      <w:pPr>
        <w:ind w:left="640" w:right="120" w:firstLine="1260"/>
        <w:spacing w:after="0" w:line="263" w:lineRule="auto"/>
        <w:tabs>
          <w:tab w:leader="none" w:pos="2296" w:val="left"/>
        </w:tabs>
        <w:numPr>
          <w:ilvl w:val="2"/>
          <w:numId w:val="29"/>
        </w:numPr>
        <w:rPr>
          <w:rFonts w:ascii="Arial" w:cs="Arial" w:eastAsia="Arial" w:hAnsi="Arial"/>
          <w:sz w:val="19"/>
          <w:szCs w:val="19"/>
          <w:color w:val="auto"/>
        </w:rPr>
      </w:pPr>
      <w:r>
        <w:rPr>
          <w:rFonts w:ascii="Arial" w:cs="Arial" w:eastAsia="Arial" w:hAnsi="Arial"/>
          <w:sz w:val="19"/>
          <w:szCs w:val="19"/>
          <w:color w:val="auto"/>
        </w:rPr>
        <w:t xml:space="preserve">pleading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(or a similar plea) to, or being convicted of, (A) a felony (or its equivalent in a non-United States jurisdiction) or</w:t>
      </w:r>
    </w:p>
    <w:p>
      <w:pPr>
        <w:ind w:left="640" w:right="100" w:firstLine="4"/>
        <w:spacing w:after="0" w:line="256" w:lineRule="auto"/>
        <w:tabs>
          <w:tab w:leader="none" w:pos="945" w:val="left"/>
        </w:tabs>
        <w:numPr>
          <w:ilvl w:val="0"/>
          <w:numId w:val="30"/>
        </w:numPr>
        <w:rPr>
          <w:rFonts w:ascii="Arial" w:cs="Arial" w:eastAsia="Arial" w:hAnsi="Arial"/>
          <w:sz w:val="19"/>
          <w:szCs w:val="19"/>
          <w:color w:val="auto"/>
        </w:rPr>
      </w:pPr>
      <w:r>
        <w:rPr>
          <w:rFonts w:ascii="Arial" w:cs="Arial" w:eastAsia="Arial" w:hAnsi="Arial"/>
          <w:sz w:val="19"/>
          <w:szCs w:val="19"/>
          <w:color w:val="auto"/>
        </w:rPr>
        <w:t>other conduct of a criminal nature that has or is likely to have a material adverse effect on the reputation or standing in the community of the Company, as determined by the Committee in its sole discretion, or that legally prohibits you from working for the Company;</w:t>
      </w:r>
    </w:p>
    <w:p>
      <w:pPr>
        <w:spacing w:after="0" w:line="205" w:lineRule="exact"/>
        <w:rPr>
          <w:rFonts w:ascii="Arial" w:cs="Arial" w:eastAsia="Arial" w:hAnsi="Arial"/>
          <w:sz w:val="19"/>
          <w:szCs w:val="19"/>
          <w:color w:val="auto"/>
        </w:rPr>
      </w:pPr>
    </w:p>
    <w:p>
      <w:pPr>
        <w:ind w:left="640" w:right="460" w:firstLine="1260"/>
        <w:spacing w:after="0" w:line="261" w:lineRule="auto"/>
        <w:tabs>
          <w:tab w:leader="none" w:pos="2338" w:val="left"/>
        </w:tabs>
        <w:numPr>
          <w:ilvl w:val="2"/>
          <w:numId w:val="30"/>
        </w:numPr>
        <w:rPr>
          <w:rFonts w:ascii="Arial" w:cs="Arial" w:eastAsia="Arial" w:hAnsi="Arial"/>
          <w:sz w:val="19"/>
          <w:szCs w:val="19"/>
          <w:color w:val="auto"/>
        </w:rPr>
      </w:pPr>
      <w:r>
        <w:rPr>
          <w:rFonts w:ascii="Arial" w:cs="Arial" w:eastAsia="Arial" w:hAnsi="Arial"/>
          <w:sz w:val="19"/>
          <w:szCs w:val="19"/>
          <w:color w:val="auto"/>
        </w:rPr>
        <w:t>breaching a regulatory rule that adversely affects your ability to perform your employment duties to the Company in any material respect; and</w:t>
      </w:r>
    </w:p>
    <w:p>
      <w:pPr>
        <w:spacing w:after="0" w:line="200" w:lineRule="exact"/>
        <w:rPr>
          <w:rFonts w:ascii="Arial" w:cs="Arial" w:eastAsia="Arial" w:hAnsi="Arial"/>
          <w:sz w:val="19"/>
          <w:szCs w:val="19"/>
          <w:color w:val="auto"/>
        </w:rPr>
      </w:pPr>
    </w:p>
    <w:p>
      <w:pPr>
        <w:jc w:val="both"/>
        <w:ind w:left="640" w:firstLine="1260"/>
        <w:spacing w:after="0" w:line="256" w:lineRule="auto"/>
        <w:tabs>
          <w:tab w:leader="none" w:pos="2475" w:val="left"/>
        </w:tabs>
        <w:numPr>
          <w:ilvl w:val="2"/>
          <w:numId w:val="30"/>
        </w:numPr>
        <w:rPr>
          <w:rFonts w:ascii="Arial" w:cs="Arial" w:eastAsia="Arial" w:hAnsi="Arial"/>
          <w:sz w:val="19"/>
          <w:szCs w:val="19"/>
          <w:color w:val="auto"/>
        </w:rPr>
      </w:pPr>
      <w:r>
        <w:rPr>
          <w:rFonts w:ascii="Arial" w:cs="Arial" w:eastAsia="Arial" w:hAnsi="Arial"/>
          <w:sz w:val="19"/>
          <w:szCs w:val="19"/>
          <w:color w:val="auto"/>
        </w:rPr>
        <w:t>failing, in any material respect, to (A) perform your employment duties, (B) comply with the applicable policies of the Company, (C) follow reasonable directions received from the Company or (D) comply with covenants contained in any contract with the Company to which you are a party.</w:t>
      </w:r>
    </w:p>
    <w:p>
      <w:pPr>
        <w:spacing w:after="0" w:line="205" w:lineRule="exact"/>
        <w:rPr>
          <w:rFonts w:ascii="Arial" w:cs="Arial" w:eastAsia="Arial" w:hAnsi="Arial"/>
          <w:sz w:val="19"/>
          <w:szCs w:val="19"/>
          <w:color w:val="auto"/>
        </w:rPr>
      </w:pPr>
    </w:p>
    <w:p>
      <w:pPr>
        <w:ind w:right="60" w:firstLine="1265"/>
        <w:spacing w:after="0" w:line="250" w:lineRule="auto"/>
        <w:tabs>
          <w:tab w:leader="none" w:pos="1667" w:val="left"/>
        </w:tabs>
        <w:numPr>
          <w:ilvl w:val="1"/>
          <w:numId w:val="30"/>
        </w:numPr>
        <w:rPr>
          <w:rFonts w:ascii="Arial" w:cs="Arial" w:eastAsia="Arial" w:hAnsi="Arial"/>
          <w:sz w:val="20"/>
          <w:szCs w:val="20"/>
          <w:color w:val="auto"/>
        </w:rPr>
      </w:pPr>
      <w:r>
        <w:rPr>
          <w:rFonts w:ascii="Arial" w:cs="Arial" w:eastAsia="Arial" w:hAnsi="Arial"/>
          <w:sz w:val="19"/>
          <w:szCs w:val="19"/>
          <w:u w:val="single" w:color="auto"/>
          <w:color w:val="auto"/>
        </w:rPr>
        <w:t>Blue Pencil</w:t>
      </w:r>
      <w:r>
        <w:rPr>
          <w:rFonts w:ascii="Arial" w:cs="Arial" w:eastAsia="Arial" w:hAnsi="Arial"/>
          <w:sz w:val="19"/>
          <w:szCs w:val="19"/>
          <w:color w:val="auto"/>
        </w:rPr>
        <w:t>. If any of the provisions or terms of this Section 8 is construed by a court of competent jurisdiction to be invalid or unenforceable, it shall not affect the remainder of this Agreement, which shall be given full force and effect without regard to the invalid provision. Any invalid or unenforceable provision shall be reformed to the maximum</w:t>
      </w:r>
    </w:p>
    <w:p>
      <w:pPr>
        <w:spacing w:after="0" w:line="200" w:lineRule="exact"/>
        <w:rPr>
          <w:sz w:val="20"/>
          <w:szCs w:val="20"/>
          <w:color w:val="auto"/>
        </w:rPr>
      </w:pPr>
    </w:p>
    <w:p>
      <w:pPr>
        <w:spacing w:after="0" w:line="36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320" w:top="1054" w:right="239" w:bottom="1440" w:gutter="0" w:footer="0" w:header="0"/>
        </w:sectPr>
      </w:pPr>
    </w:p>
    <w:bookmarkStart w:id="56" w:name="page57"/>
    <w:bookmarkEnd w:id="56"/>
    <w:p>
      <w:pPr>
        <w:spacing w:after="0"/>
        <w:rPr>
          <w:sz w:val="20"/>
          <w:szCs w:val="20"/>
          <w:color w:val="auto"/>
        </w:rPr>
      </w:pPr>
      <w:r>
        <w:rPr>
          <w:rFonts w:ascii="Arial" w:cs="Arial" w:eastAsia="Arial" w:hAnsi="Arial"/>
          <w:sz w:val="19"/>
          <w:szCs w:val="19"/>
          <w:color w:val="auto"/>
        </w:rPr>
        <w:t>time, geographic and/or customer limitations permitted by the applicable laws, so as to be valid and enforceable.</w:t>
      </w:r>
    </w:p>
    <w:p>
      <w:pPr>
        <w:spacing w:after="0" w:line="214" w:lineRule="exact"/>
        <w:rPr>
          <w:sz w:val="20"/>
          <w:szCs w:val="20"/>
          <w:color w:val="auto"/>
        </w:rPr>
      </w:pPr>
    </w:p>
    <w:p>
      <w:pPr>
        <w:ind w:right="100" w:firstLine="1265"/>
        <w:spacing w:after="0" w:line="250" w:lineRule="auto"/>
        <w:tabs>
          <w:tab w:leader="none" w:pos="1678" w:val="left"/>
        </w:tabs>
        <w:numPr>
          <w:ilvl w:val="2"/>
          <w:numId w:val="31"/>
        </w:numPr>
        <w:rPr>
          <w:rFonts w:ascii="Arial" w:cs="Arial" w:eastAsia="Arial" w:hAnsi="Arial"/>
          <w:sz w:val="20"/>
          <w:szCs w:val="20"/>
          <w:color w:val="auto"/>
        </w:rPr>
      </w:pPr>
      <w:r>
        <w:rPr>
          <w:rFonts w:ascii="Arial" w:cs="Arial" w:eastAsia="Arial" w:hAnsi="Arial"/>
          <w:sz w:val="19"/>
          <w:szCs w:val="19"/>
          <w:u w:val="single" w:color="auto"/>
          <w:color w:val="auto"/>
        </w:rPr>
        <w:t>Notification To Company</w:t>
      </w:r>
      <w:r>
        <w:rPr>
          <w:rFonts w:ascii="Arial" w:cs="Arial" w:eastAsia="Arial" w:hAnsi="Arial"/>
          <w:sz w:val="19"/>
          <w:szCs w:val="19"/>
          <w:color w:val="auto"/>
        </w:rPr>
        <w:t>. For as long as you have outstanding unvested Stock Units, you covenant and agree that you will disclose to the Company the identity of any new employer within two business days of being employed or engaged by such new employer, and upon request of the Committee in advance of the settlement of any Stock Unit you will provide to the Company information sufficient to confirm that you have not engaged in any Prohibited Actions.</w:t>
      </w:r>
    </w:p>
    <w:p>
      <w:pPr>
        <w:spacing w:after="0" w:line="212" w:lineRule="exact"/>
        <w:rPr>
          <w:rFonts w:ascii="Arial" w:cs="Arial" w:eastAsia="Arial" w:hAnsi="Arial"/>
          <w:sz w:val="20"/>
          <w:szCs w:val="20"/>
          <w:color w:val="auto"/>
        </w:rPr>
      </w:pPr>
    </w:p>
    <w:p>
      <w:pPr>
        <w:ind w:left="1280" w:hanging="636"/>
        <w:spacing w:after="0"/>
        <w:tabs>
          <w:tab w:leader="none" w:pos="1280"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Adjustments for Corporate Transactions and Other Events</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ind w:right="180" w:firstLine="1265"/>
        <w:spacing w:after="0" w:line="251" w:lineRule="auto"/>
        <w:tabs>
          <w:tab w:leader="none" w:pos="1678" w:val="left"/>
        </w:tabs>
        <w:numPr>
          <w:ilvl w:val="2"/>
          <w:numId w:val="32"/>
        </w:numPr>
        <w:rPr>
          <w:rFonts w:ascii="Arial" w:cs="Arial" w:eastAsia="Arial" w:hAnsi="Arial"/>
          <w:sz w:val="20"/>
          <w:szCs w:val="20"/>
          <w:color w:val="auto"/>
        </w:rPr>
      </w:pPr>
      <w:r>
        <w:rPr>
          <w:rFonts w:ascii="Arial" w:cs="Arial" w:eastAsia="Arial" w:hAnsi="Arial"/>
          <w:sz w:val="19"/>
          <w:szCs w:val="19"/>
          <w:u w:val="single" w:color="auto"/>
          <w:color w:val="auto"/>
        </w:rPr>
        <w:t>Stock Dividend, Stock Split and Reverse Stock Split</w:t>
      </w:r>
      <w:r>
        <w:rPr>
          <w:rFonts w:ascii="Arial" w:cs="Arial" w:eastAsia="Arial" w:hAnsi="Arial"/>
          <w:sz w:val="19"/>
          <w:szCs w:val="19"/>
          <w:color w:val="auto"/>
        </w:rPr>
        <w:t xml:space="preserve">. Upon a stock dividend of, or stock split or reverse stock split affecting, the Common Stock, the number of outstanding Stock Units and the number of Stock Units eligible to vest on each subsequent vesting date under the vesting schedule set forth on the Notice shall, without further action of the Committee, be adjusted to reflect such event;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fractional Stock Units resulting from any such adjustment shall be eliminated. Adjustments under this paragraph will be made by the Committee, whose determination regarding such adjustments will be final, binding and conclusive.</w:t>
      </w:r>
    </w:p>
    <w:p>
      <w:pPr>
        <w:spacing w:after="0" w:line="210" w:lineRule="exact"/>
        <w:rPr>
          <w:rFonts w:ascii="Arial" w:cs="Arial" w:eastAsia="Arial" w:hAnsi="Arial"/>
          <w:sz w:val="20"/>
          <w:szCs w:val="20"/>
          <w:color w:val="auto"/>
        </w:rPr>
      </w:pPr>
    </w:p>
    <w:p>
      <w:pPr>
        <w:ind w:firstLine="1265"/>
        <w:spacing w:after="0" w:line="251" w:lineRule="auto"/>
        <w:tabs>
          <w:tab w:leader="none" w:pos="1678" w:val="left"/>
        </w:tabs>
        <w:numPr>
          <w:ilvl w:val="2"/>
          <w:numId w:val="32"/>
        </w:numPr>
        <w:rPr>
          <w:rFonts w:ascii="Arial" w:cs="Arial" w:eastAsia="Arial" w:hAnsi="Arial"/>
          <w:sz w:val="20"/>
          <w:szCs w:val="20"/>
          <w:color w:val="auto"/>
        </w:rPr>
      </w:pPr>
      <w:r>
        <w:rPr>
          <w:rFonts w:ascii="Arial" w:cs="Arial" w:eastAsia="Arial" w:hAnsi="Arial"/>
          <w:sz w:val="19"/>
          <w:szCs w:val="19"/>
          <w:u w:val="single" w:color="auto"/>
          <w:color w:val="auto"/>
        </w:rPr>
        <w:t>Discretionary Adjustments</w:t>
      </w:r>
      <w:r>
        <w:rPr>
          <w:rFonts w:ascii="Arial" w:cs="Arial" w:eastAsia="Arial" w:hAnsi="Arial"/>
          <w:sz w:val="19"/>
          <w:szCs w:val="19"/>
          <w:color w:val="auto"/>
        </w:rPr>
        <w:t xml:space="preserve">. In the case of a merger, consolidation, stock rights offering, liquidation, statutory share exchange or similar event affecting Price Group, the Committee may make such other adjustments to outstanding Stock Units as it determines to be appropriate and desirable, which adjustments may include, without limitation, (i) the cancellation of outstanding Stock Units in exchange for payments of cash, securities or other property or a combination thereof having an aggregate value equal to the value of such Stock Units, as determined by the Committee in its sole discretion, (ii) the substitution of securities or other property (including, without limitation, cash or other securities of Price Group and securities of entities other than Price Group) for the shares of Common Stock subject to outstanding Stock Units, and (iii) the substitution of equivalent awards, as determined in the sole discretion of the Committee, of the surviving or successor entity or a parent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all adjustments shall be made in compliance with the requirements of Section 409A of the Code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Committee shall not have the authority to make adjustments pursuant to this paragraph to the extent that the existence of such authority would cause the Stock Units to fail to comply with Section 409A of the Code.</w:t>
      </w:r>
    </w:p>
    <w:p>
      <w:pPr>
        <w:spacing w:after="0" w:line="216" w:lineRule="exact"/>
        <w:rPr>
          <w:rFonts w:ascii="Arial" w:cs="Arial" w:eastAsia="Arial" w:hAnsi="Arial"/>
          <w:sz w:val="20"/>
          <w:szCs w:val="20"/>
          <w:color w:val="auto"/>
        </w:rPr>
      </w:pPr>
    </w:p>
    <w:p>
      <w:pPr>
        <w:ind w:right="140" w:firstLine="1265"/>
        <w:spacing w:after="0" w:line="249" w:lineRule="auto"/>
        <w:tabs>
          <w:tab w:leader="none" w:pos="1667" w:val="left"/>
        </w:tabs>
        <w:numPr>
          <w:ilvl w:val="2"/>
          <w:numId w:val="32"/>
        </w:numPr>
        <w:rPr>
          <w:rFonts w:ascii="Arial" w:cs="Arial" w:eastAsia="Arial" w:hAnsi="Arial"/>
          <w:sz w:val="20"/>
          <w:szCs w:val="20"/>
          <w:color w:val="auto"/>
        </w:rPr>
      </w:pPr>
      <w:r>
        <w:rPr>
          <w:rFonts w:ascii="Arial" w:cs="Arial" w:eastAsia="Arial" w:hAnsi="Arial"/>
          <w:sz w:val="19"/>
          <w:szCs w:val="19"/>
          <w:u w:val="single" w:color="auto"/>
          <w:color w:val="auto"/>
        </w:rPr>
        <w:t>Dissolution or Liquidation</w:t>
      </w:r>
      <w:r>
        <w:rPr>
          <w:rFonts w:ascii="Arial" w:cs="Arial" w:eastAsia="Arial" w:hAnsi="Arial"/>
          <w:sz w:val="19"/>
          <w:szCs w:val="19"/>
          <w:color w:val="auto"/>
        </w:rPr>
        <w:t>. Unless the Committee determines otherwise, all of the Stock Units shall terminate upon the dissolution or liquidation of Price Group.</w:t>
      </w:r>
    </w:p>
    <w:p>
      <w:pPr>
        <w:spacing w:after="0" w:line="209" w:lineRule="exact"/>
        <w:rPr>
          <w:rFonts w:ascii="Arial" w:cs="Arial" w:eastAsia="Arial" w:hAnsi="Arial"/>
          <w:sz w:val="20"/>
          <w:szCs w:val="20"/>
          <w:color w:val="auto"/>
        </w:rPr>
      </w:pPr>
    </w:p>
    <w:p>
      <w:pPr>
        <w:ind w:right="140" w:firstLine="1265"/>
        <w:spacing w:after="0" w:line="250" w:lineRule="auto"/>
        <w:tabs>
          <w:tab w:leader="none" w:pos="1678" w:val="left"/>
        </w:tabs>
        <w:numPr>
          <w:ilvl w:val="2"/>
          <w:numId w:val="32"/>
        </w:numPr>
        <w:rPr>
          <w:rFonts w:ascii="Arial" w:cs="Arial" w:eastAsia="Arial" w:hAnsi="Arial"/>
          <w:sz w:val="20"/>
          <w:szCs w:val="20"/>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Notwithstanding anything in this Agreement or the Plan to the contrary, in the event that a Change in Control occurs, outstanding Stock Units will terminate upon the effective time of such Change in Control unless provision is made in connection with the transaction for the continuation or assumption of such Stock Units by, or for the substitution of equivalent units, as determined in the sole discretion of the Committee, of, the surviving or successor entity or a parent thereof. In the event of such termination, (i) the outstanding Stock Units that will terminate upon the effective time of the Change in Control shall, immediately before the effective time of the Change in Control, become fully vested, and</w:t>
      </w:r>
    </w:p>
    <w:p>
      <w:pPr>
        <w:ind w:left="280" w:hanging="271"/>
        <w:spacing w:after="0"/>
        <w:tabs>
          <w:tab w:leader="none" w:pos="2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Committee may take any of the actions set forth in Section 9(b) with respect to any or all</w:t>
      </w:r>
    </w:p>
    <w:p>
      <w:pPr>
        <w:spacing w:after="0" w:line="200" w:lineRule="exact"/>
        <w:rPr>
          <w:sz w:val="20"/>
          <w:szCs w:val="20"/>
          <w:color w:val="auto"/>
        </w:rPr>
      </w:pP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320" w:top="1076" w:right="259" w:bottom="1440" w:gutter="0" w:footer="0" w:header="0"/>
        </w:sectPr>
      </w:pPr>
    </w:p>
    <w:bookmarkStart w:id="57" w:name="page58"/>
    <w:bookmarkEnd w:id="57"/>
    <w:p>
      <w:pPr>
        <w:ind w:right="60"/>
        <w:spacing w:after="0" w:line="246" w:lineRule="auto"/>
        <w:rPr>
          <w:sz w:val="20"/>
          <w:szCs w:val="20"/>
          <w:color w:val="auto"/>
        </w:rPr>
      </w:pPr>
      <w:r>
        <w:rPr>
          <w:rFonts w:ascii="Arial" w:cs="Arial" w:eastAsia="Arial" w:hAnsi="Arial"/>
          <w:sz w:val="19"/>
          <w:szCs w:val="19"/>
          <w:color w:val="auto"/>
        </w:rPr>
        <w:t>of the Stock Units. Implementation of the provisions of the immediately foregoing sentence shall be conditioned upon consummation of the Change in Control.</w:t>
      </w:r>
    </w:p>
    <w:p>
      <w:pPr>
        <w:spacing w:after="0" w:line="214" w:lineRule="exact"/>
        <w:rPr>
          <w:sz w:val="20"/>
          <w:szCs w:val="20"/>
          <w:color w:val="auto"/>
        </w:rPr>
      </w:pPr>
    </w:p>
    <w:p>
      <w:pPr>
        <w:ind w:right="60" w:firstLine="630"/>
        <w:spacing w:after="0" w:line="284" w:lineRule="auto"/>
        <w:tabs>
          <w:tab w:leader="none" w:pos="1505"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Non-Guarantee of Employment</w:t>
      </w:r>
      <w:r>
        <w:rPr>
          <w:rFonts w:ascii="Arial" w:cs="Arial" w:eastAsia="Arial" w:hAnsi="Arial"/>
          <w:sz w:val="19"/>
          <w:szCs w:val="19"/>
          <w:color w:val="auto"/>
        </w:rPr>
        <w:t>. Nothing in the Plan or this Agreement shall alter your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subject to applicable law, and whether or not such discharge results in the forfeiture of any Stock Units or any other adverse effect on your interests under the Plan.</w:t>
      </w:r>
    </w:p>
    <w:p>
      <w:pPr>
        <w:spacing w:after="0" w:line="206" w:lineRule="exact"/>
        <w:rPr>
          <w:rFonts w:ascii="Arial" w:cs="Arial" w:eastAsia="Arial" w:hAnsi="Arial"/>
          <w:sz w:val="19"/>
          <w:szCs w:val="19"/>
          <w:color w:val="auto"/>
        </w:rPr>
      </w:pPr>
    </w:p>
    <w:p>
      <w:pPr>
        <w:jc w:val="both"/>
        <w:ind w:firstLine="630"/>
        <w:spacing w:after="0" w:line="309" w:lineRule="auto"/>
        <w:tabs>
          <w:tab w:leader="none" w:pos="150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Except as otherwise provided in this Agreement with respect to dividend equivalent payments, neither you nor any other person claiming through you shall have any rights with respect to any shares of Common Stock subject to the Stock Units, including without limitation, any voting rights, unless and until such shares are duly issued and delivered to you.</w:t>
      </w:r>
    </w:p>
    <w:p>
      <w:pPr>
        <w:spacing w:after="0" w:line="186" w:lineRule="exact"/>
        <w:rPr>
          <w:rFonts w:ascii="Arial" w:cs="Arial" w:eastAsia="Arial" w:hAnsi="Arial"/>
          <w:sz w:val="18"/>
          <w:szCs w:val="18"/>
          <w:color w:val="auto"/>
        </w:rPr>
      </w:pPr>
    </w:p>
    <w:p>
      <w:pPr>
        <w:ind w:firstLine="630"/>
        <w:spacing w:after="0" w:line="283" w:lineRule="auto"/>
        <w:tabs>
          <w:tab w:leader="none" w:pos="1505"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The Company’s Rights</w:t>
      </w:r>
      <w:r>
        <w:rPr>
          <w:rFonts w:ascii="Arial" w:cs="Arial" w:eastAsia="Arial" w:hAnsi="Arial"/>
          <w:sz w:val="19"/>
          <w:szCs w:val="19"/>
          <w:color w:val="auto"/>
        </w:rPr>
        <w:t>. The existence of the Stock Units will not affect in any way the right or power of the Price Group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209" w:lineRule="exact"/>
        <w:rPr>
          <w:rFonts w:ascii="Arial" w:cs="Arial" w:eastAsia="Arial" w:hAnsi="Arial"/>
          <w:sz w:val="19"/>
          <w:szCs w:val="19"/>
          <w:color w:val="auto"/>
        </w:rPr>
      </w:pPr>
    </w:p>
    <w:p>
      <w:pPr>
        <w:ind w:right="60" w:firstLine="630"/>
        <w:spacing w:after="0" w:line="284" w:lineRule="auto"/>
        <w:tabs>
          <w:tab w:leader="none" w:pos="1505"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192" w:lineRule="exact"/>
        <w:rPr>
          <w:rFonts w:ascii="Arial" w:cs="Arial" w:eastAsia="Arial" w:hAnsi="Arial"/>
          <w:sz w:val="19"/>
          <w:szCs w:val="19"/>
          <w:color w:val="auto"/>
        </w:rPr>
      </w:pPr>
    </w:p>
    <w:p>
      <w:pPr>
        <w:ind w:left="1280" w:hanging="636"/>
        <w:spacing w:after="0"/>
        <w:tabs>
          <w:tab w:leader="none" w:pos="1280"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Electronic Delivery of Documents</w:t>
      </w:r>
      <w:r>
        <w:rPr>
          <w:rFonts w:ascii="Arial" w:cs="Arial" w:eastAsia="Arial" w:hAnsi="Arial"/>
          <w:sz w:val="19"/>
          <w:szCs w:val="19"/>
          <w:color w:val="auto"/>
        </w:rPr>
        <w:t>.</w:t>
      </w:r>
    </w:p>
    <w:p>
      <w:pPr>
        <w:spacing w:after="0" w:line="227" w:lineRule="exact"/>
        <w:rPr>
          <w:rFonts w:ascii="Arial" w:cs="Arial" w:eastAsia="Arial" w:hAnsi="Arial"/>
          <w:sz w:val="19"/>
          <w:szCs w:val="19"/>
          <w:color w:val="auto"/>
        </w:rPr>
      </w:pPr>
    </w:p>
    <w:p>
      <w:pPr>
        <w:ind w:right="100" w:firstLine="1265"/>
        <w:spacing w:after="0" w:line="251" w:lineRule="auto"/>
        <w:tabs>
          <w:tab w:leader="none" w:pos="1678" w:val="left"/>
        </w:tabs>
        <w:numPr>
          <w:ilvl w:val="2"/>
          <w:numId w:val="34"/>
        </w:numPr>
        <w:rPr>
          <w:rFonts w:ascii="Arial" w:cs="Arial" w:eastAsia="Arial" w:hAnsi="Arial"/>
          <w:sz w:val="20"/>
          <w:szCs w:val="20"/>
          <w:color w:val="auto"/>
        </w:rPr>
      </w:pPr>
      <w:r>
        <w:rPr>
          <w:rFonts w:ascii="Arial" w:cs="Arial" w:eastAsia="Arial" w:hAnsi="Arial"/>
          <w:sz w:val="19"/>
          <w:szCs w:val="19"/>
          <w:u w:val="single" w:color="auto"/>
          <w:color w:val="auto"/>
        </w:rPr>
        <w:t>Methods of Delivery</w:t>
      </w:r>
      <w:r>
        <w:rPr>
          <w:rFonts w:ascii="Arial" w:cs="Arial" w:eastAsia="Arial" w:hAnsi="Arial"/>
          <w:sz w:val="19"/>
          <w:szCs w:val="19"/>
          <w:color w:val="auto"/>
        </w:rPr>
        <w:t>. The Company may from time to time electronically deliver, via e-mail or posting on the Company’s website, these Terms, information with respect to the Plan or the Stock Units,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pacing w:after="0" w:line="209" w:lineRule="exact"/>
        <w:rPr>
          <w:rFonts w:ascii="Arial" w:cs="Arial" w:eastAsia="Arial" w:hAnsi="Arial"/>
          <w:sz w:val="20"/>
          <w:szCs w:val="20"/>
          <w:color w:val="auto"/>
        </w:rPr>
      </w:pPr>
    </w:p>
    <w:p>
      <w:pPr>
        <w:ind w:firstLine="1265"/>
        <w:spacing w:after="0" w:line="251" w:lineRule="auto"/>
        <w:tabs>
          <w:tab w:leader="none" w:pos="1678" w:val="left"/>
        </w:tabs>
        <w:numPr>
          <w:ilvl w:val="2"/>
          <w:numId w:val="34"/>
        </w:numPr>
        <w:rPr>
          <w:rFonts w:ascii="Arial" w:cs="Arial" w:eastAsia="Arial" w:hAnsi="Arial"/>
          <w:sz w:val="20"/>
          <w:szCs w:val="20"/>
          <w:color w:val="auto"/>
        </w:rPr>
      </w:pPr>
      <w:r>
        <w:rPr>
          <w:rFonts w:ascii="Arial" w:cs="Arial" w:eastAsia="Arial" w:hAnsi="Arial"/>
          <w:sz w:val="19"/>
          <w:szCs w:val="19"/>
          <w:u w:val="single" w:color="auto"/>
          <w:color w:val="auto"/>
        </w:rPr>
        <w:t>Consent and Acknowledgment</w:t>
      </w:r>
      <w:r>
        <w:rPr>
          <w:rFonts w:ascii="Arial" w:cs="Arial" w:eastAsia="Arial" w:hAnsi="Arial"/>
          <w:sz w:val="19"/>
          <w:szCs w:val="19"/>
          <w:color w:val="auto"/>
        </w:rPr>
        <w:t>. By your accepting the Notice correlating to these Terms, you (i) consent to the electronic delivery of this Agreement, all information with respect to the Plan and the Stock Units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w:t>
      </w:r>
    </w:p>
    <w:p>
      <w:pPr>
        <w:spacing w:after="0" w:line="200" w:lineRule="exact"/>
        <w:rPr>
          <w:sz w:val="20"/>
          <w:szCs w:val="20"/>
          <w:color w:val="auto"/>
        </w:rPr>
      </w:pPr>
    </w:p>
    <w:p>
      <w:pPr>
        <w:spacing w:after="0" w:line="3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320" w:top="1076" w:right="259" w:bottom="1440" w:gutter="0" w:footer="0" w:header="0"/>
        </w:sectPr>
      </w:pPr>
    </w:p>
    <w:bookmarkStart w:id="58" w:name="page59"/>
    <w:bookmarkEnd w:id="58"/>
    <w:p>
      <w:pPr>
        <w:ind w:right="700"/>
        <w:spacing w:after="0" w:line="256" w:lineRule="auto"/>
        <w:rPr>
          <w:sz w:val="20"/>
          <w:szCs w:val="20"/>
          <w:color w:val="auto"/>
        </w:rPr>
      </w:pPr>
      <w:r>
        <w:rPr>
          <w:rFonts w:ascii="Arial" w:cs="Arial" w:eastAsia="Arial" w:hAnsi="Arial"/>
          <w:sz w:val="19"/>
          <w:szCs w:val="19"/>
          <w:color w:val="auto"/>
        </w:rPr>
        <w:t>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219" w:lineRule="exact"/>
        <w:rPr>
          <w:sz w:val="20"/>
          <w:szCs w:val="20"/>
          <w:color w:val="auto"/>
        </w:rPr>
      </w:pPr>
    </w:p>
    <w:p>
      <w:pPr>
        <w:ind w:left="1520" w:hanging="890"/>
        <w:spacing w:after="0"/>
        <w:tabs>
          <w:tab w:leader="none" w:pos="152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Recoupment</w:t>
      </w:r>
      <w:r>
        <w:rPr>
          <w:rFonts w:ascii="Arial" w:cs="Arial" w:eastAsia="Arial" w:hAnsi="Arial"/>
          <w:sz w:val="19"/>
          <w:szCs w:val="19"/>
          <w:color w:val="auto"/>
        </w:rPr>
        <w:t>. The terms and conditions of the Company’s Policy for Recoupment of Incentive Compensation,</w:t>
      </w:r>
    </w:p>
    <w:p>
      <w:pPr>
        <w:spacing w:after="0" w:line="38" w:lineRule="exact"/>
        <w:rPr>
          <w:rFonts w:ascii="Arial" w:cs="Arial" w:eastAsia="Arial" w:hAnsi="Arial"/>
          <w:sz w:val="19"/>
          <w:szCs w:val="19"/>
          <w:color w:val="auto"/>
        </w:rPr>
      </w:pPr>
    </w:p>
    <w:p>
      <w:pPr>
        <w:spacing w:after="0" w:line="286" w:lineRule="auto"/>
        <w:rPr>
          <w:rFonts w:ascii="Arial" w:cs="Arial" w:eastAsia="Arial" w:hAnsi="Arial"/>
          <w:sz w:val="19"/>
          <w:szCs w:val="19"/>
          <w:color w:val="auto"/>
        </w:rPr>
      </w:pPr>
      <w:r>
        <w:rPr>
          <w:rFonts w:ascii="Arial" w:cs="Arial" w:eastAsia="Arial" w:hAnsi="Arial"/>
          <w:sz w:val="19"/>
          <w:szCs w:val="19"/>
          <w:color w:val="auto"/>
        </w:rPr>
        <w:t>adopted by the Board of Directors of the Company effective April 14, 2010, as amended from time to time or any successor thereto (the “</w:t>
      </w:r>
      <w:r>
        <w:rPr>
          <w:rFonts w:ascii="Arial" w:cs="Arial" w:eastAsia="Arial" w:hAnsi="Arial"/>
          <w:sz w:val="19"/>
          <w:szCs w:val="19"/>
          <w:b w:val="1"/>
          <w:bCs w:val="1"/>
          <w:i w:val="1"/>
          <w:iCs w:val="1"/>
          <w:color w:val="auto"/>
        </w:rPr>
        <w:t>Recoupment Policy</w:t>
      </w:r>
      <w:r>
        <w:rPr>
          <w:rFonts w:ascii="Arial" w:cs="Arial" w:eastAsia="Arial" w:hAnsi="Arial"/>
          <w:sz w:val="19"/>
          <w:szCs w:val="19"/>
          <w:color w:val="auto"/>
        </w:rPr>
        <w:t>”), are incorporated by reference into this Agreement and shall apply to your Stock Units if you on the Grant Date are or subsequently become an executive officer or other senior executive who is subject to the Recoupment Policy.</w:t>
      </w:r>
    </w:p>
    <w:p>
      <w:pPr>
        <w:spacing w:after="0" w:line="204" w:lineRule="exact"/>
        <w:rPr>
          <w:rFonts w:ascii="Arial" w:cs="Arial" w:eastAsia="Arial" w:hAnsi="Arial"/>
          <w:sz w:val="19"/>
          <w:szCs w:val="19"/>
          <w:color w:val="auto"/>
        </w:rPr>
      </w:pPr>
    </w:p>
    <w:p>
      <w:pPr>
        <w:jc w:val="both"/>
        <w:ind w:right="220" w:firstLine="630"/>
        <w:spacing w:after="0" w:line="285" w:lineRule="auto"/>
        <w:tabs>
          <w:tab w:leader="none" w:pos="1505"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together with the correlating Notice and the Plan, contain the entire agreement between you and the Company with respect to the Stock Units awarded hereunder. Any oral or written agreements, representations, warranties, written inducements, or other communications made prior to the acceptance of the Notice correlating to these Terms with respect to the Stock Units awarded hereunder shall be void and ineffective for all purposes.</w:t>
      </w:r>
    </w:p>
    <w:p>
      <w:pPr>
        <w:spacing w:after="0" w:line="204" w:lineRule="exact"/>
        <w:rPr>
          <w:rFonts w:ascii="Arial" w:cs="Arial" w:eastAsia="Arial" w:hAnsi="Arial"/>
          <w:sz w:val="19"/>
          <w:szCs w:val="19"/>
          <w:color w:val="auto"/>
        </w:rPr>
      </w:pPr>
    </w:p>
    <w:p>
      <w:pPr>
        <w:ind w:right="140" w:firstLine="630"/>
        <w:spacing w:after="0" w:line="283" w:lineRule="auto"/>
        <w:tabs>
          <w:tab w:leader="none" w:pos="1505"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Except as otherwise provided in the Plan, the Committee may unilaterally amend the terms of this Agreement, but no such amendment shall materially impair your rights with respect to your Stock Units without your consent, except such an amendment made to cause the Plan or the Agreement to comply with applicable law, applicable rule of any securities exchange on which the Common Stock is listed or admitted for trading, or to prevent adverse tax or accounting consequences for you or the Company or any of its Affiliates. The Company shall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that is consistent with the Plan and approved by the Committee.</w:t>
      </w:r>
    </w:p>
    <w:p>
      <w:pPr>
        <w:spacing w:after="0" w:line="207" w:lineRule="exact"/>
        <w:rPr>
          <w:rFonts w:ascii="Arial" w:cs="Arial" w:eastAsia="Arial" w:hAnsi="Arial"/>
          <w:sz w:val="19"/>
          <w:szCs w:val="19"/>
          <w:color w:val="auto"/>
        </w:rPr>
      </w:pPr>
    </w:p>
    <w:p>
      <w:pPr>
        <w:jc w:val="both"/>
        <w:ind w:right="80" w:firstLine="630"/>
        <w:spacing w:after="0" w:line="284" w:lineRule="auto"/>
        <w:tabs>
          <w:tab w:leader="none" w:pos="1505"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Conformity with Plan</w:t>
      </w:r>
      <w:r>
        <w:rPr>
          <w:rFonts w:ascii="Arial" w:cs="Arial" w:eastAsia="Arial" w:hAnsi="Arial"/>
          <w:sz w:val="19"/>
          <w:szCs w:val="19"/>
          <w:color w:val="auto"/>
        </w:rPr>
        <w:t xml:space="preserve">. These Terms are intended to conform with, and are subject to all applicable provisions of, the Plan. In the event of any ambiguity in these Terms or any matters as to which these Terms are silent, the Plan shall govern. A copy of the Plan is available at </w:t>
      </w:r>
      <w:r>
        <w:rPr>
          <w:rFonts w:ascii="Arial" w:cs="Arial" w:eastAsia="Arial" w:hAnsi="Arial"/>
          <w:sz w:val="19"/>
          <w:szCs w:val="19"/>
          <w:u w:val="single" w:color="auto"/>
          <w:color w:val="auto"/>
        </w:rPr>
        <w:t>https://home2.troweprice.com/tsso/tssoweb/SSOServlet</w:t>
      </w:r>
      <w:r>
        <w:rPr>
          <w:rFonts w:ascii="Arial" w:cs="Arial" w:eastAsia="Arial" w:hAnsi="Arial"/>
          <w:sz w:val="19"/>
          <w:szCs w:val="19"/>
          <w:color w:val="auto"/>
        </w:rPr>
        <w:t xml:space="preserve"> or in hard copy upon request to the Company’s Payroll and Stock Transaction Group in the CFO-Finance Department in the Baltimore, Maryland – Pratt Street office or by telephone, at 410-345-7716.</w:t>
      </w:r>
    </w:p>
    <w:p>
      <w:pPr>
        <w:spacing w:after="0" w:line="206" w:lineRule="exact"/>
        <w:rPr>
          <w:rFonts w:ascii="Arial" w:cs="Arial" w:eastAsia="Arial" w:hAnsi="Arial"/>
          <w:sz w:val="19"/>
          <w:szCs w:val="19"/>
          <w:color w:val="auto"/>
        </w:rPr>
      </w:pPr>
    </w:p>
    <w:p>
      <w:pPr>
        <w:ind w:right="40" w:firstLine="630"/>
        <w:spacing w:after="0" w:line="284" w:lineRule="auto"/>
        <w:tabs>
          <w:tab w:leader="none" w:pos="1505"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No Funding</w:t>
      </w:r>
      <w:r>
        <w:rPr>
          <w:rFonts w:ascii="Arial" w:cs="Arial" w:eastAsia="Arial" w:hAnsi="Arial"/>
          <w:sz w:val="19"/>
          <w:szCs w:val="19"/>
          <w:color w:val="auto"/>
        </w:rPr>
        <w:t>. This Agreement constitutes an unfunded and unsecured promise by the Company to make payments and issue shares of Common Stock in the future in accordance with its terms. You have the status of a general unsecured creditor of the Company as a result of receiving the award of Stock Units. Any cash payment due under this Agreement with respect to dividend equivalent payments under Section 5 hereof will be paid from the general assets of the Company and nothing in this Agreement will be construed to give you or any other person rights to any specific assets of the Company.</w:t>
      </w:r>
    </w:p>
    <w:p>
      <w:pPr>
        <w:spacing w:after="0" w:line="206" w:lineRule="exact"/>
        <w:rPr>
          <w:rFonts w:ascii="Arial" w:cs="Arial" w:eastAsia="Arial" w:hAnsi="Arial"/>
          <w:sz w:val="19"/>
          <w:szCs w:val="19"/>
          <w:color w:val="auto"/>
        </w:rPr>
      </w:pPr>
    </w:p>
    <w:p>
      <w:pPr>
        <w:ind w:right="60" w:firstLine="630"/>
        <w:spacing w:after="0" w:line="284" w:lineRule="auto"/>
        <w:tabs>
          <w:tab w:leader="none" w:pos="1505"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As a condition of this Agreement, you agree that you will not bring any action arising under, as a result of, pursuant to</w:t>
      </w:r>
    </w:p>
    <w:p>
      <w:pPr>
        <w:spacing w:after="0" w:line="200" w:lineRule="exact"/>
        <w:rPr>
          <w:sz w:val="20"/>
          <w:szCs w:val="20"/>
          <w:color w:val="auto"/>
        </w:rPr>
      </w:pPr>
    </w:p>
    <w:p>
      <w:pPr>
        <w:spacing w:after="0" w:line="3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320" w:top="1076" w:right="279" w:bottom="1440" w:gutter="0" w:footer="0" w:header="0"/>
        </w:sectPr>
      </w:pPr>
    </w:p>
    <w:bookmarkStart w:id="59" w:name="page60"/>
    <w:bookmarkEnd w:id="59"/>
    <w:p>
      <w:pPr>
        <w:ind w:right="60"/>
        <w:spacing w:after="0" w:line="255" w:lineRule="auto"/>
        <w:rPr>
          <w:sz w:val="20"/>
          <w:szCs w:val="20"/>
          <w:color w:val="auto"/>
        </w:rPr>
      </w:pPr>
      <w:r>
        <w:rPr>
          <w:rFonts w:ascii="Arial" w:cs="Arial" w:eastAsia="Arial" w:hAnsi="Arial"/>
          <w:sz w:val="19"/>
          <w:szCs w:val="19"/>
          <w:color w:val="auto"/>
        </w:rPr>
        <w:t>or relating to, this Agreement in any court other than a federal or state court in the districts that include Baltimore, Maryland, and you hereby agree and submit to the personal jurisdiction of any federal court located in the district that includes Baltimore, Maryland or any state court in the district that includes Baltimore, Maryland. You further agree that you will not deny or attempt to defeat such personal jurisdiction or object to venue by motion or other request for leave from any such court.</w:t>
      </w:r>
    </w:p>
    <w:p>
      <w:pPr>
        <w:spacing w:after="0" w:line="219" w:lineRule="exact"/>
        <w:rPr>
          <w:sz w:val="20"/>
          <w:szCs w:val="20"/>
          <w:color w:val="auto"/>
        </w:rPr>
      </w:pPr>
    </w:p>
    <w:p>
      <w:pPr>
        <w:ind w:firstLine="630"/>
        <w:spacing w:after="0" w:line="283" w:lineRule="auto"/>
        <w:tabs>
          <w:tab w:leader="none" w:pos="1505"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Resolution of Disputes</w:t>
      </w:r>
      <w:r>
        <w:rPr>
          <w:rFonts w:ascii="Arial" w:cs="Arial" w:eastAsia="Arial" w:hAnsi="Arial"/>
          <w:sz w:val="19"/>
          <w:szCs w:val="19"/>
          <w:color w:val="auto"/>
        </w:rPr>
        <w:t>. Any dispute or disagreement that shall arise under, or as a result of, or pursuant to or relating to, this Agreement shall be determined by the Committee in good faith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Committee. You further agree that in the event that the Committee does not resolve any dispute or disagreement arising under, as a result of, pursuant to or relating to, this Agreement to your satisfaction, no legal action may be commenced or maintained relating to this Agreement more than 24 months after the Committee’s decision.</w:t>
      </w:r>
    </w:p>
    <w:p>
      <w:pPr>
        <w:spacing w:after="0" w:line="207" w:lineRule="exact"/>
        <w:rPr>
          <w:rFonts w:ascii="Arial" w:cs="Arial" w:eastAsia="Arial" w:hAnsi="Arial"/>
          <w:sz w:val="19"/>
          <w:szCs w:val="19"/>
          <w:color w:val="auto"/>
        </w:rPr>
      </w:pPr>
    </w:p>
    <w:p>
      <w:pPr>
        <w:ind w:right="80" w:firstLine="630"/>
        <w:spacing w:after="0" w:line="285" w:lineRule="auto"/>
        <w:tabs>
          <w:tab w:leader="none" w:pos="1505"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Preemption of Applicable Laws or Regulations</w:t>
      </w:r>
      <w:r>
        <w:rPr>
          <w:rFonts w:ascii="Arial" w:cs="Arial" w:eastAsia="Arial" w:hAnsi="Arial"/>
          <w:sz w:val="19"/>
          <w:szCs w:val="19"/>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204" w:lineRule="exact"/>
        <w:rPr>
          <w:rFonts w:ascii="Arial" w:cs="Arial" w:eastAsia="Arial" w:hAnsi="Arial"/>
          <w:sz w:val="19"/>
          <w:szCs w:val="19"/>
          <w:color w:val="auto"/>
        </w:rPr>
      </w:pPr>
    </w:p>
    <w:p>
      <w:pPr>
        <w:ind w:right="340" w:firstLine="630"/>
        <w:spacing w:after="0" w:line="283" w:lineRule="auto"/>
        <w:tabs>
          <w:tab w:leader="none" w:pos="1505"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409A Savings Clause</w:t>
      </w:r>
      <w:r>
        <w:rPr>
          <w:rFonts w:ascii="Arial" w:cs="Arial" w:eastAsia="Arial" w:hAnsi="Arial"/>
          <w:sz w:val="19"/>
          <w:szCs w:val="19"/>
          <w:color w:val="auto"/>
        </w:rPr>
        <w:t>. This Agreement and the Stock Units awarded hereunder are intended to comply with, or otherwise be exempt from, Section 409A of the Code. This Agreement and the Stock Units shall be administered, interpreted and construed in a manner consistent with this intent. Should any provision of this Agreement or the Stock Units be found not to comply with, or otherwise be exempt from, the provisions of Section 409A of the Code, it shall be modified and given effect, in the sole discretion of the Committee and without requiring your consent, in such manner as the Committee determines to be necessary or appropriate to comply with, or to effectuate an exemption from, Section 409A of the Code. The preceding provisions shall not be construed as a guarantee or warranty by the Company of any particular tax effect of the Stock Units.</w:t>
      </w:r>
    </w:p>
    <w:p>
      <w:pPr>
        <w:spacing w:after="0" w:line="208" w:lineRule="exact"/>
        <w:rPr>
          <w:rFonts w:ascii="Arial" w:cs="Arial" w:eastAsia="Arial" w:hAnsi="Arial"/>
          <w:sz w:val="19"/>
          <w:szCs w:val="19"/>
          <w:color w:val="auto"/>
        </w:rPr>
      </w:pPr>
    </w:p>
    <w:p>
      <w:pPr>
        <w:ind w:right="40" w:firstLine="630"/>
        <w:spacing w:after="0" w:line="279" w:lineRule="auto"/>
        <w:tabs>
          <w:tab w:leader="none" w:pos="1505"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Service and Employment Acknowledgments</w:t>
      </w:r>
      <w:r>
        <w:rPr>
          <w:rFonts w:ascii="Arial" w:cs="Arial" w:eastAsia="Arial" w:hAnsi="Arial"/>
          <w:sz w:val="19"/>
          <w:szCs w:val="19"/>
          <w:color w:val="auto"/>
        </w:rPr>
        <w:t>. By accepting the Notice, you acknowledge and agree that: (i) the Plan is established voluntarily by the Company, is discretionary in nature and may be modified, amended, suspended or terminated by the Company at any time, unless otherwise provided in the Plan or this Agreement; (ii) you are voluntarily participating in the Plan; (iii) the award of Stock Units is a one-time benefit that does not create any contractual or other right to receive future awards of Stock Units, or compensation or benefits in lieu of Stock Units, even if Stock Units have been awarded repeatedly in the past; (iv) all determinations with respect to any such future awards, including, but not limited to, the times when Stock Units shall be awarded or shall become vested and the number of Stock Units subject to each award, will be at the sole discretion of the Committee;</w:t>
      </w:r>
    </w:p>
    <w:p>
      <w:pPr>
        <w:spacing w:after="0" w:line="4" w:lineRule="exact"/>
        <w:rPr>
          <w:rFonts w:ascii="Arial" w:cs="Arial" w:eastAsia="Arial" w:hAnsi="Arial"/>
          <w:sz w:val="19"/>
          <w:szCs w:val="19"/>
          <w:color w:val="auto"/>
        </w:rPr>
      </w:pPr>
    </w:p>
    <w:p>
      <w:pPr>
        <w:ind w:left="280" w:hanging="271"/>
        <w:spacing w:after="0"/>
        <w:tabs>
          <w:tab w:leader="none" w:pos="2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value of the Stock Units is an extraordinary item of compensation that is outside the scope of your employment contract, if any;</w:t>
      </w:r>
    </w:p>
    <w:p>
      <w:pPr>
        <w:spacing w:after="0" w:line="11" w:lineRule="exact"/>
        <w:rPr>
          <w:rFonts w:ascii="Arial" w:cs="Arial" w:eastAsia="Arial" w:hAnsi="Arial"/>
          <w:sz w:val="19"/>
          <w:szCs w:val="19"/>
          <w:color w:val="auto"/>
        </w:rPr>
      </w:pPr>
    </w:p>
    <w:p>
      <w:pPr>
        <w:ind w:right="120" w:firstLine="9"/>
        <w:spacing w:after="0" w:line="261" w:lineRule="auto"/>
        <w:tabs>
          <w:tab w:leader="none" w:pos="315"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value of the Stock Units is not part of normal or expected compensation or salary for any purpose, including, but not limited to, calculating</w:t>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320" w:top="1076" w:right="299" w:bottom="1440" w:gutter="0" w:footer="0" w:header="0"/>
        </w:sectPr>
      </w:pPr>
    </w:p>
    <w:bookmarkStart w:id="60" w:name="page61"/>
    <w:bookmarkEnd w:id="60"/>
    <w:p>
      <w:pPr>
        <w:spacing w:after="0" w:line="253" w:lineRule="auto"/>
        <w:rPr>
          <w:sz w:val="20"/>
          <w:szCs w:val="20"/>
          <w:color w:val="auto"/>
        </w:rPr>
      </w:pPr>
      <w:r>
        <w:rPr>
          <w:rFonts w:ascii="Arial" w:cs="Arial" w:eastAsia="Arial" w:hAnsi="Arial"/>
          <w:sz w:val="19"/>
          <w:szCs w:val="19"/>
          <w:color w:val="auto"/>
        </w:rPr>
        <w:t>any termination, severance, resignation, redundancy, end of service payments or similar payments, or bonuses, long-service awards, pension, welfare or retirement benefits; (vii) the vesting of the Stock Units ceases upon termination of Service with the Company or transfer of employment from the Company, or other cessation of eligibility for any reason, except as may otherwise be explicitly provided in this Agreement; (viii) the value of the Stock Units and the underlying Shares cannot be predicted with certainty and will change over time and the Company does not guarantee any future value; (ix) if you are not an employee of the Company, the Stock Units grant will not be interpreted to form an employment contract or relationship with the Company; nothing in this Agreement shall confer upon you any right to continue in the service of the Company or interfere in any way with any right of the Company to terminate your service as a director, an employee or consultant, as the case may be, at any time, subject to applicable law; the Company is not providing any tax, legal or financial advice, nor is the Company making any recommendations regarding your participation in the Plan or your acquisition or sale of the Shares underlying the Stock Units; and (x) no claim or entitlement to compensation or damages arises if the value of the Stock Units or the underlying Shares decreases and in consideration for the grant of the Stock Units you irrevocably release the Company from any claim or entitlement to compensation or damages that does arise in connection with the Stock Units.</w:t>
      </w:r>
    </w:p>
    <w:p>
      <w:pPr>
        <w:spacing w:after="0" w:line="199" w:lineRule="exact"/>
        <w:rPr>
          <w:sz w:val="20"/>
          <w:szCs w:val="20"/>
          <w:color w:val="auto"/>
        </w:rPr>
      </w:pPr>
    </w:p>
    <w:p>
      <w:pPr>
        <w:ind w:right="40" w:firstLine="630"/>
        <w:spacing w:after="0" w:line="283" w:lineRule="auto"/>
        <w:tabs>
          <w:tab w:leader="none" w:pos="1505" w:val="left"/>
        </w:tabs>
        <w:numPr>
          <w:ilvl w:val="0"/>
          <w:numId w:val="38"/>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For purposes of the implementation, administration and management of the Stock Units and the Plan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“Corporate Transaction”), you explicitly and unambiguously consent, by accepting the Notice, to the collection, receipt, use, retention and transfer, in electronic or other form, of your personal data by and among the Company, its Affiliates and its third party vendors or any potential party to a potential Corporate Transaction. You understand that personal data (including but not limited to, name, home address, telephone number, employee number, employment status, social insurance number, tax identification number, date of birth, nationality, job title or duties, salary and payroll location, data for tax withholding purposes and Stock Units awarded, cancelled, vested and unvested) is held by the Company or its Affiliates and may be transferred to any broker designated by the Committee or third parties assisting in the implementation, administration and management of the Stock Units or the Plan or the effectuation of a Corporate Transaction and you expressly authorize such transfer as well as the retention, use, and the subsequent transfer of the data, in electronic or other form, by the recipient(s) for these purposes. You understand that these recipients may be located in your country or elsewhere, and that the recipient’s country may have different data privacy laws and protections than your country, including those that the European Commission or your jurisdiction does not consider to be equivalent to the protections in your country. You understand that personal data will be held only as long as is necessary to implement, administer and manage the Stock Units or Plan or effect a Corporate Transaction. You understand that, to the extent required by applicable law,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in the Baltimore, Maryland – Pratt Street office. If you do not consent, or if you later seek to</w:t>
      </w:r>
    </w:p>
    <w:p>
      <w:pPr>
        <w:spacing w:after="0" w:line="200" w:lineRule="exact"/>
        <w:rPr>
          <w:sz w:val="20"/>
          <w:szCs w:val="20"/>
          <w:color w:val="auto"/>
        </w:rPr>
      </w:pPr>
    </w:p>
    <w:p>
      <w:pPr>
        <w:spacing w:after="0" w:line="36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320" w:top="1076" w:right="239" w:bottom="1440" w:gutter="0" w:footer="0" w:header="0"/>
        </w:sectPr>
      </w:pPr>
    </w:p>
    <w:bookmarkStart w:id="61" w:name="page62"/>
    <w:bookmarkEnd w:id="61"/>
    <w:p>
      <w:pPr>
        <w:spacing w:after="0" w:line="257" w:lineRule="auto"/>
        <w:rPr>
          <w:sz w:val="20"/>
          <w:szCs w:val="20"/>
          <w:color w:val="auto"/>
        </w:rPr>
      </w:pPr>
      <w:r>
        <w:rPr>
          <w:rFonts w:ascii="Arial" w:cs="Arial" w:eastAsia="Arial" w:hAnsi="Arial"/>
          <w:sz w:val="19"/>
          <w:szCs w:val="19"/>
          <w:b w:val="1"/>
          <w:bCs w:val="1"/>
          <w:i w:val="1"/>
          <w:iCs w:val="1"/>
          <w:color w:val="auto"/>
        </w:rPr>
        <w:t>revoke your consent, your Service and career with your employer will not be adversely affected; the only adverse consequence of refusing or withdrawing your consent is that the Company would not be able to grant you Stock Units or other equity awards or administer or maintain such awards. Therefore, you understand that refusing or withdrawing your consent may affect your ability to participate in the Plan. You also understand that you have the right to discontinue the collection, processing, or use of your data, or supplement, correct, or request deletion of any of your data. Further, you understand that you are providing the consents herein on a purely voluntary basis. You understand that your consent will be sought and obtained for any processing or transfer of your data for any purpose other than as described in the Agreement and any other Plan materials.</w:t>
      </w:r>
    </w:p>
    <w:p>
      <w:pPr>
        <w:spacing w:after="0" w:line="217" w:lineRule="exact"/>
        <w:rPr>
          <w:sz w:val="20"/>
          <w:szCs w:val="20"/>
          <w:color w:val="auto"/>
        </w:rPr>
      </w:pPr>
    </w:p>
    <w:p>
      <w:pPr>
        <w:ind w:right="500" w:firstLine="630"/>
        <w:spacing w:after="0" w:line="291" w:lineRule="auto"/>
        <w:tabs>
          <w:tab w:leader="none" w:pos="1505"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headings in this Agreement are for reference purposes only and shall not affect the meaning or interpretation of this Agreement.</w:t>
      </w:r>
    </w:p>
    <w:p>
      <w:pPr>
        <w:spacing w:after="0" w:line="212" w:lineRule="exact"/>
        <w:rPr>
          <w:rFonts w:ascii="Arial" w:cs="Arial" w:eastAsia="Arial" w:hAnsi="Arial"/>
          <w:sz w:val="19"/>
          <w:szCs w:val="19"/>
          <w:color w:val="auto"/>
        </w:rPr>
      </w:pPr>
    </w:p>
    <w:p>
      <w:pPr>
        <w:ind w:left="1520" w:hanging="890"/>
        <w:spacing w:after="0"/>
        <w:tabs>
          <w:tab w:leader="none" w:pos="1520"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Country-Specific Terms and Conditions and Notices</w:t>
      </w:r>
      <w:r>
        <w:rPr>
          <w:rFonts w:ascii="Arial" w:cs="Arial" w:eastAsia="Arial" w:hAnsi="Arial"/>
          <w:sz w:val="19"/>
          <w:szCs w:val="19"/>
          <w:color w:val="auto"/>
        </w:rPr>
        <w:t>. Notwithstanding any provisions in this Agreement, the grant of</w:t>
      </w:r>
    </w:p>
    <w:p>
      <w:pPr>
        <w:spacing w:after="0" w:line="38" w:lineRule="exact"/>
        <w:rPr>
          <w:rFonts w:ascii="Arial" w:cs="Arial" w:eastAsia="Arial" w:hAnsi="Arial"/>
          <w:sz w:val="19"/>
          <w:szCs w:val="19"/>
          <w:color w:val="auto"/>
        </w:rPr>
      </w:pPr>
    </w:p>
    <w:p>
      <w:pPr>
        <w:ind w:right="420"/>
        <w:spacing w:after="0" w:line="285" w:lineRule="auto"/>
        <w:rPr>
          <w:rFonts w:ascii="Arial" w:cs="Arial" w:eastAsia="Arial" w:hAnsi="Arial"/>
          <w:sz w:val="19"/>
          <w:szCs w:val="19"/>
          <w:color w:val="auto"/>
        </w:rPr>
      </w:pPr>
      <w:r>
        <w:rPr>
          <w:rFonts w:ascii="Arial" w:cs="Arial" w:eastAsia="Arial" w:hAnsi="Arial"/>
          <w:sz w:val="19"/>
          <w:szCs w:val="19"/>
          <w:color w:val="auto"/>
        </w:rPr>
        <w:t>Stock Units shall be subject to any special terms and conditions for your country set forth in any appendix to this Agreement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Moreover, if you relocate to one of the countries included in the Appendix, the special terms and conditions for such country will apply to you, to the extent the Company determines that the application of such terms and conditions is necessary or advisable for legal or administrative reasons. The Appendix constitutes part of this Agreement.</w:t>
      </w:r>
    </w:p>
    <w:p>
      <w:pPr>
        <w:spacing w:after="0" w:line="387"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Glossary begins on next page</w:t>
      </w:r>
      <w:r>
        <w:rPr>
          <w:rFonts w:ascii="Arial" w:cs="Arial" w:eastAsia="Arial" w:hAnsi="Arial"/>
          <w:sz w:val="19"/>
          <w:szCs w:val="19"/>
          <w:color w:val="auto"/>
        </w:rPr>
        <w:t>}</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054" w:right="359" w:bottom="1440" w:gutter="0" w:footer="0" w:header="0"/>
        </w:sectPr>
      </w:pPr>
    </w:p>
    <w:bookmarkStart w:id="62" w:name="page63"/>
    <w:bookmarkEnd w:id="62"/>
    <w:p>
      <w:pPr>
        <w:ind w:left="3580"/>
        <w:spacing w:after="0"/>
        <w:rPr>
          <w:sz w:val="20"/>
          <w:szCs w:val="20"/>
          <w:color w:val="auto"/>
        </w:rPr>
      </w:pPr>
      <w:r>
        <w:rPr>
          <w:rFonts w:ascii="Arial" w:cs="Arial" w:eastAsia="Arial" w:hAnsi="Arial"/>
          <w:sz w:val="19"/>
          <w:szCs w:val="19"/>
          <w:color w:val="auto"/>
        </w:rPr>
        <w:t>GLOSSARY</w:t>
      </w:r>
    </w:p>
    <w:p>
      <w:pPr>
        <w:spacing w:after="0" w:line="200" w:lineRule="exact"/>
        <w:rPr>
          <w:sz w:val="20"/>
          <w:szCs w:val="20"/>
          <w:color w:val="auto"/>
        </w:rPr>
      </w:pPr>
    </w:p>
    <w:p>
      <w:pPr>
        <w:spacing w:after="0" w:line="235" w:lineRule="exact"/>
        <w:rPr>
          <w:sz w:val="20"/>
          <w:szCs w:val="20"/>
          <w:color w:val="auto"/>
        </w:rPr>
      </w:pPr>
    </w:p>
    <w:p>
      <w:pPr>
        <w:ind w:right="140" w:firstLine="1265"/>
        <w:spacing w:after="0" w:line="258" w:lineRule="auto"/>
        <w:tabs>
          <w:tab w:leader="none" w:pos="1678" w:val="left"/>
        </w:tabs>
        <w:numPr>
          <w:ilvl w:val="0"/>
          <w:numId w:val="40"/>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means any entity, whether previously, now or hereafter existing, in which the Company, directly or indirectly, at the relevant time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182" w:lineRule="exact"/>
        <w:rPr>
          <w:rFonts w:ascii="Arial" w:cs="Arial" w:eastAsia="Arial" w:hAnsi="Arial"/>
          <w:sz w:val="20"/>
          <w:szCs w:val="20"/>
          <w:color w:val="auto"/>
        </w:rPr>
      </w:pPr>
    </w:p>
    <w:p>
      <w:pPr>
        <w:ind w:left="1680" w:hanging="415"/>
        <w:spacing w:after="0"/>
        <w:tabs>
          <w:tab w:leader="none" w:pos="1680" w:val="left"/>
        </w:tabs>
        <w:numPr>
          <w:ilvl w:val="0"/>
          <w:numId w:val="40"/>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means the contract consisting of the Notice, the Terms and</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the Plan.</w:t>
      </w:r>
    </w:p>
    <w:p>
      <w:pPr>
        <w:spacing w:after="0" w:line="192" w:lineRule="exact"/>
        <w:rPr>
          <w:sz w:val="20"/>
          <w:szCs w:val="20"/>
          <w:color w:val="auto"/>
        </w:rPr>
      </w:pPr>
    </w:p>
    <w:p>
      <w:pPr>
        <w:ind w:right="180" w:firstLine="1265"/>
        <w:spacing w:after="0" w:line="257" w:lineRule="auto"/>
        <w:tabs>
          <w:tab w:leader="none" w:pos="1667" w:val="left"/>
        </w:tabs>
        <w:numPr>
          <w:ilvl w:val="1"/>
          <w:numId w:val="41"/>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xml:space="preserve">” means: (i) your plea of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(or a similar plea) to, or conviction of, (A) a felony (or its equivalent in a non-United States jurisdiction) or</w:t>
      </w:r>
    </w:p>
    <w:p>
      <w:pPr>
        <w:ind w:firstLine="9"/>
        <w:spacing w:after="0" w:line="253" w:lineRule="auto"/>
        <w:tabs>
          <w:tab w:leader="none" w:pos="305"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other conduct of a criminal nature that has or is likely to have a material adverse effect on the reputation or standing in the community of the Company, as determined by the Committee in its sole discretion, or that legally prohibits you from working for the Company; (ii) your breach of a regulatory rule that adversely affects your ability to perform your employment duties to the Company in any material respect; or (iii) your failure, in any material respect, to (A) perform your employment duties, (B) comply with the applicable policies of the Company, (C) follow reasonable directions received from the Company or (D) comply with covenants contained in any contract with the Company to which you are a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you shall be provided a written notice describing in reasonable detail the facts that are considered to give rise to a breach described in this clause (iii) and you shall have 30 days following receipt of such written notice during which you may remedy the condition and, if so remedied, no Cause for Termination of Service shall exist.</w:t>
      </w:r>
    </w:p>
    <w:p>
      <w:pPr>
        <w:spacing w:after="0" w:line="187" w:lineRule="exact"/>
        <w:rPr>
          <w:rFonts w:ascii="Arial" w:cs="Arial" w:eastAsia="Arial" w:hAnsi="Arial"/>
          <w:sz w:val="19"/>
          <w:szCs w:val="19"/>
          <w:color w:val="auto"/>
        </w:rPr>
      </w:pPr>
    </w:p>
    <w:p>
      <w:pPr>
        <w:ind w:left="1680" w:hanging="415"/>
        <w:spacing w:after="0"/>
        <w:tabs>
          <w:tab w:leader="none" w:pos="1680" w:val="left"/>
        </w:tabs>
        <w:numPr>
          <w:ilvl w:val="1"/>
          <w:numId w:val="42"/>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Change in Control</w:t>
      </w:r>
      <w:r>
        <w:rPr>
          <w:rFonts w:ascii="Arial" w:cs="Arial" w:eastAsia="Arial" w:hAnsi="Arial"/>
          <w:sz w:val="19"/>
          <w:szCs w:val="19"/>
          <w:color w:val="auto"/>
        </w:rPr>
        <w:t>” has the meaning ascribed to such term in the Plan.</w:t>
      </w:r>
    </w:p>
    <w:p>
      <w:pPr>
        <w:spacing w:after="0" w:line="215" w:lineRule="exact"/>
        <w:rPr>
          <w:rFonts w:ascii="Arial" w:cs="Arial" w:eastAsia="Arial" w:hAnsi="Arial"/>
          <w:sz w:val="20"/>
          <w:szCs w:val="20"/>
          <w:color w:val="auto"/>
        </w:rPr>
      </w:pPr>
    </w:p>
    <w:p>
      <w:pPr>
        <w:ind w:right="100" w:firstLine="1265"/>
        <w:spacing w:after="0" w:line="258" w:lineRule="auto"/>
        <w:tabs>
          <w:tab w:leader="none" w:pos="1678" w:val="left"/>
        </w:tabs>
        <w:numPr>
          <w:ilvl w:val="1"/>
          <w:numId w:val="42"/>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Code</w:t>
      </w:r>
      <w:r>
        <w:rPr>
          <w:rFonts w:ascii="Arial" w:cs="Arial" w:eastAsia="Arial" w:hAnsi="Arial"/>
          <w:sz w:val="19"/>
          <w:szCs w:val="19"/>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section, regulations and guidance.</w:t>
      </w:r>
    </w:p>
    <w:p>
      <w:pPr>
        <w:spacing w:after="0" w:line="182" w:lineRule="exact"/>
        <w:rPr>
          <w:rFonts w:ascii="Arial" w:cs="Arial" w:eastAsia="Arial" w:hAnsi="Arial"/>
          <w:sz w:val="20"/>
          <w:szCs w:val="20"/>
          <w:color w:val="auto"/>
        </w:rPr>
      </w:pPr>
    </w:p>
    <w:p>
      <w:pPr>
        <w:ind w:right="420" w:firstLine="1265"/>
        <w:spacing w:after="0" w:line="274" w:lineRule="auto"/>
        <w:tabs>
          <w:tab w:leader="none" w:pos="1623" w:val="left"/>
        </w:tabs>
        <w:numPr>
          <w:ilvl w:val="1"/>
          <w:numId w:val="42"/>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xml:space="preserve">” means the Executive Compensation Committee, or such other committee(s) or officer(s) duly appointed by the Board or the Executive Compensation Committee to administer the Plan or delegated limited authority to perform administrative actions under the Plan, and having such powers as shall be specified by the Board or the Executive Compensation Committee;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at any time the Board may serve as the Committee in lieu of or in addition to the Executive Compensation Committee or such other committee(s) or officer(s) to whom administrative authority has been delegated.</w:t>
      </w:r>
    </w:p>
    <w:p>
      <w:pPr>
        <w:spacing w:after="0" w:line="169" w:lineRule="exact"/>
        <w:rPr>
          <w:rFonts w:ascii="Arial" w:cs="Arial" w:eastAsia="Arial" w:hAnsi="Arial"/>
          <w:sz w:val="19"/>
          <w:szCs w:val="19"/>
          <w:color w:val="auto"/>
        </w:rPr>
      </w:pPr>
    </w:p>
    <w:p>
      <w:pPr>
        <w:ind w:firstLine="1265"/>
        <w:spacing w:after="0" w:line="273" w:lineRule="auto"/>
        <w:tabs>
          <w:tab w:leader="none" w:pos="1678" w:val="left"/>
        </w:tabs>
        <w:numPr>
          <w:ilvl w:val="1"/>
          <w:numId w:val="42"/>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means shares of common stock of T. Rowe Price Group, Inc., par value twenty cents ($0.20) per share and any capital securities into which they are converted.</w:t>
      </w:r>
    </w:p>
    <w:p>
      <w:pPr>
        <w:spacing w:after="0" w:line="165" w:lineRule="exact"/>
        <w:rPr>
          <w:rFonts w:ascii="Arial" w:cs="Arial" w:eastAsia="Arial" w:hAnsi="Arial"/>
          <w:sz w:val="20"/>
          <w:szCs w:val="20"/>
          <w:color w:val="auto"/>
        </w:rPr>
      </w:pPr>
    </w:p>
    <w:p>
      <w:pPr>
        <w:jc w:val="both"/>
        <w:ind w:firstLine="1265"/>
        <w:spacing w:after="0" w:line="301" w:lineRule="auto"/>
        <w:tabs>
          <w:tab w:leader="none" w:pos="1678" w:val="left"/>
        </w:tabs>
        <w:numPr>
          <w:ilvl w:val="1"/>
          <w:numId w:val="42"/>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and successors, except where the context otherwise requires. For purposes of determining whether a Change in Control has occurred, Company shall mean only T. Rowe Price Group, Inc.</w:t>
      </w:r>
    </w:p>
    <w:p>
      <w:pPr>
        <w:spacing w:after="0" w:line="200" w:lineRule="exact"/>
        <w:rPr>
          <w:sz w:val="20"/>
          <w:szCs w:val="20"/>
          <w:color w:val="auto"/>
        </w:rPr>
      </w:pPr>
    </w:p>
    <w:p>
      <w:pPr>
        <w:spacing w:after="0" w:line="3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320" w:top="1076" w:right="279" w:bottom="1440" w:gutter="0" w:footer="0" w:header="0"/>
        </w:sectPr>
      </w:pPr>
    </w:p>
    <w:bookmarkStart w:id="63" w:name="page64"/>
    <w:bookmarkEnd w:id="63"/>
    <w:p>
      <w:pPr>
        <w:ind w:left="1620" w:hanging="355"/>
        <w:spacing w:after="0"/>
        <w:tabs>
          <w:tab w:leader="none" w:pos="1620" w:val="left"/>
        </w:tabs>
        <w:numPr>
          <w:ilvl w:val="0"/>
          <w:numId w:val="43"/>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Corporate Transaction</w:t>
      </w:r>
      <w:r>
        <w:rPr>
          <w:rFonts w:ascii="Arial" w:cs="Arial" w:eastAsia="Arial" w:hAnsi="Arial"/>
          <w:sz w:val="19"/>
          <w:szCs w:val="19"/>
          <w:color w:val="auto"/>
        </w:rPr>
        <w:t>” means the consummation of a reorganization, merger, tender offer, share exchange,</w:t>
      </w:r>
    </w:p>
    <w:p>
      <w:pPr>
        <w:spacing w:after="0" w:line="48" w:lineRule="exact"/>
        <w:rPr>
          <w:rFonts w:ascii="Arial" w:cs="Arial" w:eastAsia="Arial" w:hAnsi="Arial"/>
          <w:sz w:val="20"/>
          <w:szCs w:val="20"/>
          <w:color w:val="auto"/>
        </w:rPr>
      </w:pPr>
    </w:p>
    <w:p>
      <w:pPr>
        <w:ind w:right="980"/>
        <w:spacing w:after="0" w:line="276" w:lineRule="auto"/>
        <w:rPr>
          <w:rFonts w:ascii="Arial" w:cs="Arial" w:eastAsia="Arial" w:hAnsi="Arial"/>
          <w:sz w:val="20"/>
          <w:szCs w:val="20"/>
          <w:color w:val="auto"/>
        </w:rPr>
      </w:pPr>
      <w:r>
        <w:rPr>
          <w:rFonts w:ascii="Arial" w:cs="Arial" w:eastAsia="Arial" w:hAnsi="Arial"/>
          <w:sz w:val="19"/>
          <w:szCs w:val="19"/>
          <w:color w:val="auto"/>
        </w:rPr>
        <w:t>consolidation or other business combination, acquisition of Price Group equity securities, or sale or other disposition of all or substantially all of the assets of Price Group or the acquisition of assets of another entity.</w:t>
      </w:r>
    </w:p>
    <w:p>
      <w:pPr>
        <w:spacing w:after="0" w:line="177" w:lineRule="exact"/>
        <w:rPr>
          <w:rFonts w:ascii="Arial" w:cs="Arial" w:eastAsia="Arial" w:hAnsi="Arial"/>
          <w:sz w:val="20"/>
          <w:szCs w:val="20"/>
          <w:color w:val="auto"/>
        </w:rPr>
      </w:pPr>
    </w:p>
    <w:p>
      <w:pPr>
        <w:ind w:right="160" w:firstLine="1265"/>
        <w:spacing w:after="0" w:line="302" w:lineRule="auto"/>
        <w:tabs>
          <w:tab w:leader="none" w:pos="1612" w:val="left"/>
        </w:tabs>
        <w:numPr>
          <w:ilvl w:val="0"/>
          <w:numId w:val="43"/>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Executive Compensation Committee</w:t>
      </w:r>
      <w:r>
        <w:rPr>
          <w:rFonts w:ascii="Arial" w:cs="Arial" w:eastAsia="Arial" w:hAnsi="Arial"/>
          <w:sz w:val="19"/>
          <w:szCs w:val="19"/>
          <w:color w:val="auto"/>
        </w:rPr>
        <w:t>” means the Executive Compensation Committee of the Board of Directors of T. Rowe Price Group, Inc.</w:t>
      </w:r>
    </w:p>
    <w:p>
      <w:pPr>
        <w:spacing w:after="0" w:line="137" w:lineRule="exact"/>
        <w:rPr>
          <w:rFonts w:ascii="Arial" w:cs="Arial" w:eastAsia="Arial" w:hAnsi="Arial"/>
          <w:sz w:val="20"/>
          <w:szCs w:val="20"/>
          <w:color w:val="auto"/>
        </w:rPr>
      </w:pPr>
    </w:p>
    <w:p>
      <w:pPr>
        <w:ind w:right="140" w:firstLine="1265"/>
        <w:spacing w:after="0" w:line="262" w:lineRule="auto"/>
        <w:tabs>
          <w:tab w:leader="none" w:pos="1667" w:val="left"/>
        </w:tabs>
        <w:numPr>
          <w:ilvl w:val="0"/>
          <w:numId w:val="43"/>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means, during the 18-month period following a Change in Control, actions taken by the Company or any successor corporation or other entity in a Corporate Transaction resulting in a material negative change in your employment relationship in one or more of the following ways:</w:t>
      </w:r>
    </w:p>
    <w:p>
      <w:pPr>
        <w:spacing w:after="0" w:line="198" w:lineRule="exact"/>
        <w:rPr>
          <w:rFonts w:ascii="Arial" w:cs="Arial" w:eastAsia="Arial" w:hAnsi="Arial"/>
          <w:sz w:val="20"/>
          <w:szCs w:val="20"/>
          <w:color w:val="auto"/>
        </w:rPr>
      </w:pPr>
    </w:p>
    <w:p>
      <w:pPr>
        <w:jc w:val="both"/>
        <w:ind w:left="640" w:right="720" w:firstLine="1260"/>
        <w:spacing w:after="0" w:line="256" w:lineRule="auto"/>
        <w:tabs>
          <w:tab w:leader="none" w:pos="2244"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 assignment to you of duties materially inconsistent with your position (including offices, titles and reporting requirements), authority, duties or responsibilities, or a material diminution in such position, authority, duties or responsibilities, in each case from those in effect immediately prior to the Change in Control;</w:t>
      </w:r>
    </w:p>
    <w:p>
      <w:pPr>
        <w:spacing w:after="0" w:line="205" w:lineRule="exact"/>
        <w:rPr>
          <w:rFonts w:ascii="Arial" w:cs="Arial" w:eastAsia="Arial" w:hAnsi="Arial"/>
          <w:sz w:val="19"/>
          <w:szCs w:val="19"/>
          <w:color w:val="auto"/>
        </w:rPr>
      </w:pPr>
    </w:p>
    <w:p>
      <w:pPr>
        <w:ind w:left="640" w:right="220" w:firstLine="1260"/>
        <w:spacing w:after="0" w:line="261" w:lineRule="auto"/>
        <w:tabs>
          <w:tab w:leader="none" w:pos="2286" w:val="left"/>
        </w:tabs>
        <w:numPr>
          <w:ilvl w:val="1"/>
          <w:numId w:val="43"/>
        </w:numPr>
        <w:rPr>
          <w:rFonts w:ascii="Arial" w:cs="Arial" w:eastAsia="Arial" w:hAnsi="Arial"/>
          <w:sz w:val="19"/>
          <w:szCs w:val="19"/>
          <w:color w:val="auto"/>
        </w:rPr>
      </w:pPr>
      <w:r>
        <w:rPr>
          <w:rFonts w:ascii="Arial" w:cs="Arial" w:eastAsia="Arial" w:hAnsi="Arial"/>
          <w:sz w:val="19"/>
          <w:szCs w:val="19"/>
          <w:color w:val="auto"/>
        </w:rPr>
        <w:t>a material reduction of your aggregate annual compensation, including, without limitation, base salary and annual bonus and incentive compensation opportunity, from that in effect immediately prior to the Change in Control; or</w:t>
      </w:r>
    </w:p>
    <w:p>
      <w:pPr>
        <w:spacing w:after="0" w:line="200" w:lineRule="exact"/>
        <w:rPr>
          <w:rFonts w:ascii="Arial" w:cs="Arial" w:eastAsia="Arial" w:hAnsi="Arial"/>
          <w:sz w:val="19"/>
          <w:szCs w:val="19"/>
          <w:color w:val="auto"/>
        </w:rPr>
      </w:pPr>
    </w:p>
    <w:p>
      <w:pPr>
        <w:ind w:left="640" w:right="620" w:firstLine="1260"/>
        <w:spacing w:after="0" w:line="261" w:lineRule="auto"/>
        <w:tabs>
          <w:tab w:leader="none" w:pos="2328" w:val="left"/>
        </w:tabs>
        <w:numPr>
          <w:ilvl w:val="1"/>
          <w:numId w:val="43"/>
        </w:numPr>
        <w:rPr>
          <w:rFonts w:ascii="Arial" w:cs="Arial" w:eastAsia="Arial" w:hAnsi="Arial"/>
          <w:sz w:val="19"/>
          <w:szCs w:val="19"/>
          <w:color w:val="auto"/>
        </w:rPr>
      </w:pPr>
      <w:r>
        <w:rPr>
          <w:rFonts w:ascii="Arial" w:cs="Arial" w:eastAsia="Arial" w:hAnsi="Arial"/>
          <w:sz w:val="19"/>
          <w:szCs w:val="19"/>
          <w:color w:val="auto"/>
        </w:rPr>
        <w:t>a change in your principal place of employment that increases your commute by 75 or more miles as compared to your commute immediately prior to the Change in Control.</w:t>
      </w:r>
    </w:p>
    <w:p>
      <w:pPr>
        <w:spacing w:after="0" w:line="200" w:lineRule="exact"/>
        <w:rPr>
          <w:sz w:val="20"/>
          <w:szCs w:val="20"/>
          <w:color w:val="auto"/>
        </w:rPr>
      </w:pPr>
    </w:p>
    <w:p>
      <w:pPr>
        <w:ind w:right="160" w:firstLine="554"/>
        <w:spacing w:after="0" w:line="253" w:lineRule="auto"/>
        <w:rPr>
          <w:sz w:val="20"/>
          <w:szCs w:val="20"/>
          <w:color w:val="auto"/>
        </w:rPr>
      </w:pPr>
      <w:r>
        <w:rPr>
          <w:rFonts w:ascii="Arial" w:cs="Arial" w:eastAsia="Arial" w:hAnsi="Arial"/>
          <w:sz w:val="19"/>
          <w:szCs w:val="19"/>
          <w:color w:val="auto"/>
        </w:rPr>
        <w:t>In order to invoke a Termination of Service for Good Reason, you must provide written notice to the Company or any successor corporation or other entity in a Corporate Transaction with respect to which you are employed or providing services (as applicable, the “</w:t>
      </w:r>
      <w:r>
        <w:rPr>
          <w:rFonts w:ascii="Arial" w:cs="Arial" w:eastAsia="Arial" w:hAnsi="Arial"/>
          <w:sz w:val="19"/>
          <w:szCs w:val="19"/>
          <w:b w:val="1"/>
          <w:bCs w:val="1"/>
          <w:i w:val="1"/>
          <w:iCs w:val="1"/>
          <w:color w:val="auto"/>
        </w:rPr>
        <w:t>Service Recipient</w:t>
      </w:r>
      <w:r>
        <w:rPr>
          <w:rFonts w:ascii="Arial" w:cs="Arial" w:eastAsia="Arial" w:hAnsi="Arial"/>
          <w:sz w:val="19"/>
          <w:szCs w:val="19"/>
          <w:color w:val="auto"/>
        </w:rPr>
        <w:t>”) of the existence of one or more of the conditions constituting Good Reason within 90 days following your knowledge of the initial existence of such condition or conditions, specifying in reasonable detail the conditions constituting Good Reason, and the Service Recipient shall have 30 days following receipt of such written notice (the “</w:t>
      </w:r>
      <w:r>
        <w:rPr>
          <w:rFonts w:ascii="Arial" w:cs="Arial" w:eastAsia="Arial" w:hAnsi="Arial"/>
          <w:sz w:val="19"/>
          <w:szCs w:val="19"/>
          <w:b w:val="1"/>
          <w:bCs w:val="1"/>
          <w:i w:val="1"/>
          <w:iCs w:val="1"/>
          <w:color w:val="auto"/>
        </w:rPr>
        <w:t>Cure Period</w:t>
      </w:r>
      <w:r>
        <w:rPr>
          <w:rFonts w:ascii="Arial" w:cs="Arial" w:eastAsia="Arial" w:hAnsi="Arial"/>
          <w:sz w:val="19"/>
          <w:szCs w:val="19"/>
          <w:color w:val="auto"/>
        </w:rPr>
        <w:t>”) during which it may remedy the condition. In the event that the Service Recipient fails to remedy the condition constituting Good Reason during the applicable Cure Period, your Termination of Service must occur, if at all, within 90 days following the expiration of such Cure Period in order for such termination as a result of such condition to constitute a Termination of Service for Good Reason.</w:t>
      </w:r>
    </w:p>
    <w:p>
      <w:pPr>
        <w:spacing w:after="0" w:line="202" w:lineRule="exact"/>
        <w:rPr>
          <w:sz w:val="20"/>
          <w:szCs w:val="20"/>
          <w:color w:val="auto"/>
        </w:rPr>
      </w:pPr>
    </w:p>
    <w:p>
      <w:pPr>
        <w:ind w:left="1620" w:hanging="355"/>
        <w:spacing w:after="0"/>
        <w:tabs>
          <w:tab w:leader="none" w:pos="1620" w:val="left"/>
        </w:tabs>
        <w:numPr>
          <w:ilvl w:val="0"/>
          <w:numId w:val="44"/>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Grant Date</w:t>
      </w:r>
      <w:r>
        <w:rPr>
          <w:rFonts w:ascii="Arial" w:cs="Arial" w:eastAsia="Arial" w:hAnsi="Arial"/>
          <w:sz w:val="19"/>
          <w:szCs w:val="19"/>
          <w:color w:val="auto"/>
        </w:rPr>
        <w:t>” means the date set forth on the Notice indicating when the grant of Stock Units was approved by the</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Committee.</w:t>
      </w:r>
    </w:p>
    <w:p>
      <w:pPr>
        <w:spacing w:after="0" w:line="205" w:lineRule="exact"/>
        <w:rPr>
          <w:sz w:val="20"/>
          <w:szCs w:val="20"/>
          <w:color w:val="auto"/>
        </w:rPr>
      </w:pPr>
    </w:p>
    <w:p>
      <w:pPr>
        <w:ind w:firstLine="1265"/>
        <w:spacing w:after="0" w:line="273" w:lineRule="auto"/>
        <w:tabs>
          <w:tab w:leader="none" w:pos="1733" w:val="left"/>
        </w:tabs>
        <w:numPr>
          <w:ilvl w:val="0"/>
          <w:numId w:val="45"/>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means the Notice of Grant of Restricted Stock Units Award that correlates with these Terms and sets forth the specifics of the applicable award of Stock Units.</w:t>
      </w:r>
    </w:p>
    <w:p>
      <w:pPr>
        <w:spacing w:after="0" w:line="178" w:lineRule="exact"/>
        <w:rPr>
          <w:rFonts w:ascii="Arial" w:cs="Arial" w:eastAsia="Arial" w:hAnsi="Arial"/>
          <w:sz w:val="20"/>
          <w:szCs w:val="20"/>
          <w:color w:val="auto"/>
        </w:rPr>
      </w:pPr>
    </w:p>
    <w:p>
      <w:pPr>
        <w:ind w:right="140" w:firstLine="1265"/>
        <w:spacing w:after="0" w:line="302" w:lineRule="auto"/>
        <w:tabs>
          <w:tab w:leader="none" w:pos="1678" w:val="left"/>
        </w:tabs>
        <w:numPr>
          <w:ilvl w:val="0"/>
          <w:numId w:val="45"/>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Peer Company</w:t>
      </w:r>
      <w:r>
        <w:rPr>
          <w:rFonts w:ascii="Arial" w:cs="Arial" w:eastAsia="Arial" w:hAnsi="Arial"/>
          <w:sz w:val="19"/>
          <w:szCs w:val="19"/>
          <w:color w:val="auto"/>
        </w:rPr>
        <w:t>” or collectively “</w:t>
      </w:r>
      <w:r>
        <w:rPr>
          <w:rFonts w:ascii="Arial" w:cs="Arial" w:eastAsia="Arial" w:hAnsi="Arial"/>
          <w:sz w:val="19"/>
          <w:szCs w:val="19"/>
          <w:b w:val="1"/>
          <w:bCs w:val="1"/>
          <w:i w:val="1"/>
          <w:iCs w:val="1"/>
          <w:color w:val="auto"/>
        </w:rPr>
        <w:t>Peer Companies</w:t>
      </w:r>
      <w:r>
        <w:rPr>
          <w:rFonts w:ascii="Arial" w:cs="Arial" w:eastAsia="Arial" w:hAnsi="Arial"/>
          <w:sz w:val="19"/>
          <w:szCs w:val="19"/>
          <w:color w:val="auto"/>
        </w:rPr>
        <w:t>” means each of the entities listed on the correlating Notice and each Peer Company’s successor; so long as each</w:t>
      </w:r>
    </w:p>
    <w:p>
      <w:pPr>
        <w:spacing w:after="0" w:line="200" w:lineRule="exact"/>
        <w:rPr>
          <w:sz w:val="20"/>
          <w:szCs w:val="20"/>
          <w:color w:val="auto"/>
        </w:rPr>
      </w:pPr>
    </w:p>
    <w:p>
      <w:pPr>
        <w:spacing w:after="0" w:line="31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320" w:top="1297" w:right="239" w:bottom="1440" w:gutter="0" w:footer="0" w:header="0"/>
        </w:sectPr>
      </w:pPr>
    </w:p>
    <w:bookmarkStart w:id="64" w:name="page65"/>
    <w:bookmarkEnd w:id="64"/>
    <w:p>
      <w:pPr>
        <w:ind w:right="80"/>
        <w:spacing w:after="0" w:line="256" w:lineRule="auto"/>
        <w:rPr>
          <w:sz w:val="20"/>
          <w:szCs w:val="20"/>
          <w:color w:val="auto"/>
        </w:rPr>
      </w:pPr>
      <w:r>
        <w:rPr>
          <w:rFonts w:ascii="Arial" w:cs="Arial" w:eastAsia="Arial" w:hAnsi="Arial"/>
          <w:sz w:val="19"/>
          <w:szCs w:val="19"/>
          <w:color w:val="auto"/>
        </w:rPr>
        <w:t>Peer Company has a class of common securities listed for public trade on a national securities exchange or market from the beginning through the end of the Performance Period or otherwise files financial statements with the Securities and Exchange Commission, as defined on the correlating Notice. The Peer Companies shall be changed as follows:</w:t>
      </w:r>
    </w:p>
    <w:p>
      <w:pPr>
        <w:spacing w:after="0" w:line="206" w:lineRule="exact"/>
        <w:rPr>
          <w:sz w:val="20"/>
          <w:szCs w:val="20"/>
          <w:color w:val="auto"/>
        </w:rPr>
      </w:pPr>
    </w:p>
    <w:p>
      <w:pPr>
        <w:ind w:left="640" w:right="80" w:firstLine="1260"/>
        <w:spacing w:after="0" w:line="256" w:lineRule="auto"/>
        <w:tabs>
          <w:tab w:leader="none" w:pos="2244" w:val="left"/>
        </w:tabs>
        <w:numPr>
          <w:ilvl w:val="1"/>
          <w:numId w:val="46"/>
        </w:numPr>
        <w:rPr>
          <w:rFonts w:ascii="Arial" w:cs="Arial" w:eastAsia="Arial" w:hAnsi="Arial"/>
          <w:sz w:val="19"/>
          <w:szCs w:val="19"/>
          <w:color w:val="auto"/>
        </w:rPr>
      </w:pPr>
      <w:r>
        <w:rPr>
          <w:rFonts w:ascii="Arial" w:cs="Arial" w:eastAsia="Arial" w:hAnsi="Arial"/>
          <w:sz w:val="19"/>
          <w:szCs w:val="19"/>
          <w:color w:val="auto"/>
        </w:rPr>
        <w:t>In the event that, at any time during the Performance Period, a Peer Company is no longer included in the same Standard &amp; Poor’s Global Industry Classification Standard (“GICS”) Sub-Industry as Price Group, such company shall no longer be a Peer Company.</w:t>
      </w:r>
    </w:p>
    <w:p>
      <w:pPr>
        <w:spacing w:after="0" w:line="205" w:lineRule="exact"/>
        <w:rPr>
          <w:rFonts w:ascii="Arial" w:cs="Arial" w:eastAsia="Arial" w:hAnsi="Arial"/>
          <w:sz w:val="19"/>
          <w:szCs w:val="19"/>
          <w:color w:val="auto"/>
        </w:rPr>
      </w:pPr>
    </w:p>
    <w:p>
      <w:pPr>
        <w:ind w:left="640" w:right="180" w:firstLine="1260"/>
        <w:spacing w:after="0" w:line="256" w:lineRule="auto"/>
        <w:tabs>
          <w:tab w:leader="none" w:pos="2286" w:val="left"/>
        </w:tabs>
        <w:numPr>
          <w:ilvl w:val="1"/>
          <w:numId w:val="46"/>
        </w:numPr>
        <w:rPr>
          <w:rFonts w:ascii="Arial" w:cs="Arial" w:eastAsia="Arial" w:hAnsi="Arial"/>
          <w:sz w:val="19"/>
          <w:szCs w:val="19"/>
          <w:color w:val="auto"/>
        </w:rPr>
      </w:pPr>
      <w:r>
        <w:rPr>
          <w:rFonts w:ascii="Arial" w:cs="Arial" w:eastAsia="Arial" w:hAnsi="Arial"/>
          <w:sz w:val="19"/>
          <w:szCs w:val="19"/>
          <w:color w:val="auto"/>
        </w:rPr>
        <w:t>In the event of a merger, acquisition or business combination transaction of a Peer Company with or by another Peer Company, the surviving entity shall remain a Peer Company, provided that the surviving entity is still in the same GICS Sub-Industry as Price Group.</w:t>
      </w:r>
    </w:p>
    <w:p>
      <w:pPr>
        <w:spacing w:after="0" w:line="205" w:lineRule="exact"/>
        <w:rPr>
          <w:rFonts w:ascii="Arial" w:cs="Arial" w:eastAsia="Arial" w:hAnsi="Arial"/>
          <w:sz w:val="19"/>
          <w:szCs w:val="19"/>
          <w:color w:val="auto"/>
        </w:rPr>
      </w:pPr>
    </w:p>
    <w:p>
      <w:pPr>
        <w:ind w:left="640" w:right="220" w:firstLine="1260"/>
        <w:spacing w:after="0" w:line="255" w:lineRule="auto"/>
        <w:tabs>
          <w:tab w:leader="none" w:pos="2328" w:val="left"/>
        </w:tabs>
        <w:numPr>
          <w:ilvl w:val="1"/>
          <w:numId w:val="46"/>
        </w:numPr>
        <w:rPr>
          <w:rFonts w:ascii="Arial" w:cs="Arial" w:eastAsia="Arial" w:hAnsi="Arial"/>
          <w:sz w:val="19"/>
          <w:szCs w:val="19"/>
          <w:color w:val="auto"/>
        </w:rPr>
      </w:pPr>
      <w:r>
        <w:rPr>
          <w:rFonts w:ascii="Arial" w:cs="Arial" w:eastAsia="Arial" w:hAnsi="Arial"/>
          <w:sz w:val="19"/>
          <w:szCs w:val="19"/>
          <w:color w:val="auto"/>
        </w:rPr>
        <w:t>In the event of a merger of a Peer Company with or by an entity that is not a Peer Company, or the acquisition or business combination transaction of a Peer Company with an entity that is not a Peer Company, in each case, where the Peer Company is the surviving entity, the surviving entity shall remain a Peer Company, provided that the surviving entity is still in the same GICS Sub-Industry as Price Group.</w:t>
      </w:r>
    </w:p>
    <w:p>
      <w:pPr>
        <w:spacing w:after="0" w:line="205" w:lineRule="exact"/>
        <w:rPr>
          <w:rFonts w:ascii="Arial" w:cs="Arial" w:eastAsia="Arial" w:hAnsi="Arial"/>
          <w:sz w:val="19"/>
          <w:szCs w:val="19"/>
          <w:color w:val="auto"/>
        </w:rPr>
      </w:pPr>
    </w:p>
    <w:p>
      <w:pPr>
        <w:ind w:left="640" w:firstLine="1260"/>
        <w:spacing w:after="0" w:line="255" w:lineRule="auto"/>
        <w:tabs>
          <w:tab w:leader="none" w:pos="2338" w:val="left"/>
        </w:tabs>
        <w:numPr>
          <w:ilvl w:val="1"/>
          <w:numId w:val="46"/>
        </w:numPr>
        <w:rPr>
          <w:rFonts w:ascii="Arial" w:cs="Arial" w:eastAsia="Arial" w:hAnsi="Arial"/>
          <w:sz w:val="19"/>
          <w:szCs w:val="19"/>
          <w:color w:val="auto"/>
        </w:rPr>
      </w:pPr>
      <w:r>
        <w:rPr>
          <w:rFonts w:ascii="Arial" w:cs="Arial" w:eastAsia="Arial" w:hAnsi="Arial"/>
          <w:sz w:val="19"/>
          <w:szCs w:val="19"/>
          <w:color w:val="auto"/>
        </w:rPr>
        <w:t>In the event of a merger or acquisition or business combination transaction of a Peer Company with or by an entity that is not a Peer Company, other form of “going private” transaction relating to any Peer Company or the liquidation of any Peer Company, where such Peer Company is not the surviving entity or is otherwise no longer publicly traded, the company shall no longer be a Peer Company.</w:t>
      </w:r>
    </w:p>
    <w:p>
      <w:pPr>
        <w:spacing w:after="0" w:line="192" w:lineRule="exact"/>
        <w:rPr>
          <w:rFonts w:ascii="Arial" w:cs="Arial" w:eastAsia="Arial" w:hAnsi="Arial"/>
          <w:sz w:val="19"/>
          <w:szCs w:val="19"/>
          <w:color w:val="auto"/>
        </w:rPr>
      </w:pPr>
    </w:p>
    <w:p>
      <w:pPr>
        <w:ind w:left="2300" w:hanging="400"/>
        <w:spacing w:after="0"/>
        <w:tabs>
          <w:tab w:leader="none" w:pos="2300" w:val="left"/>
        </w:tabs>
        <w:numPr>
          <w:ilvl w:val="1"/>
          <w:numId w:val="46"/>
        </w:numPr>
        <w:rPr>
          <w:rFonts w:ascii="Arial" w:cs="Arial" w:eastAsia="Arial" w:hAnsi="Arial"/>
          <w:sz w:val="19"/>
          <w:szCs w:val="19"/>
          <w:color w:val="auto"/>
        </w:rPr>
      </w:pPr>
      <w:r>
        <w:rPr>
          <w:rFonts w:ascii="Arial" w:cs="Arial" w:eastAsia="Arial" w:hAnsi="Arial"/>
          <w:sz w:val="19"/>
          <w:szCs w:val="19"/>
          <w:color w:val="auto"/>
        </w:rPr>
        <w:t>In the event of a bankruptcy of a Peer Company, such company shall remain a Peer Company.</w:t>
      </w:r>
    </w:p>
    <w:p>
      <w:pPr>
        <w:spacing w:after="0" w:line="205" w:lineRule="exact"/>
        <w:rPr>
          <w:rFonts w:ascii="Arial" w:cs="Arial" w:eastAsia="Arial" w:hAnsi="Arial"/>
          <w:sz w:val="19"/>
          <w:szCs w:val="19"/>
          <w:color w:val="auto"/>
        </w:rPr>
      </w:pPr>
    </w:p>
    <w:p>
      <w:pPr>
        <w:ind w:right="560" w:firstLine="1265"/>
        <w:spacing w:after="0" w:line="273" w:lineRule="auto"/>
        <w:tabs>
          <w:tab w:leader="none" w:pos="1678" w:val="left"/>
        </w:tabs>
        <w:numPr>
          <w:ilvl w:val="0"/>
          <w:numId w:val="47"/>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Threshold</w:t>
      </w:r>
      <w:r>
        <w:rPr>
          <w:rFonts w:ascii="Arial" w:cs="Arial" w:eastAsia="Arial" w:hAnsi="Arial"/>
          <w:sz w:val="19"/>
          <w:szCs w:val="19"/>
          <w:color w:val="auto"/>
        </w:rPr>
        <w:t>” means the performance objective(s) set forth on the Notice, if any, which must be satisfied in order for any Stock Units to become vested, except as otherwise provided in this Agreement.</w:t>
      </w:r>
    </w:p>
    <w:p>
      <w:pPr>
        <w:spacing w:after="0" w:line="151" w:lineRule="exact"/>
        <w:rPr>
          <w:rFonts w:ascii="Arial" w:cs="Arial" w:eastAsia="Arial" w:hAnsi="Arial"/>
          <w:sz w:val="20"/>
          <w:szCs w:val="20"/>
          <w:color w:val="auto"/>
        </w:rPr>
      </w:pPr>
    </w:p>
    <w:p>
      <w:pPr>
        <w:ind w:left="1680" w:hanging="415"/>
        <w:spacing w:after="0"/>
        <w:tabs>
          <w:tab w:leader="none" w:pos="1680" w:val="left"/>
        </w:tabs>
        <w:numPr>
          <w:ilvl w:val="0"/>
          <w:numId w:val="47"/>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Plan</w:t>
      </w:r>
      <w:r>
        <w:rPr>
          <w:rFonts w:ascii="Arial" w:cs="Arial" w:eastAsia="Arial" w:hAnsi="Arial"/>
          <w:sz w:val="19"/>
          <w:szCs w:val="19"/>
          <w:color w:val="auto"/>
        </w:rPr>
        <w:t>” means the T. Rowe Price Group, Inc. 2012 Long-Term Incentive</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Plan.</w:t>
      </w:r>
    </w:p>
    <w:p>
      <w:pPr>
        <w:spacing w:after="0" w:line="192" w:lineRule="exact"/>
        <w:rPr>
          <w:sz w:val="20"/>
          <w:szCs w:val="20"/>
          <w:color w:val="auto"/>
        </w:rPr>
      </w:pPr>
    </w:p>
    <w:p>
      <w:pPr>
        <w:ind w:left="1680" w:hanging="415"/>
        <w:spacing w:after="0"/>
        <w:tabs>
          <w:tab w:leader="none" w:pos="1680" w:val="left"/>
        </w:tabs>
        <w:numPr>
          <w:ilvl w:val="0"/>
          <w:numId w:val="48"/>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Price Group</w:t>
      </w:r>
      <w:r>
        <w:rPr>
          <w:rFonts w:ascii="Arial" w:cs="Arial" w:eastAsia="Arial" w:hAnsi="Arial"/>
          <w:sz w:val="19"/>
          <w:szCs w:val="19"/>
          <w:color w:val="auto"/>
        </w:rPr>
        <w:t>” means T. Rowe Price Group, Inc.</w:t>
      </w:r>
    </w:p>
    <w:p>
      <w:pPr>
        <w:spacing w:after="0" w:line="229" w:lineRule="exact"/>
        <w:rPr>
          <w:rFonts w:ascii="Arial" w:cs="Arial" w:eastAsia="Arial" w:hAnsi="Arial"/>
          <w:sz w:val="20"/>
          <w:szCs w:val="20"/>
          <w:color w:val="auto"/>
        </w:rPr>
      </w:pPr>
    </w:p>
    <w:p>
      <w:pPr>
        <w:ind w:firstLine="1265"/>
        <w:spacing w:after="0" w:line="302" w:lineRule="auto"/>
        <w:tabs>
          <w:tab w:leader="none" w:pos="1634" w:val="left"/>
        </w:tabs>
        <w:numPr>
          <w:ilvl w:val="0"/>
          <w:numId w:val="48"/>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Qualified Performance-Based Award</w:t>
      </w:r>
      <w:r>
        <w:rPr>
          <w:rFonts w:ascii="Arial" w:cs="Arial" w:eastAsia="Arial" w:hAnsi="Arial"/>
          <w:sz w:val="19"/>
          <w:szCs w:val="19"/>
          <w:color w:val="auto"/>
        </w:rPr>
        <w:t>” means a grant that is intended by the Executive Compensation Committee to qualify for the exemption from the limitation on deductibility imposed by Section 162(m)(4)(C) of the Code.</w:t>
      </w:r>
    </w:p>
    <w:p>
      <w:pPr>
        <w:spacing w:after="0" w:line="151" w:lineRule="exact"/>
        <w:rPr>
          <w:rFonts w:ascii="Arial" w:cs="Arial" w:eastAsia="Arial" w:hAnsi="Arial"/>
          <w:sz w:val="20"/>
          <w:szCs w:val="20"/>
          <w:color w:val="auto"/>
        </w:rPr>
      </w:pPr>
    </w:p>
    <w:p>
      <w:pPr>
        <w:ind w:right="80" w:firstLine="1265"/>
        <w:spacing w:after="0" w:line="257" w:lineRule="auto"/>
        <w:tabs>
          <w:tab w:leader="none" w:pos="1667" w:val="left"/>
        </w:tabs>
        <w:numPr>
          <w:ilvl w:val="0"/>
          <w:numId w:val="48"/>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Service</w:t>
      </w:r>
      <w:r>
        <w:rPr>
          <w:rFonts w:ascii="Arial" w:cs="Arial" w:eastAsia="Arial" w:hAnsi="Arial"/>
          <w:sz w:val="19"/>
          <w:szCs w:val="19"/>
          <w:color w:val="auto"/>
        </w:rPr>
        <w:t>” means your employment with the Company, inclusive of any period of credited service that may be allocated to you by the Company in writing for periods during which you were not employed with the Company. Your Service will be considered to have ceased with the Company if, immediately after a sale, merger or other corporate transaction, the trade, business or entity with which you are employed is not T. Rowe Price Group, Inc. or its successor or an Affiliate of T. Rowe Price Group, Inc. or its successor.</w:t>
      </w:r>
    </w:p>
    <w:p>
      <w:pPr>
        <w:spacing w:after="0" w:line="200" w:lineRule="exact"/>
        <w:rPr>
          <w:sz w:val="20"/>
          <w:szCs w:val="20"/>
          <w:color w:val="auto"/>
        </w:rPr>
      </w:pP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320" w:top="1076" w:right="259" w:bottom="1440" w:gutter="0" w:footer="0" w:header="0"/>
        </w:sectPr>
      </w:pPr>
    </w:p>
    <w:bookmarkStart w:id="65" w:name="page66"/>
    <w:bookmarkEnd w:id="65"/>
    <w:p>
      <w:pPr>
        <w:ind w:right="40" w:firstLine="1265"/>
        <w:spacing w:after="0" w:line="282" w:lineRule="auto"/>
        <w:tabs>
          <w:tab w:leader="none" w:pos="1623" w:val="left"/>
        </w:tabs>
        <w:numPr>
          <w:ilvl w:val="1"/>
          <w:numId w:val="49"/>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Unit</w:t>
      </w:r>
      <w:r>
        <w:rPr>
          <w:rFonts w:ascii="Arial" w:cs="Arial" w:eastAsia="Arial" w:hAnsi="Arial"/>
          <w:sz w:val="18"/>
          <w:szCs w:val="18"/>
          <w:color w:val="auto"/>
        </w:rPr>
        <w:t>” means a bookkeeping entry used by the Company to record and account for the grant of a restricted stock unit until such time as such restricted stock unit is settled, forfeited or terminated, as the case may be. Each Stock Unit represents a contractual obligation of the Company to deliver one share of Common Stock to the holder upon vesting of the Stock Unit.</w:t>
      </w:r>
    </w:p>
    <w:p>
      <w:pPr>
        <w:spacing w:after="0" w:line="161" w:lineRule="exact"/>
        <w:rPr>
          <w:rFonts w:ascii="Arial" w:cs="Arial" w:eastAsia="Arial" w:hAnsi="Arial"/>
          <w:sz w:val="19"/>
          <w:szCs w:val="19"/>
          <w:color w:val="auto"/>
        </w:rPr>
      </w:pPr>
    </w:p>
    <w:p>
      <w:pPr>
        <w:ind w:firstLine="1265"/>
        <w:spacing w:after="0" w:line="256" w:lineRule="auto"/>
        <w:tabs>
          <w:tab w:leader="none" w:pos="1678" w:val="left"/>
        </w:tabs>
        <w:numPr>
          <w:ilvl w:val="1"/>
          <w:numId w:val="49"/>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Termination of Service</w:t>
      </w:r>
      <w:r>
        <w:rPr>
          <w:rFonts w:ascii="Arial" w:cs="Arial" w:eastAsia="Arial" w:hAnsi="Arial"/>
          <w:sz w:val="19"/>
          <w:szCs w:val="19"/>
          <w:color w:val="auto"/>
        </w:rPr>
        <w:t xml:space="preserve">” means the termination of your employment with the Company. Temporary absences from employment because of illness, vacation or leave of absence and transfers among entities that comprise the Company, including all Affiliates, shall not be considered Terminations of Service;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Committee has discretion to determine that a Termination of Service has occurred if, for six continuous months, you are absent or otherwise unable for any reason to perform substantially all the essential duties of your position, as determined by the Committee. The Committee has discretion to determine the date upon which you incur a Termination of Service.</w:t>
      </w:r>
    </w:p>
    <w:p>
      <w:pPr>
        <w:spacing w:after="0" w:line="196" w:lineRule="exact"/>
        <w:rPr>
          <w:rFonts w:ascii="Arial" w:cs="Arial" w:eastAsia="Arial" w:hAnsi="Arial"/>
          <w:sz w:val="20"/>
          <w:szCs w:val="20"/>
          <w:color w:val="auto"/>
        </w:rPr>
      </w:pPr>
    </w:p>
    <w:p>
      <w:pPr>
        <w:ind w:left="1680" w:hanging="415"/>
        <w:spacing w:after="0"/>
        <w:tabs>
          <w:tab w:leader="none" w:pos="1680" w:val="left"/>
        </w:tabs>
        <w:numPr>
          <w:ilvl w:val="1"/>
          <w:numId w:val="49"/>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Terms</w:t>
      </w:r>
      <w:r>
        <w:rPr>
          <w:rFonts w:ascii="Arial" w:cs="Arial" w:eastAsia="Arial" w:hAnsi="Arial"/>
          <w:sz w:val="19"/>
          <w:szCs w:val="19"/>
          <w:color w:val="auto"/>
        </w:rPr>
        <w:t>” mean this Statement of Additional Terms Regarding Awards of Restricted Stock Units.</w:t>
      </w:r>
    </w:p>
    <w:p>
      <w:pPr>
        <w:spacing w:after="0" w:line="242" w:lineRule="exact"/>
        <w:rPr>
          <w:rFonts w:ascii="Arial" w:cs="Arial" w:eastAsia="Arial" w:hAnsi="Arial"/>
          <w:sz w:val="20"/>
          <w:szCs w:val="20"/>
          <w:color w:val="auto"/>
        </w:rPr>
      </w:pPr>
    </w:p>
    <w:p>
      <w:pPr>
        <w:ind w:right="180" w:firstLine="1265"/>
        <w:spacing w:after="0" w:line="286" w:lineRule="auto"/>
        <w:tabs>
          <w:tab w:leader="none" w:pos="1711" w:val="left"/>
        </w:tabs>
        <w:numPr>
          <w:ilvl w:val="1"/>
          <w:numId w:val="49"/>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Total and Permanent Disability</w:t>
      </w:r>
      <w:r>
        <w:rPr>
          <w:rFonts w:ascii="Arial" w:cs="Arial" w:eastAsia="Arial" w:hAnsi="Arial"/>
          <w:sz w:val="18"/>
          <w:szCs w:val="18"/>
          <w:color w:val="auto"/>
        </w:rPr>
        <w:t>” means that you are (i) unable to engage in any substantial gainful activity by reason of any medically determinable physical or mental impairment that can be expected to last until your death or result in death, or</w:t>
      </w:r>
    </w:p>
    <w:p>
      <w:pPr>
        <w:spacing w:after="0" w:line="1" w:lineRule="exact"/>
        <w:rPr>
          <w:rFonts w:ascii="Arial" w:cs="Arial" w:eastAsia="Arial" w:hAnsi="Arial"/>
          <w:sz w:val="19"/>
          <w:szCs w:val="19"/>
          <w:color w:val="auto"/>
        </w:rPr>
      </w:pPr>
    </w:p>
    <w:p>
      <w:pPr>
        <w:ind w:firstLine="9"/>
        <w:spacing w:after="0" w:line="254" w:lineRule="auto"/>
        <w:tabs>
          <w:tab w:leader="none" w:pos="263" w:val="left"/>
        </w:tabs>
        <w:numPr>
          <w:ilvl w:val="0"/>
          <w:numId w:val="50"/>
        </w:numPr>
        <w:rPr>
          <w:rFonts w:ascii="Arial" w:cs="Arial" w:eastAsia="Arial" w:hAnsi="Arial"/>
          <w:sz w:val="19"/>
          <w:szCs w:val="19"/>
          <w:color w:val="auto"/>
        </w:rPr>
      </w:pPr>
      <w:r>
        <w:rPr>
          <w:rFonts w:ascii="Arial" w:cs="Arial" w:eastAsia="Arial" w:hAnsi="Arial"/>
          <w:sz w:val="19"/>
          <w:szCs w:val="19"/>
          <w:color w:val="auto"/>
        </w:rPr>
        <w:t>determined to be totally disabled by the Social Security Administration or other governmental or quasi-governmental body that administers a comparable social insurance program outside of the United States in which you participate and that conditions the right to receive benefits under such program on your being unable to engage in any substantial gainful activity by reason of any medically determinable physical or mental impairment which can be expected to last until your death or result in death. The Committee may require such medical or other evidence as it deems necessary to judge the nature and permanency of your condition.</w:t>
      </w:r>
    </w:p>
    <w:p>
      <w:pPr>
        <w:spacing w:after="0" w:line="185" w:lineRule="exact"/>
        <w:rPr>
          <w:rFonts w:ascii="Arial" w:cs="Arial" w:eastAsia="Arial" w:hAnsi="Arial"/>
          <w:sz w:val="19"/>
          <w:szCs w:val="19"/>
          <w:color w:val="auto"/>
        </w:rPr>
      </w:pPr>
    </w:p>
    <w:p>
      <w:pPr>
        <w:ind w:right="40" w:firstLine="1265"/>
        <w:spacing w:after="0" w:line="260" w:lineRule="auto"/>
        <w:tabs>
          <w:tab w:leader="none" w:pos="1687" w:val="left"/>
        </w:tabs>
        <w:numPr>
          <w:ilvl w:val="1"/>
          <w:numId w:val="5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You</w:t>
      </w:r>
      <w:r>
        <w:rPr>
          <w:rFonts w:ascii="Arial" w:cs="Arial" w:eastAsia="Arial" w:hAnsi="Arial"/>
          <w:sz w:val="19"/>
          <w:szCs w:val="19"/>
          <w:color w:val="auto"/>
        </w:rPr>
        <w:t>”; “</w:t>
      </w:r>
      <w:r>
        <w:rPr>
          <w:rFonts w:ascii="Arial" w:cs="Arial" w:eastAsia="Arial" w:hAnsi="Arial"/>
          <w:sz w:val="19"/>
          <w:szCs w:val="19"/>
          <w:b w:val="1"/>
          <w:bCs w:val="1"/>
          <w:i w:val="1"/>
          <w:iCs w:val="1"/>
          <w:color w:val="auto"/>
        </w:rPr>
        <w:t>Your</w:t>
      </w:r>
      <w:r>
        <w:rPr>
          <w:rFonts w:ascii="Arial" w:cs="Arial" w:eastAsia="Arial" w:hAnsi="Arial"/>
          <w:sz w:val="19"/>
          <w:szCs w:val="19"/>
          <w:color w:val="auto"/>
        </w:rPr>
        <w:t>”. You, whether or not capitalized, means the recipient of the Stock Units as reflected in the Notice. Whenever the word “you” or “your” is used in any provision of this Agreement under circumstances where the provision should logically be construed, as determined by the Committee, to apply to the estate, personal representative, or beneficiary to whom the Stock Units may be transferred by will or by the laws of descent and distribution, the words “you” and “your” shall be deemed to include such person.</w:t>
      </w:r>
    </w:p>
    <w:p>
      <w:pPr>
        <w:spacing w:after="0" w:line="200" w:lineRule="exact"/>
        <w:rPr>
          <w:sz w:val="20"/>
          <w:szCs w:val="20"/>
          <w:color w:val="auto"/>
        </w:rPr>
      </w:pPr>
    </w:p>
    <w:p>
      <w:pPr>
        <w:spacing w:after="0" w:line="226"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Appendix begins on next page</w:t>
      </w:r>
      <w:r>
        <w:rPr>
          <w:rFonts w:ascii="Arial" w:cs="Arial" w:eastAsia="Arial" w:hAnsi="Arial"/>
          <w:sz w:val="19"/>
          <w:szCs w:val="19"/>
          <w:color w:val="auto"/>
        </w:rPr>
        <w:t>}</w:t>
      </w:r>
    </w:p>
    <w:p>
      <w:pPr>
        <w:spacing w:after="0" w:line="200" w:lineRule="exact"/>
        <w:rPr>
          <w:sz w:val="20"/>
          <w:szCs w:val="20"/>
          <w:color w:val="auto"/>
        </w:rPr>
      </w:pP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320" w:top="1054" w:right="259" w:bottom="1440" w:gutter="0" w:footer="0" w:header="0"/>
        </w:sectPr>
      </w:pPr>
    </w:p>
    <w:bookmarkStart w:id="66" w:name="page67"/>
    <w:bookmarkEnd w:id="66"/>
    <w:p>
      <w:pPr>
        <w:jc w:val="right"/>
        <w:spacing w:after="0"/>
        <w:rPr>
          <w:sz w:val="20"/>
          <w:szCs w:val="20"/>
          <w:color w:val="auto"/>
        </w:rPr>
      </w:pPr>
      <w:r>
        <w:rPr>
          <w:rFonts w:ascii="Arial" w:cs="Arial" w:eastAsia="Arial" w:hAnsi="Arial"/>
          <w:sz w:val="19"/>
          <w:szCs w:val="19"/>
          <w:b w:val="1"/>
          <w:bCs w:val="1"/>
          <w:color w:val="auto"/>
        </w:rPr>
        <w:t>APPENDIX</w:t>
      </w:r>
    </w:p>
    <w:p>
      <w:pPr>
        <w:spacing w:after="0" w:line="200" w:lineRule="exact"/>
        <w:rPr>
          <w:sz w:val="20"/>
          <w:szCs w:val="20"/>
          <w:color w:val="auto"/>
        </w:rPr>
      </w:pPr>
    </w:p>
    <w:p>
      <w:pPr>
        <w:spacing w:after="0" w:line="230" w:lineRule="exact"/>
        <w:rPr>
          <w:sz w:val="20"/>
          <w:szCs w:val="20"/>
          <w:color w:val="auto"/>
        </w:rPr>
      </w:pPr>
    </w:p>
    <w:p>
      <w:pPr>
        <w:ind w:left="3240"/>
        <w:spacing w:after="0"/>
        <w:rPr>
          <w:sz w:val="20"/>
          <w:szCs w:val="20"/>
          <w:color w:val="auto"/>
        </w:rPr>
      </w:pPr>
      <w:r>
        <w:rPr>
          <w:rFonts w:ascii="Arial" w:cs="Arial" w:eastAsia="Arial" w:hAnsi="Arial"/>
          <w:sz w:val="19"/>
          <w:szCs w:val="19"/>
          <w:b w:val="1"/>
          <w:bCs w:val="1"/>
          <w:color w:val="auto"/>
        </w:rPr>
        <w:t>APPENDIX TO THE STATEMENT OF ADDITIONAL TERMS</w:t>
      </w:r>
    </w:p>
    <w:p>
      <w:pPr>
        <w:spacing w:after="0" w:line="33" w:lineRule="exact"/>
        <w:rPr>
          <w:sz w:val="20"/>
          <w:szCs w:val="20"/>
          <w:color w:val="auto"/>
        </w:rPr>
      </w:pPr>
    </w:p>
    <w:p>
      <w:pPr>
        <w:ind w:left="3820"/>
        <w:spacing w:after="0"/>
        <w:rPr>
          <w:sz w:val="20"/>
          <w:szCs w:val="20"/>
          <w:color w:val="auto"/>
        </w:rPr>
      </w:pPr>
      <w:r>
        <w:rPr>
          <w:rFonts w:ascii="Arial" w:cs="Arial" w:eastAsia="Arial" w:hAnsi="Arial"/>
          <w:sz w:val="19"/>
          <w:szCs w:val="19"/>
          <w:b w:val="1"/>
          <w:bCs w:val="1"/>
          <w:color w:val="auto"/>
        </w:rPr>
        <w:t xml:space="preserve">REGARDING AWARDS OF STOCK UNITS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VERSION 2A</w:t>
      </w:r>
      <w:r>
        <w:rPr>
          <w:rFonts w:ascii="Arial" w:cs="Arial" w:eastAsia="Arial" w:hAnsi="Arial"/>
          <w:sz w:val="17"/>
          <w:szCs w:val="17"/>
          <w:b w:val="1"/>
          <w:bCs w:val="1"/>
          <w:color w:val="auto"/>
        </w:rPr>
        <w:t>)</w:t>
      </w:r>
    </w:p>
    <w:p>
      <w:pPr>
        <w:spacing w:after="0" w:line="11" w:lineRule="exact"/>
        <w:rPr>
          <w:sz w:val="20"/>
          <w:szCs w:val="20"/>
          <w:color w:val="auto"/>
        </w:rPr>
      </w:pPr>
    </w:p>
    <w:p>
      <w:pPr>
        <w:ind w:left="5700"/>
        <w:spacing w:after="0"/>
        <w:rPr>
          <w:sz w:val="20"/>
          <w:szCs w:val="20"/>
          <w:color w:val="auto"/>
        </w:rPr>
      </w:pPr>
      <w:r>
        <w:rPr>
          <w:rFonts w:ascii="Arial" w:cs="Arial" w:eastAsia="Arial" w:hAnsi="Arial"/>
          <w:sz w:val="19"/>
          <w:szCs w:val="19"/>
          <w:b w:val="1"/>
          <w:bCs w:val="1"/>
          <w:color w:val="auto"/>
        </w:rPr>
        <w:t>UNDER THE</w:t>
      </w:r>
    </w:p>
    <w:p>
      <w:pPr>
        <w:ind w:left="3300"/>
        <w:spacing w:after="0"/>
        <w:rPr>
          <w:sz w:val="20"/>
          <w:szCs w:val="20"/>
          <w:color w:val="auto"/>
        </w:rPr>
      </w:pPr>
      <w:r>
        <w:rPr>
          <w:rFonts w:ascii="Arial" w:cs="Arial" w:eastAsia="Arial" w:hAnsi="Arial"/>
          <w:sz w:val="19"/>
          <w:szCs w:val="19"/>
          <w:b w:val="1"/>
          <w:bCs w:val="1"/>
          <w:color w:val="auto"/>
        </w:rPr>
        <w:t>T.ROWE PRICE GROUP, INC. 2012 LONG-TERM INCENTIVE PLAN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3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This Appendix includes additional terms and conditions that govern the Stock Units granted to you under the Plan if you reside in one of the countries listed below. Certain capitalized terms used but not defined in this Appendix have the meanings set forth in the Plan and/or the main body of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49"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This Appendix also includes information regarding exchange controls and certain other issues of which you should be aware with respect to your participation in the Plan. The information is based on the securities, exchange control and other laws in effect in the respective countries as of January 2015.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your Stock Units vest or you sell the shares of Common Stock acquired under the Plan.</w:t>
      </w:r>
    </w:p>
    <w:p>
      <w:pPr>
        <w:spacing w:after="0" w:line="206"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In addition, the information contained herein is general in nature and may not apply to your particular situation, and the Company is not in a position to assure you of any particular result. Accordingly, you are advised to seek appropriate professional advice as to how the relevant laws of your country may apply to your situation.</w:t>
      </w:r>
    </w:p>
    <w:p>
      <w:pPr>
        <w:spacing w:after="0" w:line="206" w:lineRule="exact"/>
        <w:rPr>
          <w:sz w:val="20"/>
          <w:szCs w:val="20"/>
          <w:color w:val="auto"/>
        </w:rPr>
      </w:pPr>
    </w:p>
    <w:p>
      <w:pPr>
        <w:jc w:val="both"/>
        <w:ind w:right="120"/>
        <w:spacing w:after="0" w:line="255" w:lineRule="auto"/>
        <w:rPr>
          <w:sz w:val="20"/>
          <w:szCs w:val="20"/>
          <w:color w:val="auto"/>
        </w:rPr>
      </w:pPr>
      <w:r>
        <w:rPr>
          <w:rFonts w:ascii="Arial" w:cs="Arial" w:eastAsia="Arial" w:hAnsi="Arial"/>
          <w:sz w:val="19"/>
          <w:szCs w:val="19"/>
          <w:color w:val="auto"/>
        </w:rPr>
        <w:t>Finally, if you are a citizen or resident of a country other than the one in which you are currently working or transfer to another country after the grant of the Stock Units, or you are considered a resident of another country for local law purposes, the information contained herein may not be applicable to you in the same manner. In addition, the Company shall, in its discretion, determine to what extent the terms and conditions contained herein shall apply to you under these circumstances.</w:t>
      </w:r>
    </w:p>
    <w:p>
      <w:pPr>
        <w:spacing w:after="0" w:line="155" w:lineRule="exact"/>
        <w:rPr>
          <w:sz w:val="20"/>
          <w:szCs w:val="20"/>
          <w:color w:val="auto"/>
        </w:rPr>
      </w:pPr>
    </w:p>
    <w:p>
      <w:pPr>
        <w:ind w:left="5700"/>
        <w:spacing w:after="0"/>
        <w:rPr>
          <w:sz w:val="20"/>
          <w:szCs w:val="20"/>
          <w:color w:val="auto"/>
        </w:rPr>
      </w:pPr>
      <w:r>
        <w:rPr>
          <w:rFonts w:ascii="Arial" w:cs="Arial" w:eastAsia="Arial" w:hAnsi="Arial"/>
          <w:sz w:val="19"/>
          <w:szCs w:val="19"/>
          <w:b w:val="1"/>
          <w:bCs w:val="1"/>
          <w:color w:val="auto"/>
        </w:rPr>
        <w:t>AUSTRALIA</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Notifications</w:t>
      </w:r>
    </w:p>
    <w:p>
      <w:pPr>
        <w:spacing w:after="0" w:line="224" w:lineRule="exact"/>
        <w:rPr>
          <w:sz w:val="20"/>
          <w:szCs w:val="20"/>
          <w:color w:val="auto"/>
        </w:rPr>
      </w:pPr>
    </w:p>
    <w:p>
      <w:pPr>
        <w:jc w:val="both"/>
        <w:ind w:right="160"/>
        <w:spacing w:after="0" w:line="256"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The offering and resale of shares of Common Stock acquired under the Plan to a person or entity resident in Australia may be subject to disclosure requirements under Australian law. You are encouraged to obtain legal advice regarding any applicable disclosure requirements prior to making any such offer.</w:t>
      </w:r>
    </w:p>
    <w:p>
      <w:pPr>
        <w:spacing w:after="0" w:line="200" w:lineRule="exact"/>
        <w:rPr>
          <w:sz w:val="20"/>
          <w:szCs w:val="20"/>
          <w:color w:val="auto"/>
        </w:rPr>
      </w:pPr>
    </w:p>
    <w:p>
      <w:pPr>
        <w:spacing w:after="0" w:line="36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320" w:top="1052" w:right="239" w:bottom="1440" w:gutter="0" w:footer="0" w:header="0"/>
        </w:sectPr>
      </w:pPr>
    </w:p>
    <w:bookmarkStart w:id="67" w:name="page68"/>
    <w:bookmarkEnd w:id="67"/>
    <w:p>
      <w:pPr>
        <w:ind w:left="5760"/>
        <w:spacing w:after="0"/>
        <w:rPr>
          <w:sz w:val="20"/>
          <w:szCs w:val="20"/>
          <w:color w:val="auto"/>
        </w:rPr>
      </w:pPr>
      <w:r>
        <w:rPr>
          <w:rFonts w:ascii="Arial" w:cs="Arial" w:eastAsia="Arial" w:hAnsi="Arial"/>
          <w:sz w:val="19"/>
          <w:szCs w:val="19"/>
          <w:b w:val="1"/>
          <w:bCs w:val="1"/>
          <w:color w:val="auto"/>
        </w:rPr>
        <w:t>DENMARK</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and Conditions</w:t>
      </w:r>
    </w:p>
    <w:p>
      <w:pPr>
        <w:spacing w:after="0" w:line="224" w:lineRule="exact"/>
        <w:rPr>
          <w:sz w:val="20"/>
          <w:szCs w:val="20"/>
          <w:color w:val="auto"/>
        </w:rPr>
      </w:pPr>
    </w:p>
    <w:p>
      <w:pPr>
        <w:ind w:right="100"/>
        <w:spacing w:after="0" w:line="255" w:lineRule="auto"/>
        <w:rPr>
          <w:sz w:val="20"/>
          <w:szCs w:val="20"/>
          <w:color w:val="auto"/>
        </w:rPr>
      </w:pPr>
      <w:r>
        <w:rPr>
          <w:rFonts w:ascii="Arial" w:cs="Arial" w:eastAsia="Arial" w:hAnsi="Arial"/>
          <w:sz w:val="19"/>
          <w:szCs w:val="19"/>
          <w:u w:val="single" w:color="auto"/>
          <w:color w:val="auto"/>
        </w:rPr>
        <w:t>Exchange Control/Tax Reporting Information</w:t>
      </w:r>
      <w:r>
        <w:rPr>
          <w:rFonts w:ascii="Arial" w:cs="Arial" w:eastAsia="Arial" w:hAnsi="Arial"/>
          <w:sz w:val="19"/>
          <w:szCs w:val="19"/>
          <w:color w:val="auto"/>
        </w:rPr>
        <w:t>. You understand and acknowledge that if you establish an account holding shares or an account holding cash outside Denmark, you may need to report such account to the Danish Tax Administration. You understand that you are encouraged to consult your personal tax and legal advisors on these and any other matters related to your participation in the Plan.</w:t>
      </w:r>
    </w:p>
    <w:p>
      <w:pPr>
        <w:spacing w:after="0" w:line="206"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u w:val="single" w:color="auto"/>
          <w:color w:val="auto"/>
        </w:rPr>
        <w:t>Statement under Section 3(1) of the Act on Stock Options</w:t>
      </w:r>
      <w:r>
        <w:rPr>
          <w:rFonts w:ascii="Arial" w:cs="Arial" w:eastAsia="Arial" w:hAnsi="Arial"/>
          <w:sz w:val="19"/>
          <w:szCs w:val="19"/>
          <w:color w:val="auto"/>
        </w:rPr>
        <w:t>. You understand that pursuant to Section 3(1) of the Act on Stock Options in employment relations (the "Stock Option Act"), you are entitled to receive information regarding the Plan in a separate written statement. The full statement containing the information about your rights under the Plan and the Stock Option Act is attached as a separate written statement provided at the same time as this Agreement.</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Notifications</w:t>
      </w:r>
    </w:p>
    <w:p>
      <w:pPr>
        <w:spacing w:after="0" w:line="238" w:lineRule="exact"/>
        <w:rPr>
          <w:sz w:val="20"/>
          <w:szCs w:val="20"/>
          <w:color w:val="auto"/>
        </w:rPr>
      </w:pPr>
    </w:p>
    <w:p>
      <w:pPr>
        <w:ind w:right="220"/>
        <w:spacing w:after="0" w:line="261" w:lineRule="auto"/>
        <w:rPr>
          <w:sz w:val="20"/>
          <w:szCs w:val="20"/>
          <w:color w:val="auto"/>
        </w:rPr>
      </w:pPr>
      <w:r>
        <w:rPr>
          <w:rFonts w:ascii="Arial" w:cs="Arial" w:eastAsia="Arial" w:hAnsi="Arial"/>
          <w:sz w:val="19"/>
          <w:szCs w:val="19"/>
          <w:u w:val="single" w:color="auto"/>
          <w:color w:val="auto"/>
        </w:rPr>
        <w:t>Securities Disclaimer</w:t>
      </w:r>
      <w:r>
        <w:rPr>
          <w:rFonts w:ascii="Arial" w:cs="Arial" w:eastAsia="Arial" w:hAnsi="Arial"/>
          <w:sz w:val="19"/>
          <w:szCs w:val="19"/>
          <w:color w:val="auto"/>
        </w:rPr>
        <w:t>. The grant of Stock Units under the Plan is exempt from the requirement to publish a prospectus under the EU Prospectus Directive as implemented in Denmark.</w:t>
      </w:r>
    </w:p>
    <w:p>
      <w:pPr>
        <w:spacing w:after="0" w:line="176" w:lineRule="exact"/>
        <w:rPr>
          <w:sz w:val="20"/>
          <w:szCs w:val="20"/>
          <w:color w:val="auto"/>
        </w:rPr>
      </w:pPr>
    </w:p>
    <w:p>
      <w:pPr>
        <w:ind w:left="5840"/>
        <w:spacing w:after="0"/>
        <w:rPr>
          <w:sz w:val="20"/>
          <w:szCs w:val="20"/>
          <w:color w:val="auto"/>
        </w:rPr>
      </w:pPr>
      <w:r>
        <w:rPr>
          <w:rFonts w:ascii="Arial" w:cs="Arial" w:eastAsia="Arial" w:hAnsi="Arial"/>
          <w:sz w:val="19"/>
          <w:szCs w:val="19"/>
          <w:b w:val="1"/>
          <w:bCs w:val="1"/>
          <w:color w:val="auto"/>
        </w:rPr>
        <w:t>CANADA</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and Conditions</w:t>
      </w:r>
    </w:p>
    <w:p>
      <w:pPr>
        <w:spacing w:after="0" w:line="251" w:lineRule="exact"/>
        <w:rPr>
          <w:sz w:val="20"/>
          <w:szCs w:val="20"/>
          <w:color w:val="auto"/>
        </w:rPr>
      </w:pPr>
    </w:p>
    <w:p>
      <w:pPr>
        <w:ind w:right="240"/>
        <w:spacing w:after="0" w:line="289" w:lineRule="auto"/>
        <w:rPr>
          <w:sz w:val="20"/>
          <w:szCs w:val="20"/>
          <w:color w:val="auto"/>
        </w:rPr>
      </w:pPr>
      <w:r>
        <w:rPr>
          <w:rFonts w:ascii="Arial" w:cs="Arial" w:eastAsia="Arial" w:hAnsi="Arial"/>
          <w:sz w:val="18"/>
          <w:szCs w:val="18"/>
          <w:u w:val="single" w:color="auto"/>
          <w:color w:val="auto"/>
        </w:rPr>
        <w:t>Language Consent</w:t>
      </w:r>
      <w:r>
        <w:rPr>
          <w:rFonts w:ascii="Arial" w:cs="Arial" w:eastAsia="Arial" w:hAnsi="Arial"/>
          <w:sz w:val="18"/>
          <w:szCs w:val="18"/>
          <w:color w:val="auto"/>
        </w:rPr>
        <w:t>. 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157" w:lineRule="exact"/>
        <w:rPr>
          <w:sz w:val="20"/>
          <w:szCs w:val="20"/>
          <w:color w:val="auto"/>
        </w:rPr>
      </w:pPr>
    </w:p>
    <w:p>
      <w:pPr>
        <w:spacing w:after="0" w:line="267" w:lineRule="auto"/>
        <w:rPr>
          <w:sz w:val="20"/>
          <w:szCs w:val="20"/>
          <w:color w:val="auto"/>
        </w:rPr>
      </w:pPr>
      <w:r>
        <w:rPr>
          <w:rFonts w:ascii="Arial" w:cs="Arial" w:eastAsia="Arial" w:hAnsi="Arial"/>
          <w:sz w:val="19"/>
          <w:szCs w:val="19"/>
          <w:i w:val="1"/>
          <w:iCs w:val="1"/>
          <w:color w:val="auto"/>
        </w:rPr>
        <w:t>Les parties reconnaissent avoir expressement souhaité que la convention [“Agreement”], ainsi que tous les documents, avis et procédures judiciaries, éxecutés, donnés ou intentés en vertu de, ou lié, directement ou indirectement à la présente convention, soient rédigés en langue anglaise.</w:t>
      </w:r>
    </w:p>
    <w:p>
      <w:pPr>
        <w:spacing w:after="0" w:line="158" w:lineRule="exact"/>
        <w:rPr>
          <w:sz w:val="20"/>
          <w:szCs w:val="20"/>
          <w:color w:val="auto"/>
        </w:rPr>
      </w:pPr>
    </w:p>
    <w:p>
      <w:pPr>
        <w:ind w:left="5760"/>
        <w:spacing w:after="0"/>
        <w:rPr>
          <w:sz w:val="20"/>
          <w:szCs w:val="20"/>
          <w:color w:val="auto"/>
        </w:rPr>
      </w:pPr>
      <w:r>
        <w:rPr>
          <w:rFonts w:ascii="Arial" w:cs="Arial" w:eastAsia="Arial" w:hAnsi="Arial"/>
          <w:sz w:val="19"/>
          <w:szCs w:val="19"/>
          <w:b w:val="1"/>
          <w:bCs w:val="1"/>
          <w:color w:val="auto"/>
        </w:rPr>
        <w:t>GERMANY</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Notifications</w:t>
      </w:r>
    </w:p>
    <w:p>
      <w:pPr>
        <w:spacing w:after="0" w:line="224"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If you remit proceeds in excess of €12,500 out of or into Germany, such cross-border payment must be reported monthly to the State Central Bank. In the event that you make or receive a payment in excess of this amount, you are responsible for obtaining the appropriate form from a German bank and complying with applicable reporting requirements. In addition, you must also report on an annual basis in the unlikely event that you hold shares of Common Stock exceeding 10% of the total voting capital of the Company.</w:t>
      </w:r>
    </w:p>
    <w:p>
      <w:pPr>
        <w:spacing w:after="0" w:line="208" w:lineRule="exact"/>
        <w:rPr>
          <w:sz w:val="20"/>
          <w:szCs w:val="20"/>
          <w:color w:val="auto"/>
        </w:rPr>
      </w:pPr>
    </w:p>
    <w:p>
      <w:pPr>
        <w:ind w:right="160"/>
        <w:spacing w:after="0" w:line="261" w:lineRule="auto"/>
        <w:rPr>
          <w:sz w:val="20"/>
          <w:szCs w:val="20"/>
          <w:color w:val="auto"/>
        </w:rPr>
      </w:pPr>
      <w:r>
        <w:rPr>
          <w:rFonts w:ascii="Arial" w:cs="Arial" w:eastAsia="Arial" w:hAnsi="Arial"/>
          <w:sz w:val="19"/>
          <w:szCs w:val="19"/>
          <w:u w:val="single" w:color="auto"/>
          <w:color w:val="auto"/>
        </w:rPr>
        <w:t>Securities Disclaimer</w:t>
      </w:r>
      <w:r>
        <w:rPr>
          <w:rFonts w:ascii="Arial" w:cs="Arial" w:eastAsia="Arial" w:hAnsi="Arial"/>
          <w:sz w:val="19"/>
          <w:szCs w:val="19"/>
          <w:color w:val="auto"/>
        </w:rPr>
        <w:t>. The participation in the Plan is exempt or excluded from the requirement to publish a prospectus under the EU Prospectus Directive as implemented in Germany.</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52" w:right="339" w:bottom="1440" w:gutter="0" w:footer="0" w:header="0"/>
        </w:sectPr>
      </w:pPr>
    </w:p>
    <w:bookmarkStart w:id="68" w:name="page69"/>
    <w:bookmarkEnd w:id="68"/>
    <w:p>
      <w:pPr>
        <w:ind w:left="5640"/>
        <w:spacing w:after="0"/>
        <w:rPr>
          <w:sz w:val="20"/>
          <w:szCs w:val="20"/>
          <w:color w:val="auto"/>
        </w:rPr>
      </w:pPr>
      <w:r>
        <w:rPr>
          <w:rFonts w:ascii="Arial" w:cs="Arial" w:eastAsia="Arial" w:hAnsi="Arial"/>
          <w:sz w:val="19"/>
          <w:szCs w:val="19"/>
          <w:b w:val="1"/>
          <w:bCs w:val="1"/>
          <w:color w:val="auto"/>
        </w:rPr>
        <w:t>HONG KONG</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w:t>
      </w:r>
    </w:p>
    <w:p>
      <w:pPr>
        <w:spacing w:after="0" w:line="224" w:lineRule="exact"/>
        <w:rPr>
          <w:sz w:val="20"/>
          <w:szCs w:val="20"/>
          <w:color w:val="auto"/>
        </w:rPr>
      </w:pPr>
    </w:p>
    <w:p>
      <w:pPr>
        <w:ind w:right="120"/>
        <w:spacing w:after="0" w:line="253" w:lineRule="auto"/>
        <w:rPr>
          <w:sz w:val="20"/>
          <w:szCs w:val="20"/>
          <w:color w:val="auto"/>
        </w:rPr>
      </w:pPr>
      <w:r>
        <w:rPr>
          <w:rFonts w:ascii="Arial" w:cs="Arial" w:eastAsia="Arial" w:hAnsi="Arial"/>
          <w:sz w:val="19"/>
          <w:szCs w:val="19"/>
          <w:u w:val="single" w:color="auto"/>
          <w:color w:val="auto"/>
        </w:rPr>
        <w:t>Securities Law Notice</w:t>
      </w:r>
      <w:r>
        <w:rPr>
          <w:rFonts w:ascii="Arial" w:cs="Arial" w:eastAsia="Arial" w:hAnsi="Arial"/>
          <w:sz w:val="19"/>
          <w:szCs w:val="19"/>
          <w:color w:val="auto"/>
        </w:rPr>
        <w:t>. Neither the Stock Units nor the shares of Common Stock issued upon vesting of the Stock Units constitute a public offering of securities under Hong Kong law and are available only to employees of the Company. The Agreement, including this Appendix,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Stock Units are intended only for the personal use of each eligible employee of the Company or its subsidiaries and may not be distributed to any other person. If you are in any doubt about any of the contents of the Agreement, including this Appendix, or the Plan, you should obtain independent professional advice.</w:t>
      </w:r>
    </w:p>
    <w:p>
      <w:pPr>
        <w:spacing w:after="0" w:line="187" w:lineRule="exact"/>
        <w:rPr>
          <w:sz w:val="20"/>
          <w:szCs w:val="20"/>
          <w:color w:val="auto"/>
        </w:rPr>
      </w:pPr>
    </w:p>
    <w:p>
      <w:pPr>
        <w:ind w:left="5980"/>
        <w:spacing w:after="0"/>
        <w:rPr>
          <w:sz w:val="20"/>
          <w:szCs w:val="20"/>
          <w:color w:val="auto"/>
        </w:rPr>
      </w:pPr>
      <w:r>
        <w:rPr>
          <w:rFonts w:ascii="Arial" w:cs="Arial" w:eastAsia="Arial" w:hAnsi="Arial"/>
          <w:sz w:val="19"/>
          <w:szCs w:val="19"/>
          <w:b w:val="1"/>
          <w:bCs w:val="1"/>
          <w:color w:val="auto"/>
        </w:rPr>
        <w:t>ITALY</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and Conditions</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Authorization to Release and Transfer Necessary Personal Information</w:t>
      </w:r>
      <w:r>
        <w:rPr>
          <w:rFonts w:ascii="Arial" w:cs="Arial" w:eastAsia="Arial" w:hAnsi="Arial"/>
          <w:sz w:val="19"/>
          <w:szCs w:val="19"/>
          <w:color w:val="auto"/>
        </w:rPr>
        <w:t>. This provision replaces in its entirety Section 25 of the Terms:</w:t>
      </w:r>
    </w:p>
    <w:p>
      <w:pPr>
        <w:spacing w:after="0" w:line="214"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You understand that your employer (the "Employer") and/or the Company may hold certain personal information about you, including, but not limited to, your name, home address and telephone number, date of birth, social security number (or any other social or national identification number), salary, nationality, job title, number of shares held and the details of all Stock Units granted or any other entitlement to shares awarded, cancelled, vested, unvested or outstanding (the "Data") for the purpose of implementing, administering and managing your participation in the Plan. You are aware that providing the Company with your Data is necessary for the performance of this Agreement and that your refusal to provide such Data would make it impossible for the Company to perform its contractual obligations and may affect your ability to participate in the Plan.</w:t>
      </w:r>
    </w:p>
    <w:p>
      <w:pPr>
        <w:spacing w:after="0" w:line="211"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color w:val="auto"/>
        </w:rPr>
        <w:t>The data Controller, the Milan Branch of T. Rowe Price International, Limited, with offices at Torino 2, 20123 Milan, Italy, and pursuant to D.lgs 196/2003 appoints both T. Rowe Price Group, Inc. and T. Rowe Price Associates, Inc. as the Co-Controllers and Processors of the personal data for the purposes described herein. You understand that the Data may be transferred to the Company or any of its subsidiaries or affiliates, or to any third parties assisting in the implementation, administration and management of the Plan, including any transfer required to a broker or other third party with whom shares acquired pursuant to the vesting or exercise of the Options or cash from the sale of such shares may be deposited. Furthermore, the recipients that may receive, possess, use, retain and transfer such Data for the above mentioned purposes may be located in Italy or elsewhere, including outside of the European Union and that the recipients' country (e.g., the United States) may have different data privacy laws and protections than your country. The processing activity, including the transfer of your personal data abroad, outside of the European Union, as herein specified and pursuant to applicable laws and regulations, does not require your consent thereto as the processing is necessary for the performance of contractual obligations related to the implementation, administration and management of the Plan. You understand that Data processing relating to the purposes above specified shall take place under automated or</w:t>
      </w:r>
    </w:p>
    <w:p>
      <w:pPr>
        <w:spacing w:after="0" w:line="200" w:lineRule="exact"/>
        <w:rPr>
          <w:sz w:val="20"/>
          <w:szCs w:val="20"/>
          <w:color w:val="auto"/>
        </w:rPr>
      </w:pP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320" w:top="1052" w:right="259" w:bottom="1440" w:gutter="0" w:footer="0" w:header="0"/>
        </w:sectPr>
      </w:pPr>
    </w:p>
    <w:bookmarkStart w:id="69" w:name="page70"/>
    <w:bookmarkEnd w:id="69"/>
    <w:p>
      <w:pPr>
        <w:ind w:right="680"/>
        <w:spacing w:after="0" w:line="289" w:lineRule="auto"/>
        <w:rPr>
          <w:sz w:val="20"/>
          <w:szCs w:val="20"/>
          <w:color w:val="auto"/>
        </w:rPr>
      </w:pPr>
      <w:r>
        <w:rPr>
          <w:rFonts w:ascii="Arial" w:cs="Arial" w:eastAsia="Arial" w:hAnsi="Arial"/>
          <w:sz w:val="18"/>
          <w:szCs w:val="18"/>
          <w:color w:val="auto"/>
        </w:rPr>
        <w:t>non-automated conditions, anonymously when possible, that comply with the purposes for which Data are collected and with confidentiality and security provisions as set forth by applicable laws and regulations, with specific reference to D.lgs. 196/2003.</w:t>
      </w:r>
    </w:p>
    <w:p>
      <w:pPr>
        <w:spacing w:after="0" w:line="177" w:lineRule="exact"/>
        <w:rPr>
          <w:sz w:val="20"/>
          <w:szCs w:val="20"/>
          <w:color w:val="auto"/>
        </w:rPr>
      </w:pPr>
    </w:p>
    <w:p>
      <w:pPr>
        <w:ind w:right="120"/>
        <w:spacing w:after="0" w:line="254" w:lineRule="auto"/>
        <w:rPr>
          <w:sz w:val="20"/>
          <w:szCs w:val="20"/>
          <w:color w:val="auto"/>
        </w:rPr>
      </w:pPr>
      <w:r>
        <w:rPr>
          <w:rFonts w:ascii="Arial" w:cs="Arial" w:eastAsia="Arial" w:hAnsi="Arial"/>
          <w:sz w:val="19"/>
          <w:szCs w:val="19"/>
          <w:color w:val="auto"/>
        </w:rPr>
        <w:t>You understand that Data will be held only as long as is required by law or as necessary to implement, administer and manage your participation in the Plan. You understand that pursuant to art. 7 of D.Igs 196/2003, you have the right, including but not limited to, access, delete, update, request the rectification of your Data and cease, for legitimate reasons, the Data processing. Furthermore, you are aware that your Data will not be used for direct marketing purposes. In addition, the Data provided can be reviewed and questions or complaints can be addressed by contacting a local representative available at the following address: 100 E. Pratt Street, Baltimore, Maryland 21202.</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19"/>
          <w:szCs w:val="19"/>
          <w:u w:val="single" w:color="auto"/>
          <w:color w:val="auto"/>
        </w:rPr>
        <w:t>Plan Document Acknowledgment</w:t>
      </w:r>
      <w:r>
        <w:rPr>
          <w:rFonts w:ascii="Arial" w:cs="Arial" w:eastAsia="Arial" w:hAnsi="Arial"/>
          <w:sz w:val="19"/>
          <w:szCs w:val="19"/>
          <w:color w:val="auto"/>
        </w:rPr>
        <w:t>. In accepting the Stock Units, you acknowledge that you have received a copy of the Plan and the Agreement and have reviewed the Plan and the Agreement, including this Appendix, in their entirety and fully understand and accept all provisions of the Plan and the Agreement, including this Appendix.</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Notifications</w:t>
      </w:r>
    </w:p>
    <w:p>
      <w:pPr>
        <w:spacing w:after="0" w:line="251"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You are required to report in your annual tax return: (a) any transfers of cash or shares to or from Italy exceeding €10,000 or the equivalent amount in U.S. dollars; and (b) any foreign investments or investments (including proceeds from the sale of shares of Common Stock acquired under the Plan) held outside of Italy exceeding €10,000 or the equivalent amount in U.S. dollars, if the investment may give rise to income in Italy. You are exempt from the formalities in (a) if the investments are made through an authorized broker resident in Italy, as the broker will comply with the reporting obligation on your behalf.</w:t>
      </w:r>
    </w:p>
    <w:p>
      <w:pPr>
        <w:spacing w:after="0" w:line="208" w:lineRule="exact"/>
        <w:rPr>
          <w:sz w:val="20"/>
          <w:szCs w:val="20"/>
          <w:color w:val="auto"/>
        </w:rPr>
      </w:pPr>
    </w:p>
    <w:p>
      <w:pPr>
        <w:ind w:right="260"/>
        <w:spacing w:after="0" w:line="261" w:lineRule="auto"/>
        <w:rPr>
          <w:sz w:val="20"/>
          <w:szCs w:val="20"/>
          <w:color w:val="auto"/>
        </w:rPr>
      </w:pPr>
      <w:r>
        <w:rPr>
          <w:rFonts w:ascii="Arial" w:cs="Arial" w:eastAsia="Arial" w:hAnsi="Arial"/>
          <w:sz w:val="19"/>
          <w:szCs w:val="19"/>
          <w:u w:val="single" w:color="auto"/>
          <w:color w:val="auto"/>
        </w:rPr>
        <w:t>Securities Disclaimer.</w:t>
      </w:r>
      <w:r>
        <w:rPr>
          <w:rFonts w:ascii="Arial" w:cs="Arial" w:eastAsia="Arial" w:hAnsi="Arial"/>
          <w:sz w:val="19"/>
          <w:szCs w:val="19"/>
          <w:color w:val="auto"/>
        </w:rPr>
        <w:t xml:space="preserve"> The grant of the Stock Units is exempt or excluded from the requirement to publish a prospectus under the EU Prospectus Directive as implemented in Italy.</w:t>
      </w:r>
    </w:p>
    <w:p>
      <w:pPr>
        <w:spacing w:after="0" w:line="176" w:lineRule="exact"/>
        <w:rPr>
          <w:sz w:val="20"/>
          <w:szCs w:val="20"/>
          <w:color w:val="auto"/>
        </w:rPr>
      </w:pPr>
    </w:p>
    <w:p>
      <w:pPr>
        <w:ind w:left="5920"/>
        <w:spacing w:after="0"/>
        <w:rPr>
          <w:sz w:val="20"/>
          <w:szCs w:val="20"/>
          <w:color w:val="auto"/>
        </w:rPr>
      </w:pPr>
      <w:r>
        <w:rPr>
          <w:rFonts w:ascii="Arial" w:cs="Arial" w:eastAsia="Arial" w:hAnsi="Arial"/>
          <w:sz w:val="19"/>
          <w:szCs w:val="19"/>
          <w:b w:val="1"/>
          <w:bCs w:val="1"/>
          <w:color w:val="auto"/>
        </w:rPr>
        <w:t>JAPAN</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Notifications</w:t>
      </w:r>
    </w:p>
    <w:p>
      <w:pPr>
        <w:spacing w:after="0" w:line="251" w:lineRule="exact"/>
        <w:rPr>
          <w:sz w:val="20"/>
          <w:szCs w:val="20"/>
          <w:color w:val="auto"/>
        </w:rPr>
      </w:pPr>
    </w:p>
    <w:p>
      <w:pPr>
        <w:ind w:right="300"/>
        <w:spacing w:after="0" w:line="252" w:lineRule="auto"/>
        <w:rPr>
          <w:sz w:val="20"/>
          <w:szCs w:val="20"/>
          <w:color w:val="auto"/>
        </w:rPr>
      </w:pPr>
      <w:r>
        <w:rPr>
          <w:rFonts w:ascii="Arial" w:cs="Arial" w:eastAsia="Arial" w:hAnsi="Arial"/>
          <w:sz w:val="19"/>
          <w:szCs w:val="19"/>
          <w:u w:val="single" w:color="auto"/>
          <w:color w:val="auto"/>
        </w:rPr>
        <w:t>Offshore Assets Reporting</w:t>
      </w:r>
      <w:r>
        <w:rPr>
          <w:rFonts w:ascii="Arial" w:cs="Arial" w:eastAsia="Arial" w:hAnsi="Arial"/>
          <w:sz w:val="19"/>
          <w:szCs w:val="19"/>
          <w:color w:val="auto"/>
        </w:rPr>
        <w:t>. You are required to report details of any assets held outside of Japan as of December 31</w:t>
      </w:r>
      <w:r>
        <w:rPr>
          <w:rFonts w:ascii="Arial" w:cs="Arial" w:eastAsia="Arial" w:hAnsi="Arial"/>
          <w:sz w:val="15"/>
          <w:szCs w:val="15"/>
          <w:color w:val="auto"/>
        </w:rPr>
        <w:t>st</w:t>
      </w:r>
      <w:r>
        <w:rPr>
          <w:rFonts w:ascii="Arial" w:cs="Arial" w:eastAsia="Arial" w:hAnsi="Arial"/>
          <w:sz w:val="19"/>
          <w:szCs w:val="19"/>
          <w:color w:val="auto"/>
        </w:rPr>
        <w:t xml:space="preserve"> (including but not limited to any shares of Common Stock acquired under the Plan), to the extent such assets have a total net fair market value exceeding</w:t>
      </w:r>
    </w:p>
    <w:p>
      <w:pPr>
        <w:spacing w:after="0" w:line="1" w:lineRule="exact"/>
        <w:rPr>
          <w:sz w:val="20"/>
          <w:szCs w:val="20"/>
          <w:color w:val="auto"/>
        </w:rPr>
      </w:pPr>
    </w:p>
    <w:p>
      <w:pPr>
        <w:jc w:val="both"/>
        <w:ind w:right="720"/>
        <w:spacing w:after="0" w:line="256" w:lineRule="auto"/>
        <w:rPr>
          <w:sz w:val="20"/>
          <w:szCs w:val="20"/>
          <w:color w:val="auto"/>
        </w:rPr>
      </w:pPr>
      <w:r>
        <w:rPr>
          <w:rFonts w:ascii="Arial" w:cs="Arial" w:eastAsia="Arial" w:hAnsi="Arial"/>
          <w:sz w:val="19"/>
          <w:szCs w:val="19"/>
          <w:color w:val="auto"/>
        </w:rPr>
        <w:t>¥50,000,000. Such report is due by March 15th each year. You should consult with your personal tax advisor as to whether the reporting obligation applies to you and whether you will be required to report details of any outstanding Stock Units or shares of Common Stock held by you in the report.</w:t>
      </w:r>
    </w:p>
    <w:p>
      <w:pPr>
        <w:spacing w:after="0" w:line="155" w:lineRule="exact"/>
        <w:rPr>
          <w:sz w:val="20"/>
          <w:szCs w:val="20"/>
          <w:color w:val="auto"/>
        </w:rPr>
      </w:pPr>
    </w:p>
    <w:p>
      <w:pPr>
        <w:ind w:left="5560"/>
        <w:spacing w:after="0"/>
        <w:rPr>
          <w:sz w:val="20"/>
          <w:szCs w:val="20"/>
          <w:color w:val="auto"/>
        </w:rPr>
      </w:pPr>
      <w:r>
        <w:rPr>
          <w:rFonts w:ascii="Arial" w:cs="Arial" w:eastAsia="Arial" w:hAnsi="Arial"/>
          <w:sz w:val="19"/>
          <w:szCs w:val="19"/>
          <w:b w:val="1"/>
          <w:bCs w:val="1"/>
          <w:color w:val="auto"/>
        </w:rPr>
        <w:t>LUXEMBOURG</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No country-specific terms or conditions.</w:t>
      </w:r>
    </w:p>
    <w:p>
      <w:pPr>
        <w:spacing w:after="0" w:line="200" w:lineRule="exact"/>
        <w:rPr>
          <w:sz w:val="20"/>
          <w:szCs w:val="20"/>
          <w:color w:val="auto"/>
        </w:rPr>
      </w:pPr>
    </w:p>
    <w:p>
      <w:pPr>
        <w:spacing w:after="0" w:line="37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320" w:top="1076" w:right="239" w:bottom="1440" w:gutter="0" w:footer="0" w:header="0"/>
        </w:sectPr>
      </w:pPr>
    </w:p>
    <w:bookmarkStart w:id="70" w:name="page71"/>
    <w:bookmarkEnd w:id="70"/>
    <w:p>
      <w:pPr>
        <w:ind w:left="5520"/>
        <w:spacing w:after="0"/>
        <w:rPr>
          <w:sz w:val="20"/>
          <w:szCs w:val="20"/>
          <w:color w:val="auto"/>
        </w:rPr>
      </w:pPr>
      <w:r>
        <w:rPr>
          <w:rFonts w:ascii="Arial" w:cs="Arial" w:eastAsia="Arial" w:hAnsi="Arial"/>
          <w:sz w:val="19"/>
          <w:szCs w:val="19"/>
          <w:b w:val="1"/>
          <w:bCs w:val="1"/>
          <w:color w:val="auto"/>
        </w:rPr>
        <w:t>NETHERLANDS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Notifications</w:t>
      </w:r>
    </w:p>
    <w:p>
      <w:pPr>
        <w:spacing w:after="0" w:line="224" w:lineRule="exact"/>
        <w:rPr>
          <w:sz w:val="20"/>
          <w:szCs w:val="20"/>
          <w:color w:val="auto"/>
        </w:rPr>
      </w:pPr>
    </w:p>
    <w:p>
      <w:pPr>
        <w:ind w:right="80"/>
        <w:spacing w:after="0" w:line="254" w:lineRule="auto"/>
        <w:rPr>
          <w:sz w:val="20"/>
          <w:szCs w:val="20"/>
          <w:color w:val="auto"/>
        </w:rPr>
      </w:pPr>
      <w:r>
        <w:rPr>
          <w:rFonts w:ascii="Arial" w:cs="Arial" w:eastAsia="Arial" w:hAnsi="Arial"/>
          <w:sz w:val="19"/>
          <w:szCs w:val="19"/>
          <w:color w:val="auto"/>
        </w:rPr>
        <w:t>You should be aware of the Dutch insider trading rules, which may affect the sale of shares of Common Stock acquired under the Plan. In particular, you may be prohibited from effecting certain share transactions if you have insider information regarding the Company. Below is a discussion of the applicable restrictions. You are advised to read the discussion carefully to determine whether the insider rules could apply to you. If it is uncertain whether the insider rules apply, the Company recommends that you consult with a legal advisor. The Company cannot be held liable if you violate the Dutch insider trading rules. You are responsible for ensuring your compliance with these rules.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Prohibition Against Insider Trading</w:t>
      </w:r>
    </w:p>
    <w:p>
      <w:pPr>
        <w:spacing w:after="0" w:line="214"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Dutch securities laws prohibit insider trading. The regulations are based upon the European Market Abuse Directive and are stated in section 5:56 of the Dutch Financial Supervision Act (</w:t>
      </w:r>
      <w:r>
        <w:rPr>
          <w:rFonts w:ascii="Arial" w:cs="Arial" w:eastAsia="Arial" w:hAnsi="Arial"/>
          <w:sz w:val="19"/>
          <w:szCs w:val="19"/>
          <w:i w:val="1"/>
          <w:iCs w:val="1"/>
          <w:color w:val="auto"/>
        </w:rPr>
        <w:t>Wet op het financieel toezicht or Wft</w:t>
      </w:r>
      <w:r>
        <w:rPr>
          <w:rFonts w:ascii="Arial" w:cs="Arial" w:eastAsia="Arial" w:hAnsi="Arial"/>
          <w:sz w:val="19"/>
          <w:szCs w:val="19"/>
          <w:color w:val="auto"/>
        </w:rPr>
        <w:t>) and in section 2 of the Market Abuse Decree (</w:t>
      </w:r>
      <w:r>
        <w:rPr>
          <w:rFonts w:ascii="Arial" w:cs="Arial" w:eastAsia="Arial" w:hAnsi="Arial"/>
          <w:sz w:val="19"/>
          <w:szCs w:val="19"/>
          <w:i w:val="1"/>
          <w:iCs w:val="1"/>
          <w:color w:val="auto"/>
        </w:rPr>
        <w:t>Besluit marktmisbruik Wft</w:t>
      </w:r>
      <w:r>
        <w:rPr>
          <w:rFonts w:ascii="Arial" w:cs="Arial" w:eastAsia="Arial" w:hAnsi="Arial"/>
          <w:sz w:val="19"/>
          <w:szCs w:val="19"/>
          <w:color w:val="auto"/>
        </w:rPr>
        <w:t>). For further information, you are referred to the website of the Authority for the Financial Markets (</w:t>
      </w:r>
      <w:r>
        <w:rPr>
          <w:rFonts w:ascii="Arial" w:cs="Arial" w:eastAsia="Arial" w:hAnsi="Arial"/>
          <w:sz w:val="19"/>
          <w:szCs w:val="19"/>
          <w:i w:val="1"/>
          <w:iCs w:val="1"/>
          <w:color w:val="auto"/>
        </w:rPr>
        <w:t>AFM</w:t>
      </w:r>
      <w:r>
        <w:rPr>
          <w:rFonts w:ascii="Arial" w:cs="Arial" w:eastAsia="Arial" w:hAnsi="Arial"/>
          <w:sz w:val="19"/>
          <w:szCs w:val="19"/>
          <w:color w:val="auto"/>
        </w:rPr>
        <w:t xml:space="preserve">); </w:t>
      </w:r>
      <w:r>
        <w:rPr>
          <w:rFonts w:ascii="Arial" w:cs="Arial" w:eastAsia="Arial" w:hAnsi="Arial"/>
          <w:sz w:val="19"/>
          <w:szCs w:val="19"/>
          <w:u w:val="single" w:color="auto"/>
          <w:color w:val="0000FF"/>
        </w:rPr>
        <w:t>http://www.afm.nl/~/media/Files/brochures/2012/insider- dealing.ashx</w:t>
      </w:r>
      <w:r>
        <w:rPr>
          <w:rFonts w:ascii="Arial" w:cs="Arial" w:eastAsia="Arial" w:hAnsi="Arial"/>
          <w:sz w:val="19"/>
          <w:szCs w:val="19"/>
          <w:color w:val="000000"/>
        </w:rPr>
        <w:t>.</w:t>
      </w:r>
    </w:p>
    <w:p>
      <w:pPr>
        <w:spacing w:after="0" w:line="206"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Given the broad scope of the definition of inside information, certain employees of the Company working at its Dutch affiliate may have inside information and thus are prohibited from making a transaction in securities in the Netherlands at a time when they have such inside information. By entering into this Agreement and participating in the Plan, you acknowledge having read and understood the notification above and acknowledge that it is your responsibility to comply with the Dutch insider trading rules, as discussed herein.</w:t>
      </w:r>
    </w:p>
    <w:p>
      <w:pPr>
        <w:spacing w:after="0" w:line="193" w:lineRule="exact"/>
        <w:rPr>
          <w:sz w:val="20"/>
          <w:szCs w:val="20"/>
          <w:color w:val="auto"/>
        </w:rPr>
      </w:pPr>
    </w:p>
    <w:p>
      <w:pPr>
        <w:ind w:right="260"/>
        <w:spacing w:after="0" w:line="261" w:lineRule="auto"/>
        <w:rPr>
          <w:sz w:val="20"/>
          <w:szCs w:val="20"/>
          <w:color w:val="auto"/>
        </w:rPr>
      </w:pPr>
      <w:r>
        <w:rPr>
          <w:rFonts w:ascii="Arial" w:cs="Arial" w:eastAsia="Arial" w:hAnsi="Arial"/>
          <w:sz w:val="19"/>
          <w:szCs w:val="19"/>
          <w:u w:val="single" w:color="auto"/>
          <w:color w:val="auto"/>
        </w:rPr>
        <w:t>Securities Disclaimer</w:t>
      </w:r>
      <w:r>
        <w:rPr>
          <w:rFonts w:ascii="Arial" w:cs="Arial" w:eastAsia="Arial" w:hAnsi="Arial"/>
          <w:sz w:val="19"/>
          <w:szCs w:val="19"/>
          <w:color w:val="auto"/>
        </w:rPr>
        <w:t>. The grant of the Stock Units is exempt or excluded from the requirement to publish a prospectus under the EU Prospectus Directive as implemented in the Netherlands.</w:t>
      </w:r>
    </w:p>
    <w:p>
      <w:pPr>
        <w:spacing w:after="0" w:line="149" w:lineRule="exact"/>
        <w:rPr>
          <w:sz w:val="20"/>
          <w:szCs w:val="20"/>
          <w:color w:val="auto"/>
        </w:rPr>
      </w:pPr>
    </w:p>
    <w:p>
      <w:pPr>
        <w:ind w:left="5680"/>
        <w:spacing w:after="0"/>
        <w:rPr>
          <w:sz w:val="20"/>
          <w:szCs w:val="20"/>
          <w:color w:val="auto"/>
        </w:rPr>
      </w:pPr>
      <w:r>
        <w:rPr>
          <w:rFonts w:ascii="Arial" w:cs="Arial" w:eastAsia="Arial" w:hAnsi="Arial"/>
          <w:sz w:val="19"/>
          <w:szCs w:val="19"/>
          <w:b w:val="1"/>
          <w:bCs w:val="1"/>
          <w:color w:val="auto"/>
        </w:rPr>
        <w:t>SINGAPORE</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Notifications</w:t>
      </w:r>
    </w:p>
    <w:p>
      <w:pPr>
        <w:spacing w:after="0" w:line="224" w:lineRule="exact"/>
        <w:rPr>
          <w:sz w:val="20"/>
          <w:szCs w:val="20"/>
          <w:color w:val="auto"/>
        </w:rPr>
      </w:pPr>
    </w:p>
    <w:p>
      <w:pPr>
        <w:spacing w:after="0" w:line="254"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The grant of the Stock Units is being made pursuant to the “Qualifying Person” exemption under section 273(1)(f) of the Singapore Securities and Futures Act (Chapter 289, 2006 Ed.) (“SFA”). The Plan has not been lodged or registered as a prospectus with the Monetary Authority of Singapore. You should note that the Stock Units are subject to section 257 of the SFA and you will not be able to make any subsequent sale in Singapore of the shares of Common Stock acquired through the vesting of the Stock Units or any offer of such sale in Singapore unless such sale or offer is made pursuant to the exemptions under Part XIII Division (1) Subdivision (4) (other than section 280) of the SFA.</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u w:val="single" w:color="auto"/>
          <w:color w:val="auto"/>
        </w:rPr>
        <w:t>Director Notification Obligation</w:t>
      </w:r>
      <w:r>
        <w:rPr>
          <w:rFonts w:ascii="Arial" w:cs="Arial" w:eastAsia="Arial" w:hAnsi="Arial"/>
          <w:sz w:val="19"/>
          <w:szCs w:val="19"/>
          <w:color w:val="auto"/>
        </w:rPr>
        <w:t>. If you are a director, associate director or shadow director of a Singapore subsidiary, you are subject to certain notification requirements under the Singapore Companies Act. Among these requirements is an obligation to notify the Singapore subsidiary in writing when you receive an interest (</w:t>
      </w:r>
      <w:r>
        <w:rPr>
          <w:rFonts w:ascii="Arial" w:cs="Arial" w:eastAsia="Arial" w:hAnsi="Arial"/>
          <w:sz w:val="19"/>
          <w:szCs w:val="19"/>
          <w:i w:val="1"/>
          <w:iCs w:val="1"/>
          <w:color w:val="auto"/>
        </w:rPr>
        <w:t>e.g</w:t>
      </w:r>
      <w:r>
        <w:rPr>
          <w:rFonts w:ascii="Arial" w:cs="Arial" w:eastAsia="Arial" w:hAnsi="Arial"/>
          <w:sz w:val="19"/>
          <w:szCs w:val="19"/>
          <w:color w:val="auto"/>
        </w:rPr>
        <w:t>., Stock Units or shares of Common Stock) in the</w:t>
      </w:r>
    </w:p>
    <w:p>
      <w:pPr>
        <w:spacing w:after="0" w:line="200" w:lineRule="exact"/>
        <w:rPr>
          <w:sz w:val="20"/>
          <w:szCs w:val="20"/>
          <w:color w:val="auto"/>
        </w:rPr>
      </w:pPr>
    </w:p>
    <w:p>
      <w:pPr>
        <w:spacing w:after="0" w:line="36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320" w:top="1052" w:right="239" w:bottom="1440" w:gutter="0" w:footer="0" w:header="0"/>
        </w:sectPr>
      </w:pPr>
    </w:p>
    <w:bookmarkStart w:id="71" w:name="page72"/>
    <w:bookmarkEnd w:id="71"/>
    <w:p>
      <w:pPr>
        <w:ind w:right="460"/>
        <w:spacing w:after="0" w:line="254" w:lineRule="auto"/>
        <w:rPr>
          <w:sz w:val="20"/>
          <w:szCs w:val="20"/>
          <w:color w:val="auto"/>
        </w:rPr>
      </w:pPr>
      <w:r>
        <w:rPr>
          <w:rFonts w:ascii="Arial" w:cs="Arial" w:eastAsia="Arial" w:hAnsi="Arial"/>
          <w:sz w:val="19"/>
          <w:szCs w:val="19"/>
          <w:color w:val="auto"/>
        </w:rPr>
        <w:t>Company or any subsidiary. In addition, you must notify the Singapore subsidiary when you sell shares of Common Stock of the Company or any subsidiary (including when you sell shares of Common Stock acquired through the vesting of Stock Units). These notifications must be made within two business days of acquiring or disposing of any interest in the Company or any subsidiary. In addition, a notification must be made of your interests in the Company or any subsidiary within two business days of becoming a director.</w:t>
      </w:r>
    </w:p>
    <w:p>
      <w:pPr>
        <w:spacing w:after="0" w:line="184" w:lineRule="exact"/>
        <w:rPr>
          <w:sz w:val="20"/>
          <w:szCs w:val="20"/>
          <w:color w:val="auto"/>
        </w:rPr>
      </w:pPr>
    </w:p>
    <w:p>
      <w:pPr>
        <w:ind w:left="5960"/>
        <w:spacing w:after="0"/>
        <w:rPr>
          <w:sz w:val="20"/>
          <w:szCs w:val="20"/>
          <w:color w:val="auto"/>
        </w:rPr>
      </w:pPr>
      <w:r>
        <w:rPr>
          <w:rFonts w:ascii="Arial" w:cs="Arial" w:eastAsia="Arial" w:hAnsi="Arial"/>
          <w:sz w:val="19"/>
          <w:szCs w:val="19"/>
          <w:b w:val="1"/>
          <w:bCs w:val="1"/>
          <w:color w:val="auto"/>
        </w:rPr>
        <w:t>SPAIN</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and Conditions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Nature of Grant</w:t>
      </w:r>
      <w:r>
        <w:rPr>
          <w:rFonts w:ascii="Arial" w:cs="Arial" w:eastAsia="Arial" w:hAnsi="Arial"/>
          <w:sz w:val="19"/>
          <w:szCs w:val="19"/>
          <w:color w:val="auto"/>
        </w:rPr>
        <w:t>. This provision supplements Section 24 of the Terms: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In accepting the Stock Units, you consent to participate in the Plan and acknowledge that you have received a copy of the Plan.</w:t>
      </w:r>
    </w:p>
    <w:p>
      <w:pPr>
        <w:spacing w:after="0" w:line="214"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You understand that the Company has unilaterally, gratuitously, and in its sole discretion decided to grant Stock Units under the Plan to individuals who may be employees of the Company or one of its Affiliates throughout the world. The decision is a limited decision that is entered into upon the express assumption and condition that any grant will not bind the Company or any Affiliate, other than to the extent set forth in the Agreement and its Terms.</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Consequently, you understand that the grant of Stock Units is made on the assumption and condition that the Stock Units and any shares acquired under the Plan are not part of any employment contract (either with the Company or any Affiliate), and shall not be considered a mandatory benefit, salary for any purposes (including severance compensation) or any other right whatsoever. Further, you understand that the grant of the Stock Units would not be made but for the assumptions and conditions referred to above; thus, you acknowledge and freely accept that, should any or all of the assumptions be mistaken or should any of the conditions not be met for any reason, then any grant of or right to the Stock Units shall be null and void.</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Notifications</w:t>
      </w:r>
    </w:p>
    <w:p>
      <w:pPr>
        <w:spacing w:after="0" w:line="251" w:lineRule="exact"/>
        <w:rPr>
          <w:sz w:val="20"/>
          <w:szCs w:val="20"/>
          <w:color w:val="auto"/>
        </w:rPr>
      </w:pPr>
    </w:p>
    <w:p>
      <w:pPr>
        <w:ind w:right="140"/>
        <w:spacing w:after="0" w:line="252" w:lineRule="auto"/>
        <w:rPr>
          <w:sz w:val="20"/>
          <w:szCs w:val="20"/>
          <w:color w:val="auto"/>
        </w:rPr>
      </w:pPr>
      <w:r>
        <w:rPr>
          <w:rFonts w:ascii="Arial" w:cs="Arial" w:eastAsia="Arial" w:hAnsi="Arial"/>
          <w:sz w:val="19"/>
          <w:szCs w:val="19"/>
          <w:u w:val="single" w:color="auto"/>
          <w:color w:val="auto"/>
        </w:rPr>
        <w:t>Tax Reporting Obligation for Assets Held Abroad</w:t>
      </w:r>
      <w:r>
        <w:rPr>
          <w:rFonts w:ascii="Arial" w:cs="Arial" w:eastAsia="Arial" w:hAnsi="Arial"/>
          <w:sz w:val="19"/>
          <w:szCs w:val="19"/>
          <w:color w:val="auto"/>
        </w:rPr>
        <w:t>. Individuals in Spain are required to report assets and rights located outside of Spain (which would include shares or any funds held in a</w:t>
      </w:r>
    </w:p>
    <w:p>
      <w:pPr>
        <w:spacing w:after="0" w:line="255" w:lineRule="auto"/>
        <w:rPr>
          <w:sz w:val="20"/>
          <w:szCs w:val="20"/>
          <w:color w:val="auto"/>
        </w:rPr>
      </w:pPr>
      <w:r>
        <w:rPr>
          <w:rFonts w:ascii="Arial" w:cs="Arial" w:eastAsia="Arial" w:hAnsi="Arial"/>
          <w:sz w:val="19"/>
          <w:szCs w:val="19"/>
          <w:color w:val="auto"/>
        </w:rPr>
        <w:t>U.S. brokerage account) on Form 720 by March 31st after each calendar year. A report is not required if the value of assets held outside of Spain is EUR 50,000 or less or if the assets held outside of Spain have not increased by more than EUR 20,000 compared to the previous year (assuming that a prior report has been filed reporting these assets). You should consult your personal tax advisor for more information on how to complete the report and the specific information on what types of assets are required to be reported.</w:t>
      </w:r>
    </w:p>
    <w:p>
      <w:pPr>
        <w:spacing w:after="0" w:line="206" w:lineRule="exact"/>
        <w:rPr>
          <w:sz w:val="20"/>
          <w:szCs w:val="20"/>
          <w:color w:val="auto"/>
        </w:rPr>
      </w:pPr>
    </w:p>
    <w:p>
      <w:pPr>
        <w:ind w:right="180"/>
        <w:spacing w:after="0" w:line="254"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You must declare the acquisition of stock in a foreign company (including Shares acquired under the Plan) to the Dirección General de Política Comercial e Inversiones Exteriores (“DGPCIE”) of the Ministerio de Economia for statistical purposes. You must also declare ownership of any stock in a foreign company (including shares acquired under the Plan) with the Directorate of Foreign Transactions each January while the stock is owned. In addition, if you wish to import the share certificates into Spain, you must declare the importation of such securities to the DGPCIE.</w:t>
      </w:r>
    </w:p>
    <w:p>
      <w:pPr>
        <w:spacing w:after="0" w:line="200" w:lineRule="exact"/>
        <w:rPr>
          <w:sz w:val="20"/>
          <w:szCs w:val="20"/>
          <w:color w:val="auto"/>
        </w:rPr>
      </w:pPr>
    </w:p>
    <w:p>
      <w:pPr>
        <w:spacing w:after="0" w:line="36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320" w:top="1076" w:right="239" w:bottom="1440" w:gutter="0" w:footer="0" w:header="0"/>
        </w:sectPr>
      </w:pPr>
    </w:p>
    <w:bookmarkStart w:id="72" w:name="page73"/>
    <w:bookmarkEnd w:id="72"/>
    <w:p>
      <w:pPr>
        <w:spacing w:after="0"/>
        <w:rPr>
          <w:sz w:val="20"/>
          <w:szCs w:val="20"/>
          <w:color w:val="auto"/>
        </w:rPr>
      </w:pPr>
      <w:r>
        <w:rPr>
          <w:rFonts w:ascii="Arial" w:cs="Arial" w:eastAsia="Arial" w:hAnsi="Arial"/>
          <w:sz w:val="19"/>
          <w:szCs w:val="19"/>
          <w:color w:val="auto"/>
        </w:rPr>
        <w:t>When receiving foreign currency payments derived from the ownership of the shares</w:t>
      </w:r>
    </w:p>
    <w:p>
      <w:pPr>
        <w:ind w:right="20"/>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i.e</w:t>
      </w:r>
      <w:r>
        <w:rPr>
          <w:rFonts w:ascii="Arial" w:cs="Arial" w:eastAsia="Arial" w:hAnsi="Arial"/>
          <w:sz w:val="19"/>
          <w:szCs w:val="19"/>
          <w:color w:val="auto"/>
        </w:rPr>
        <w:t>., dividends or sale proceeds), you must inform the financial institution receiving the payment of the basis upon which such payment is made. You will need to provide the following information: (i) your name, address, and fiscal identification number; (ii) the name and corporate domicile of the Company; (iii) the amount of the payment and the currency used; (iv) the country of origin; (v) the reasons for the payment; and (vi) any further information that may be required.</w:t>
      </w:r>
    </w:p>
    <w:p>
      <w:pPr>
        <w:spacing w:after="0" w:line="206" w:lineRule="exact"/>
        <w:rPr>
          <w:sz w:val="20"/>
          <w:szCs w:val="20"/>
          <w:color w:val="auto"/>
        </w:rPr>
      </w:pPr>
    </w:p>
    <w:p>
      <w:pPr>
        <w:ind w:right="200"/>
        <w:spacing w:after="0" w:line="261" w:lineRule="auto"/>
        <w:rPr>
          <w:sz w:val="20"/>
          <w:szCs w:val="20"/>
          <w:color w:val="auto"/>
        </w:rPr>
      </w:pPr>
      <w:r>
        <w:rPr>
          <w:rFonts w:ascii="Arial" w:cs="Arial" w:eastAsia="Arial" w:hAnsi="Arial"/>
          <w:sz w:val="19"/>
          <w:szCs w:val="19"/>
          <w:u w:val="single" w:color="auto"/>
          <w:color w:val="auto"/>
        </w:rPr>
        <w:t>Securities Disclaimer</w:t>
      </w:r>
      <w:r>
        <w:rPr>
          <w:rFonts w:ascii="Arial" w:cs="Arial" w:eastAsia="Arial" w:hAnsi="Arial"/>
          <w:sz w:val="19"/>
          <w:szCs w:val="19"/>
          <w:color w:val="auto"/>
        </w:rPr>
        <w:t>. The grant of the Stock Units is exempt or excluded from the requirement to publish a prospectus under the EU Prospectus Directive as implemented in Spain.</w:t>
      </w:r>
    </w:p>
    <w:p>
      <w:pPr>
        <w:spacing w:after="0" w:line="176" w:lineRule="exact"/>
        <w:rPr>
          <w:sz w:val="20"/>
          <w:szCs w:val="20"/>
          <w:color w:val="auto"/>
        </w:rPr>
      </w:pPr>
    </w:p>
    <w:p>
      <w:pPr>
        <w:ind w:left="5820"/>
        <w:spacing w:after="0"/>
        <w:rPr>
          <w:sz w:val="20"/>
          <w:szCs w:val="20"/>
          <w:color w:val="auto"/>
        </w:rPr>
      </w:pPr>
      <w:r>
        <w:rPr>
          <w:rFonts w:ascii="Arial" w:cs="Arial" w:eastAsia="Arial" w:hAnsi="Arial"/>
          <w:sz w:val="19"/>
          <w:szCs w:val="19"/>
          <w:b w:val="1"/>
          <w:bCs w:val="1"/>
          <w:color w:val="auto"/>
        </w:rPr>
        <w:t>SWEDEN</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Notifications</w:t>
      </w:r>
    </w:p>
    <w:p>
      <w:pPr>
        <w:spacing w:after="0" w:line="238" w:lineRule="exact"/>
        <w:rPr>
          <w:sz w:val="20"/>
          <w:szCs w:val="20"/>
          <w:color w:val="auto"/>
        </w:rPr>
      </w:pPr>
    </w:p>
    <w:p>
      <w:pPr>
        <w:ind w:left="40" w:right="440"/>
        <w:spacing w:after="0" w:line="261" w:lineRule="auto"/>
        <w:rPr>
          <w:sz w:val="20"/>
          <w:szCs w:val="20"/>
          <w:color w:val="auto"/>
        </w:rPr>
      </w:pPr>
      <w:r>
        <w:rPr>
          <w:rFonts w:ascii="Arial" w:cs="Arial" w:eastAsia="Arial" w:hAnsi="Arial"/>
          <w:sz w:val="19"/>
          <w:szCs w:val="19"/>
          <w:u w:val="single" w:color="auto"/>
          <w:color w:val="auto"/>
        </w:rPr>
        <w:t>Securities Disclosure</w:t>
      </w:r>
      <w:r>
        <w:rPr>
          <w:rFonts w:ascii="Arial" w:cs="Arial" w:eastAsia="Arial" w:hAnsi="Arial"/>
          <w:sz w:val="19"/>
          <w:szCs w:val="19"/>
          <w:color w:val="auto"/>
        </w:rPr>
        <w:t>. Your participation in the Plan and the grant of the Stock Units are exempt from the requirement to publish a prospectus under the EU Prospectus Directive as implemented in Sweden.</w:t>
      </w:r>
    </w:p>
    <w:p>
      <w:pPr>
        <w:spacing w:after="0" w:line="200" w:lineRule="exact"/>
        <w:rPr>
          <w:sz w:val="20"/>
          <w:szCs w:val="20"/>
          <w:color w:val="auto"/>
        </w:rPr>
      </w:pPr>
    </w:p>
    <w:p>
      <w:pPr>
        <w:spacing w:after="0" w:line="255" w:lineRule="auto"/>
        <w:rPr>
          <w:sz w:val="20"/>
          <w:szCs w:val="20"/>
          <w:color w:val="auto"/>
        </w:rPr>
      </w:pPr>
      <w:r>
        <w:rPr>
          <w:rFonts w:ascii="Arial" w:cs="Arial" w:eastAsia="Arial" w:hAnsi="Arial"/>
          <w:sz w:val="19"/>
          <w:szCs w:val="19"/>
          <w:u w:val="single" w:color="auto"/>
          <w:color w:val="auto"/>
        </w:rPr>
        <w:t>Exchange Control</w:t>
      </w:r>
      <w:r>
        <w:rPr>
          <w:rFonts w:ascii="Arial" w:cs="Arial" w:eastAsia="Arial" w:hAnsi="Arial"/>
          <w:sz w:val="19"/>
          <w:szCs w:val="19"/>
          <w:color w:val="auto"/>
        </w:rPr>
        <w:t>. You understand and agree that foreign and local banks or financial institutions (including brokers) engaged in cross-border transactions generally may be required to report any payments to or from a foreign country exceeding a certain amount to The National Tax Board, which receives the information on behalf of the Swedish Central Bank (Sw.Riksbanken). This requirement may apply even if you have a brokerage account with a foreign broker.</w:t>
      </w:r>
    </w:p>
    <w:p>
      <w:pPr>
        <w:spacing w:after="0" w:line="155" w:lineRule="exact"/>
        <w:rPr>
          <w:sz w:val="20"/>
          <w:szCs w:val="20"/>
          <w:color w:val="auto"/>
        </w:rPr>
      </w:pPr>
    </w:p>
    <w:p>
      <w:pPr>
        <w:ind w:left="5560"/>
        <w:spacing w:after="0"/>
        <w:rPr>
          <w:sz w:val="20"/>
          <w:szCs w:val="20"/>
          <w:color w:val="auto"/>
        </w:rPr>
      </w:pPr>
      <w:r>
        <w:rPr>
          <w:rFonts w:ascii="Arial" w:cs="Arial" w:eastAsia="Arial" w:hAnsi="Arial"/>
          <w:sz w:val="19"/>
          <w:szCs w:val="19"/>
          <w:b w:val="1"/>
          <w:bCs w:val="1"/>
          <w:color w:val="auto"/>
        </w:rPr>
        <w:t>SWITZERLAND</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Notifications</w:t>
      </w:r>
    </w:p>
    <w:p>
      <w:pPr>
        <w:spacing w:after="0" w:line="224" w:lineRule="exact"/>
        <w:rPr>
          <w:sz w:val="20"/>
          <w:szCs w:val="20"/>
          <w:color w:val="auto"/>
        </w:rPr>
      </w:pPr>
    </w:p>
    <w:p>
      <w:pPr>
        <w:ind w:right="100"/>
        <w:spacing w:after="0" w:line="261" w:lineRule="auto"/>
        <w:rPr>
          <w:sz w:val="20"/>
          <w:szCs w:val="20"/>
          <w:color w:val="auto"/>
        </w:rPr>
      </w:pPr>
      <w:r>
        <w:rPr>
          <w:rFonts w:ascii="Arial" w:cs="Arial" w:eastAsia="Arial" w:hAnsi="Arial"/>
          <w:sz w:val="19"/>
          <w:szCs w:val="19"/>
          <w:u w:val="single" w:color="auto"/>
          <w:color w:val="auto"/>
        </w:rPr>
        <w:t>Securities Disclosure</w:t>
      </w:r>
      <w:r>
        <w:rPr>
          <w:rFonts w:ascii="Arial" w:cs="Arial" w:eastAsia="Arial" w:hAnsi="Arial"/>
          <w:sz w:val="19"/>
          <w:szCs w:val="19"/>
          <w:color w:val="auto"/>
        </w:rPr>
        <w:t>. The grant of Stock Units is considered a private offering in Switzerland; therefore, it is not subject to registration in Switzerland.</w:t>
      </w:r>
    </w:p>
    <w:p>
      <w:pPr>
        <w:spacing w:after="0" w:line="176" w:lineRule="exact"/>
        <w:rPr>
          <w:sz w:val="20"/>
          <w:szCs w:val="20"/>
          <w:color w:val="auto"/>
        </w:rPr>
      </w:pPr>
    </w:p>
    <w:p>
      <w:pPr>
        <w:ind w:left="5400"/>
        <w:spacing w:after="0"/>
        <w:rPr>
          <w:sz w:val="20"/>
          <w:szCs w:val="20"/>
          <w:color w:val="auto"/>
        </w:rPr>
      </w:pPr>
      <w:r>
        <w:rPr>
          <w:rFonts w:ascii="Arial" w:cs="Arial" w:eastAsia="Arial" w:hAnsi="Arial"/>
          <w:sz w:val="19"/>
          <w:szCs w:val="19"/>
          <w:b w:val="1"/>
          <w:bCs w:val="1"/>
          <w:color w:val="auto"/>
        </w:rPr>
        <w:t>UNITED KINGDOM</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Tax Reporting and Payment Liability</w:t>
      </w:r>
      <w:r>
        <w:rPr>
          <w:rFonts w:ascii="Arial" w:cs="Arial" w:eastAsia="Arial" w:hAnsi="Arial"/>
          <w:sz w:val="19"/>
          <w:szCs w:val="19"/>
          <w:color w:val="auto"/>
        </w:rPr>
        <w:t>. The following provision supplements Section 7 of the Terms:</w:t>
      </w:r>
    </w:p>
    <w:p>
      <w:pPr>
        <w:spacing w:after="0" w:line="251" w:lineRule="exact"/>
        <w:rPr>
          <w:sz w:val="20"/>
          <w:szCs w:val="20"/>
          <w:color w:val="auto"/>
        </w:rPr>
      </w:pPr>
    </w:p>
    <w:p>
      <w:pPr>
        <w:ind w:right="120"/>
        <w:spacing w:after="0" w:line="253" w:lineRule="auto"/>
        <w:rPr>
          <w:sz w:val="20"/>
          <w:szCs w:val="20"/>
          <w:color w:val="auto"/>
        </w:rPr>
      </w:pPr>
      <w:r>
        <w:rPr>
          <w:rFonts w:ascii="Arial" w:cs="Arial" w:eastAsia="Arial" w:hAnsi="Arial"/>
          <w:sz w:val="19"/>
          <w:szCs w:val="19"/>
          <w:color w:val="auto"/>
        </w:rPr>
        <w:t>You agree that the Company or your U.K. employer may calculate the any taxes or National Insurance Contributions required to be withheld and accounted for in connection with the Stock Units by reference to the maximum applicable rates, without prejudice to any right you may have to recover any overpayment from relevant U.K. tax authorities. If payment or withholding of any income tax liability arising in connection with your participation in the Plan is not made by you to the U.K. employer within ninety (90) days of the event giving rise to such income tax liability or such other period specified in Section 222(1)(c) of the U.K. Income Tax (Earnings and Pensions) Act 2003 (the “Due Date”), you understand and agree that the amount of any uncollected income tax will constitute a loan owed by you to the U.K. employer, effective on the Due Date. You understand and agree that the loan will bear interest at the then-current official rate of Her Majesty’s Revenue and Customs, it will be immediately due and repayable by you,</w:t>
      </w: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0"/>
          </w:cols>
          <w:pgMar w:left="320" w:top="1073" w:right="299" w:bottom="1440" w:gutter="0" w:footer="0" w:header="0"/>
        </w:sectPr>
      </w:pPr>
    </w:p>
    <w:bookmarkStart w:id="73" w:name="page74"/>
    <w:bookmarkEnd w:id="73"/>
    <w:p>
      <w:pPr>
        <w:spacing w:after="0" w:line="253" w:lineRule="auto"/>
        <w:rPr>
          <w:sz w:val="20"/>
          <w:szCs w:val="20"/>
          <w:color w:val="auto"/>
        </w:rPr>
      </w:pPr>
      <w:r>
        <w:rPr>
          <w:rFonts w:ascii="Arial" w:cs="Arial" w:eastAsia="Arial" w:hAnsi="Arial"/>
          <w:sz w:val="19"/>
          <w:szCs w:val="19"/>
          <w:color w:val="auto"/>
        </w:rPr>
        <w:t>and the Company and/or your employer may recover it at any time thereafter by any of the means referred to in the Plan and/or this Agreement. Notwithstanding the foregoing, you understand and agree that if you are a director or an executive officer of the Company (within the meaning of such terms for purposes of Section 13(k) of the Exchange Act), you will not be eligible for such a loan to cover the income tax liability. In the event that you are a director or executive officer and the income tax is not collected from or paid by you by the Due Date, you understand that the amount of any uncollected income tax will constitute an additional benefit to you on which additional income tax and National Insurance Contributions will be payable. You understand and agree that you will be responsible for reporting and paying any income tax due on this additional benefit directly to Her Majesty’s Revenue and Customs under the self-assessment regime and for reimbursing the Company or the U.K. employer (as appropriate) for the value of any primary national insurance contributions due on this additional benefit that the Company or the U.K. employer may recover from you by any of the means referred to in the Plan and/or this Agreement.</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w:t>
      </w:r>
    </w:p>
    <w:p>
      <w:pPr>
        <w:spacing w:after="0" w:line="238" w:lineRule="exact"/>
        <w:rPr>
          <w:sz w:val="20"/>
          <w:szCs w:val="20"/>
          <w:color w:val="auto"/>
        </w:rPr>
      </w:pPr>
    </w:p>
    <w:p>
      <w:pPr>
        <w:ind w:right="280"/>
        <w:spacing w:after="0" w:line="255" w:lineRule="auto"/>
        <w:rPr>
          <w:sz w:val="20"/>
          <w:szCs w:val="20"/>
          <w:color w:val="auto"/>
        </w:rPr>
      </w:pPr>
      <w:r>
        <w:rPr>
          <w:rFonts w:ascii="Arial" w:cs="Arial" w:eastAsia="Arial" w:hAnsi="Arial"/>
          <w:sz w:val="19"/>
          <w:szCs w:val="19"/>
          <w:u w:val="single" w:color="auto"/>
          <w:color w:val="auto"/>
        </w:rPr>
        <w:t>Securities Disclaimer</w:t>
      </w:r>
      <w:r>
        <w:rPr>
          <w:rFonts w:ascii="Arial" w:cs="Arial" w:eastAsia="Arial" w:hAnsi="Arial"/>
          <w:sz w:val="19"/>
          <w:szCs w:val="19"/>
          <w:color w:val="auto"/>
        </w:rPr>
        <w:t>. Neither this Agreement nor this Appendix is an approved prospectus for the purposes of section 85(1) of the Financial Services and Markets Act 2000 (“FSMA”) and no offer of transferable securities to the public (for the purposes of section 102B of FSMA) is being made in connection with the Plan. The Plan and the Stock Units are exclusively available in the U.K. to bona fide employees and former employees of the Company and any other U.K. subsidiary.</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End of the Appendix</w:t>
      </w:r>
    </w:p>
    <w:p>
      <w:pPr>
        <w:spacing w:after="0" w:line="194"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end of document</w:t>
      </w:r>
      <w:r>
        <w:rPr>
          <w:rFonts w:ascii="Arial" w:cs="Arial" w:eastAsia="Arial" w:hAnsi="Arial"/>
          <w:sz w:val="19"/>
          <w:szCs w:val="19"/>
          <w:color w:val="auto"/>
        </w:rPr>
        <w:t>}</w:t>
      </w: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20" w:top="1076" w:right="399" w:bottom="1440" w:gutter="0" w:footer="0" w:header="0"/>
        </w:sectPr>
      </w:pPr>
    </w:p>
    <w:bookmarkStart w:id="74" w:name="page75"/>
    <w:bookmarkEnd w:id="74"/>
    <w:p>
      <w:pPr>
        <w:ind w:left="3820"/>
        <w:spacing w:after="0"/>
        <w:rPr>
          <w:sz w:val="20"/>
          <w:szCs w:val="20"/>
          <w:color w:val="auto"/>
        </w:rPr>
      </w:pPr>
      <w:r>
        <w:rPr>
          <w:rFonts w:ascii="Arial" w:cs="Arial" w:eastAsia="Arial" w:hAnsi="Arial"/>
          <w:sz w:val="19"/>
          <w:szCs w:val="19"/>
          <w:b w:val="1"/>
          <w:bCs w:val="1"/>
          <w:color w:val="auto"/>
        </w:rPr>
        <w:t>T. R</w:t>
      </w:r>
      <w:r>
        <w:rPr>
          <w:rFonts w:ascii="Arial" w:cs="Arial" w:eastAsia="Arial" w:hAnsi="Arial"/>
          <w:sz w:val="15"/>
          <w:szCs w:val="15"/>
          <w:b w:val="1"/>
          <w:bCs w:val="1"/>
          <w:color w:val="auto"/>
        </w:rPr>
        <w:t>OWE</w:t>
      </w:r>
      <w:r>
        <w:rPr>
          <w:rFonts w:ascii="Arial" w:cs="Arial" w:eastAsia="Arial" w:hAnsi="Arial"/>
          <w:sz w:val="19"/>
          <w:szCs w:val="19"/>
          <w:b w:val="1"/>
          <w:bCs w:val="1"/>
          <w:color w:val="auto"/>
        </w:rPr>
        <w:t xml:space="preserve"> P</w:t>
      </w:r>
      <w:r>
        <w:rPr>
          <w:rFonts w:ascii="Arial" w:cs="Arial" w:eastAsia="Arial" w:hAnsi="Arial"/>
          <w:sz w:val="15"/>
          <w:szCs w:val="15"/>
          <w:b w:val="1"/>
          <w:bCs w:val="1"/>
          <w:color w:val="auto"/>
        </w:rPr>
        <w:t>RICE</w:t>
      </w:r>
      <w:r>
        <w:rPr>
          <w:rFonts w:ascii="Arial" w:cs="Arial" w:eastAsia="Arial" w:hAnsi="Arial"/>
          <w:sz w:val="19"/>
          <w:szCs w:val="19"/>
          <w:b w:val="1"/>
          <w:bCs w:val="1"/>
          <w:color w:val="auto"/>
        </w:rPr>
        <w:t xml:space="preserve"> G</w:t>
      </w:r>
      <w:r>
        <w:rPr>
          <w:rFonts w:ascii="Arial" w:cs="Arial" w:eastAsia="Arial" w:hAnsi="Arial"/>
          <w:sz w:val="15"/>
          <w:szCs w:val="15"/>
          <w:b w:val="1"/>
          <w:bCs w:val="1"/>
          <w:color w:val="auto"/>
        </w:rPr>
        <w:t>ROUP</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 2012 L</w:t>
      </w:r>
      <w:r>
        <w:rPr>
          <w:rFonts w:ascii="Arial" w:cs="Arial" w:eastAsia="Arial" w:hAnsi="Arial"/>
          <w:sz w:val="15"/>
          <w:szCs w:val="15"/>
          <w:b w:val="1"/>
          <w:bCs w:val="1"/>
          <w:color w:val="auto"/>
        </w:rPr>
        <w:t>ONG</w:t>
      </w:r>
      <w:r>
        <w:rPr>
          <w:rFonts w:ascii="Arial" w:cs="Arial" w:eastAsia="Arial" w:hAnsi="Arial"/>
          <w:sz w:val="19"/>
          <w:szCs w:val="19"/>
          <w:b w:val="1"/>
          <w:bCs w:val="1"/>
          <w:color w:val="auto"/>
        </w:rPr>
        <w:t>-T</w:t>
      </w:r>
      <w:r>
        <w:rPr>
          <w:rFonts w:ascii="Arial" w:cs="Arial" w:eastAsia="Arial" w:hAnsi="Arial"/>
          <w:sz w:val="15"/>
          <w:szCs w:val="15"/>
          <w:b w:val="1"/>
          <w:bCs w:val="1"/>
          <w:color w:val="auto"/>
        </w:rPr>
        <w:t>ERM</w:t>
      </w:r>
      <w:r>
        <w:rPr>
          <w:rFonts w:ascii="Arial" w:cs="Arial" w:eastAsia="Arial" w:hAnsi="Arial"/>
          <w:sz w:val="19"/>
          <w:szCs w:val="19"/>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9"/>
          <w:szCs w:val="19"/>
          <w:b w:val="1"/>
          <w:bCs w:val="1"/>
          <w:color w:val="auto"/>
        </w:rPr>
        <w:t xml:space="preserve"> P</w:t>
      </w:r>
      <w:r>
        <w:rPr>
          <w:rFonts w:ascii="Arial" w:cs="Arial" w:eastAsia="Arial" w:hAnsi="Arial"/>
          <w:sz w:val="15"/>
          <w:szCs w:val="15"/>
          <w:b w:val="1"/>
          <w:bCs w:val="1"/>
          <w:color w:val="auto"/>
        </w:rPr>
        <w:t>LAN</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24"/>
          <w:szCs w:val="24"/>
          <w:color w:val="auto"/>
        </w:rPr>
        <w:t>______________</w:t>
      </w:r>
    </w:p>
    <w:p>
      <w:pPr>
        <w:spacing w:after="0" w:line="181"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STATEMENT OF ADDITIONAL TERMS REGARDING AWARDS OF RESTRICTED STOCK UNITS</w:t>
      </w:r>
    </w:p>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version 4B</w:t>
      </w:r>
      <w:r>
        <w:rPr>
          <w:rFonts w:ascii="Arial" w:cs="Arial" w:eastAsia="Arial" w:hAnsi="Arial"/>
          <w:sz w:val="17"/>
          <w:szCs w:val="17"/>
          <w:color w:val="auto"/>
        </w:rPr>
        <w:t>)</w:t>
      </w:r>
    </w:p>
    <w:p>
      <w:pPr>
        <w:spacing w:after="0" w:line="15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______________________</w:t>
      </w:r>
    </w:p>
    <w:p>
      <w:pPr>
        <w:spacing w:after="0" w:line="257" w:lineRule="exact"/>
        <w:rPr>
          <w:sz w:val="20"/>
          <w:szCs w:val="20"/>
          <w:color w:val="auto"/>
        </w:rPr>
      </w:pPr>
    </w:p>
    <w:p>
      <w:pPr>
        <w:ind w:right="140" w:firstLine="621"/>
        <w:spacing w:after="0" w:line="254" w:lineRule="auto"/>
        <w:rPr>
          <w:sz w:val="20"/>
          <w:szCs w:val="20"/>
          <w:color w:val="auto"/>
        </w:rPr>
      </w:pPr>
      <w:r>
        <w:rPr>
          <w:rFonts w:ascii="Arial" w:cs="Arial" w:eastAsia="Arial" w:hAnsi="Arial"/>
          <w:sz w:val="19"/>
          <w:szCs w:val="19"/>
          <w:color w:val="auto"/>
        </w:rPr>
        <w:t>This Statement of Additional Terms Regarding Awards of Restricted Stock Units applies to Stock Unit grants made on or after December 9, 2018 (the “</w:t>
      </w:r>
      <w:r>
        <w:rPr>
          <w:rFonts w:ascii="Arial" w:cs="Arial" w:eastAsia="Arial" w:hAnsi="Arial"/>
          <w:sz w:val="19"/>
          <w:szCs w:val="19"/>
          <w:b w:val="1"/>
          <w:bCs w:val="1"/>
          <w:i w:val="1"/>
          <w:iCs w:val="1"/>
          <w:color w:val="auto"/>
        </w:rPr>
        <w:t>Terms</w:t>
      </w:r>
      <w:r>
        <w:rPr>
          <w:rFonts w:ascii="Arial" w:cs="Arial" w:eastAsia="Arial" w:hAnsi="Arial"/>
          <w:sz w:val="19"/>
          <w:szCs w:val="19"/>
          <w:color w:val="auto"/>
        </w:rPr>
        <w:t>”) and all of the provisions of the T. Rowe Price Group, Inc. 2012 Long-Term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are incorporated into your stock units award, the specifics of which are described on the “Notice of Grant of Restricted Stock Units Award” (the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that you received. Once you have accepted the Notice in accordance with the instructions set forth thereon, the Terms (including its Appendix), the Plan and the Notice, together, constitute a binding and enforceable contract respecting your restricted stock units award. That contract is referred to in this document as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w:t>
      </w:r>
    </w:p>
    <w:p>
      <w:pPr>
        <w:spacing w:after="0" w:line="220" w:lineRule="exact"/>
        <w:rPr>
          <w:sz w:val="20"/>
          <w:szCs w:val="20"/>
          <w:color w:val="auto"/>
        </w:rPr>
      </w:pPr>
    </w:p>
    <w:p>
      <w:pPr>
        <w:ind w:right="720" w:firstLine="630"/>
        <w:spacing w:after="0" w:line="291" w:lineRule="auto"/>
        <w:tabs>
          <w:tab w:leader="none" w:pos="140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Terminology</w:t>
      </w:r>
      <w:r>
        <w:rPr>
          <w:rFonts w:ascii="Arial" w:cs="Arial" w:eastAsia="Arial" w:hAnsi="Arial"/>
          <w:sz w:val="19"/>
          <w:szCs w:val="19"/>
          <w:color w:val="auto"/>
        </w:rPr>
        <w:t>. Capitalized words and phrases used in these Terms are defined in the Glossary at the end of this document or the first place such word or phrase appears in this document.</w:t>
      </w:r>
    </w:p>
    <w:p>
      <w:pPr>
        <w:spacing w:after="0" w:line="199" w:lineRule="exact"/>
        <w:rPr>
          <w:rFonts w:ascii="Arial" w:cs="Arial" w:eastAsia="Arial" w:hAnsi="Arial"/>
          <w:sz w:val="19"/>
          <w:szCs w:val="19"/>
          <w:color w:val="auto"/>
        </w:rPr>
      </w:pPr>
    </w:p>
    <w:p>
      <w:pPr>
        <w:ind w:left="1400" w:hanging="770"/>
        <w:spacing w:after="0"/>
        <w:tabs>
          <w:tab w:leader="none" w:pos="140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w:t>
      </w:r>
    </w:p>
    <w:p>
      <w:pPr>
        <w:spacing w:after="0" w:line="240" w:lineRule="exact"/>
        <w:rPr>
          <w:rFonts w:ascii="Arial" w:cs="Arial" w:eastAsia="Arial" w:hAnsi="Arial"/>
          <w:sz w:val="19"/>
          <w:szCs w:val="19"/>
          <w:color w:val="auto"/>
        </w:rPr>
      </w:pPr>
    </w:p>
    <w:p>
      <w:pPr>
        <w:ind w:right="220" w:firstLine="1265"/>
        <w:spacing w:after="0" w:line="254" w:lineRule="auto"/>
        <w:tabs>
          <w:tab w:leader="none" w:pos="1667" w:val="left"/>
        </w:tabs>
        <w:numPr>
          <w:ilvl w:val="1"/>
          <w:numId w:val="51"/>
        </w:numPr>
        <w:rPr>
          <w:rFonts w:ascii="Arial" w:cs="Arial" w:eastAsia="Arial" w:hAnsi="Arial"/>
          <w:sz w:val="19"/>
          <w:szCs w:val="19"/>
          <w:color w:val="auto"/>
        </w:rPr>
      </w:pPr>
      <w:r>
        <w:rPr>
          <w:rFonts w:ascii="Arial" w:cs="Arial" w:eastAsia="Arial" w:hAnsi="Arial"/>
          <w:sz w:val="19"/>
          <w:szCs w:val="19"/>
          <w:u w:val="single" w:color="auto"/>
          <w:color w:val="auto"/>
        </w:rPr>
        <w:t>Vested Status upon Grant Date</w:t>
      </w:r>
      <w:r>
        <w:rPr>
          <w:rFonts w:ascii="Arial" w:cs="Arial" w:eastAsia="Arial" w:hAnsi="Arial"/>
          <w:sz w:val="19"/>
          <w:szCs w:val="19"/>
          <w:color w:val="auto"/>
        </w:rPr>
        <w:t>. All of the Stock Units are nonvested and forfeitable as of the Grant Date. Your Stock Units will become vested for purposes of this Agreement only on the applicable vesting dates under the vesting schedule set forth on the correlating Notice or on the dates specified in Section 2(d), Section 2(e), or Section 9, as applicable, notwithstanding the fact that, prior to any such date, subsequent vesting ceases to be conditioned upon your continued employment with the Company or any other substantial risk of forfeiture ceases to exist. A vested Stock Unit remains subject to the terms, conditions and forfeiture provisions provided for in the Plan and in this Agreement.</w:t>
      </w:r>
    </w:p>
    <w:p>
      <w:pPr>
        <w:spacing w:after="0" w:line="206" w:lineRule="exact"/>
        <w:rPr>
          <w:rFonts w:ascii="Arial" w:cs="Arial" w:eastAsia="Arial" w:hAnsi="Arial"/>
          <w:sz w:val="19"/>
          <w:szCs w:val="19"/>
          <w:color w:val="auto"/>
        </w:rPr>
      </w:pPr>
    </w:p>
    <w:p>
      <w:pPr>
        <w:ind w:right="40" w:firstLine="1265"/>
        <w:spacing w:after="0" w:line="253" w:lineRule="auto"/>
        <w:tabs>
          <w:tab w:leader="none" w:pos="1667" w:val="left"/>
        </w:tabs>
        <w:numPr>
          <w:ilvl w:val="1"/>
          <w:numId w:val="51"/>
        </w:numPr>
        <w:rPr>
          <w:rFonts w:ascii="Arial" w:cs="Arial" w:eastAsia="Arial" w:hAnsi="Arial"/>
          <w:sz w:val="19"/>
          <w:szCs w:val="19"/>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 So long as your Service is continuous from the Grant Date through the applicable date upon which vesting is scheduled to occur and all other conditions for earning the Stock Units as set forth in the Notice have been satisfied, the Stock Units will become vested and nonforfeitable on the vesting dates set forth in the correlating Notice. If the Notice indicates that your restricted stock units award is a Qualified Performance- Based Award, then in no event will vesting under this Section 2(b) occur before the Executive Compensation Committee has certified in writing the extent to which the applicable Performance Threshold has been satisfied. If the Notice reflects that your restricted stock award is subject to satisfaction of a Performance Threshold then, to the extent that satisfaction of the Performance Threshold is determined based on information reported by a Peer Company in financial statements filed with the Securities and Exchange Commission or information otherwise disclosed by a Peer Company in a press release, such a determination shall be final and conclusive and no adjustment thereafter shall be made to the number of Stock Units eligible to vest in the event that a Peer Company thereafter files or discloses restated or updated financial information. To the extent that satisfaction of the Performance Threshold is to be determined based on information reported by Peer Companies, any Peer Company that has not filed</w:t>
      </w:r>
    </w:p>
    <w:p>
      <w:pPr>
        <w:spacing w:after="0" w:line="200" w:lineRule="exact"/>
        <w:rPr>
          <w:sz w:val="20"/>
          <w:szCs w:val="20"/>
          <w:color w:val="auto"/>
        </w:rPr>
      </w:pPr>
    </w:p>
    <w:p>
      <w:pPr>
        <w:spacing w:after="0" w:line="36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320" w:top="1052" w:right="239" w:bottom="1440" w:gutter="0" w:footer="0" w:header="0"/>
        </w:sectPr>
      </w:pPr>
    </w:p>
    <w:bookmarkStart w:id="75" w:name="page76"/>
    <w:bookmarkEnd w:id="75"/>
    <w:p>
      <w:pPr>
        <w:spacing w:after="0" w:line="252" w:lineRule="auto"/>
        <w:rPr>
          <w:sz w:val="20"/>
          <w:szCs w:val="20"/>
          <w:color w:val="auto"/>
        </w:rPr>
      </w:pPr>
      <w:r>
        <w:rPr>
          <w:rFonts w:ascii="Arial" w:cs="Arial" w:eastAsia="Arial" w:hAnsi="Arial"/>
          <w:sz w:val="19"/>
          <w:szCs w:val="19"/>
          <w:color w:val="auto"/>
        </w:rPr>
        <w:t>financial statements with the Securities and Exchange Commission or otherwise disclosed in a press release the relevant financial information for the Performance Period within 45 days after the end of the Performance Period in question, will not be considered a Peer Company for purposes of the determination. To the extent that satisfaction of the Performance Threshold is to be determined based on financial information reported for a specified period ending on the close of a calendar quarter and a Peer Company reports its relevant financial information over a fiscal period that does not end on the close of a calendar quarter, the Committee shall use the financial information reported by such Peer Company that most closely correlates to the duration of the Performance Period as reported before the close of the Performance Period.</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color w:val="auto"/>
        </w:rPr>
        <w:t>For example, if the Performance Period is the 12-month period that ends December 31, 2012, and a Peer Company’s fiscal year ends on October 31, 2012, then for purposes of calculating the Performance Threshold and the extent to which such Performance Threshold has been satisfied, the relevant financial information for the 12-month period that ends October 31, 2012 will be used for such Peer Company.</w:t>
      </w:r>
    </w:p>
    <w:p>
      <w:pPr>
        <w:spacing w:after="0" w:line="206" w:lineRule="exact"/>
        <w:rPr>
          <w:sz w:val="20"/>
          <w:szCs w:val="20"/>
          <w:color w:val="auto"/>
        </w:rPr>
      </w:pPr>
    </w:p>
    <w:p>
      <w:pPr>
        <w:ind w:left="1900" w:hanging="621"/>
        <w:spacing w:after="0"/>
        <w:tabs>
          <w:tab w:leader="none" w:pos="1900" w:val="left"/>
        </w:tabs>
        <w:numPr>
          <w:ilvl w:val="2"/>
          <w:numId w:val="52"/>
        </w:numPr>
        <w:rPr>
          <w:rFonts w:ascii="Arial" w:cs="Arial" w:eastAsia="Arial" w:hAnsi="Arial"/>
          <w:sz w:val="19"/>
          <w:szCs w:val="19"/>
          <w:color w:val="auto"/>
        </w:rPr>
      </w:pPr>
      <w:r>
        <w:rPr>
          <w:rFonts w:ascii="Arial" w:cs="Arial" w:eastAsia="Arial" w:hAnsi="Arial"/>
          <w:sz w:val="19"/>
          <w:szCs w:val="19"/>
          <w:u w:val="single" w:color="auto"/>
          <w:color w:val="auto"/>
        </w:rPr>
        <w:t>Post-employment Vesting Continuation</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ind w:left="640" w:right="60" w:hanging="631"/>
        <w:spacing w:after="0" w:line="266"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as of the date on which your Termination of Service occurs, (i) you have attained (A) age 58 and have at least seven years of Service credit with the Company (as determined by the Committee), including Service with any successor to the Company, or</w:t>
      </w:r>
    </w:p>
    <w:p>
      <w:pPr>
        <w:ind w:left="640" w:right="40" w:firstLine="4"/>
        <w:spacing w:after="0" w:line="253" w:lineRule="auto"/>
        <w:tabs>
          <w:tab w:leader="none" w:pos="945" w:val="left"/>
        </w:tabs>
        <w:numPr>
          <w:ilvl w:val="1"/>
          <w:numId w:val="53"/>
        </w:numPr>
        <w:rPr>
          <w:rFonts w:ascii="Arial" w:cs="Arial" w:eastAsia="Arial" w:hAnsi="Arial"/>
          <w:sz w:val="19"/>
          <w:szCs w:val="19"/>
          <w:color w:val="auto"/>
        </w:rPr>
      </w:pPr>
      <w:r>
        <w:rPr>
          <w:rFonts w:ascii="Arial" w:cs="Arial" w:eastAsia="Arial" w:hAnsi="Arial"/>
          <w:sz w:val="19"/>
          <w:szCs w:val="19"/>
          <w:color w:val="auto"/>
        </w:rPr>
        <w:t xml:space="preserve">age 60 and have at least ten years of Service credit with the Company (as determined by the Committee), or (ii) you (X) have at least 35 years of Credited Service and at least ten years of that Credited Service is attributable to Service with the Company (as determined by the Committee), and (Y) your Termination of Service occurs prior to January 1, 2024, Service in case including Service with any successor to the Company, then, except as otherwise provided in this Agreement, the then-unvested Stock Units with a Grant Date on or after December 9, 2018 that have not been previously forfeited and that are scheduled to vest during the period immediately following your Termination of Service will become vested and nonforfeitable as provided in the table below, notwithstanding the fact that your Service has terminated, on their scheduled vesting dates set forth in the correlating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other conditions for earning the Stock Units as set forth in the Notice and these Terms are satisfied.</w:t>
      </w:r>
    </w:p>
    <w:p>
      <w:pPr>
        <w:spacing w:after="0" w:line="334" w:lineRule="exact"/>
        <w:rPr>
          <w:sz w:val="20"/>
          <w:szCs w:val="20"/>
          <w:color w:val="auto"/>
        </w:rPr>
      </w:pPr>
    </w:p>
    <w:tbl>
      <w:tblPr>
        <w:tblLayout w:type="fixed"/>
        <w:tblInd w:w="650" w:type="dxa"/>
        <w:tblCellMar>
          <w:top w:w="0" w:type="dxa"/>
          <w:left w:w="0" w:type="dxa"/>
          <w:bottom w:w="0" w:type="dxa"/>
          <w:right w:w="0" w:type="dxa"/>
        </w:tblCellMar>
      </w:tblPr>
      <w:tr>
        <w:trPr>
          <w:trHeight w:val="237"/>
        </w:trPr>
        <w:tc>
          <w:tcPr>
            <w:tcW w:w="38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9"/>
                <w:szCs w:val="19"/>
                <w:b w:val="1"/>
                <w:bCs w:val="1"/>
                <w:color w:val="auto"/>
              </w:rPr>
              <w:t>Age and Years of Service as of</w:t>
            </w:r>
          </w:p>
        </w:tc>
        <w:tc>
          <w:tcPr>
            <w:tcW w:w="64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9"/>
                <w:szCs w:val="19"/>
                <w:b w:val="1"/>
                <w:bCs w:val="1"/>
                <w:color w:val="auto"/>
              </w:rPr>
              <w:t>Nonforfeited, Unvested Stock Units That Will Vest on Their Scheduled</w:t>
            </w:r>
          </w:p>
        </w:tc>
      </w:tr>
      <w:tr>
        <w:trPr>
          <w:trHeight w:val="257"/>
        </w:trPr>
        <w:tc>
          <w:tcPr>
            <w:tcW w:w="38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9"/>
                <w:szCs w:val="19"/>
                <w:b w:val="1"/>
                <w:bCs w:val="1"/>
                <w:color w:val="auto"/>
              </w:rPr>
              <w:t>Termination of Service</w:t>
            </w:r>
          </w:p>
        </w:tc>
        <w:tc>
          <w:tcPr>
            <w:tcW w:w="64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b w:val="1"/>
                <w:bCs w:val="1"/>
                <w:color w:val="auto"/>
              </w:rPr>
              <w:t>Vesting Date Following Termination of Service</w:t>
            </w:r>
          </w:p>
        </w:tc>
      </w:tr>
      <w:tr>
        <w:trPr>
          <w:trHeight w:val="247"/>
        </w:trPr>
        <w:tc>
          <w:tcPr>
            <w:tcW w:w="38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Age 58 with at least 7 but less than 20 years</w:t>
            </w:r>
          </w:p>
        </w:tc>
        <w:tc>
          <w:tcPr>
            <w:tcW w:w="644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Stock Units that will vest in the two tranches vesting in the two calendar</w:t>
            </w:r>
          </w:p>
        </w:tc>
      </w:tr>
      <w:tr>
        <w:trPr>
          <w:trHeight w:val="233"/>
        </w:trPr>
        <w:tc>
          <w:tcPr>
            <w:tcW w:w="38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of Service</w:t>
            </w:r>
          </w:p>
        </w:tc>
        <w:tc>
          <w:tcPr>
            <w:tcW w:w="64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years immediately following Termination of Service</w:t>
            </w:r>
            <w:r>
              <w:rPr>
                <w:rFonts w:ascii="Arial" w:cs="Arial" w:eastAsia="Arial" w:hAnsi="Arial"/>
                <w:sz w:val="15"/>
                <w:szCs w:val="15"/>
                <w:color w:val="auto"/>
              </w:rPr>
              <w:t>1</w:t>
            </w:r>
          </w:p>
        </w:tc>
      </w:tr>
      <w:tr>
        <w:trPr>
          <w:trHeight w:val="247"/>
        </w:trPr>
        <w:tc>
          <w:tcPr>
            <w:tcW w:w="38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Age 58 with 20 or more years of Service</w:t>
            </w:r>
          </w:p>
        </w:tc>
        <w:tc>
          <w:tcPr>
            <w:tcW w:w="644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Stock Units that will vest in the three tranches vesting in the two calendar</w:t>
            </w:r>
          </w:p>
        </w:tc>
      </w:tr>
      <w:tr>
        <w:trPr>
          <w:trHeight w:val="233"/>
        </w:trPr>
        <w:tc>
          <w:tcPr>
            <w:tcW w:w="3820" w:type="dxa"/>
            <w:vAlign w:val="bottom"/>
            <w:tcBorders>
              <w:left w:val="single" w:sz="8" w:color="00000A"/>
              <w:bottom w:val="single" w:sz="8" w:color="00000A"/>
              <w:right w:val="single" w:sz="8" w:color="00000A"/>
            </w:tcBorders>
          </w:tcPr>
          <w:p>
            <w:pPr>
              <w:spacing w:after="0"/>
              <w:rPr>
                <w:sz w:val="20"/>
                <w:szCs w:val="20"/>
                <w:color w:val="auto"/>
              </w:rPr>
            </w:pPr>
          </w:p>
        </w:tc>
        <w:tc>
          <w:tcPr>
            <w:tcW w:w="64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years immediately following Termination of Service</w:t>
            </w:r>
            <w:r>
              <w:rPr>
                <w:rFonts w:ascii="Arial" w:cs="Arial" w:eastAsia="Arial" w:hAnsi="Arial"/>
                <w:sz w:val="15"/>
                <w:szCs w:val="15"/>
                <w:color w:val="auto"/>
              </w:rPr>
              <w:t>2</w:t>
            </w:r>
          </w:p>
        </w:tc>
      </w:tr>
      <w:tr>
        <w:trPr>
          <w:trHeight w:val="247"/>
        </w:trPr>
        <w:tc>
          <w:tcPr>
            <w:tcW w:w="38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(i) Age 60 or (ii) 35 years of Credited</w:t>
            </w:r>
          </w:p>
        </w:tc>
        <w:tc>
          <w:tcPr>
            <w:tcW w:w="644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All Stock Units that will vest following Termination of Service</w:t>
            </w:r>
          </w:p>
        </w:tc>
      </w:tr>
      <w:tr>
        <w:trPr>
          <w:trHeight w:val="216"/>
        </w:trPr>
        <w:tc>
          <w:tcPr>
            <w:tcW w:w="3820" w:type="dxa"/>
            <w:vAlign w:val="bottom"/>
            <w:tcBorders>
              <w:left w:val="single" w:sz="8" w:color="00000A"/>
              <w:right w:val="single" w:sz="8" w:color="00000A"/>
            </w:tcBorders>
          </w:tcPr>
          <w:p>
            <w:pPr>
              <w:ind w:left="40"/>
              <w:spacing w:after="0" w:line="216" w:lineRule="exact"/>
              <w:rPr>
                <w:sz w:val="20"/>
                <w:szCs w:val="20"/>
                <w:color w:val="auto"/>
              </w:rPr>
            </w:pPr>
            <w:r>
              <w:rPr>
                <w:rFonts w:ascii="Arial" w:cs="Arial" w:eastAsia="Arial" w:hAnsi="Arial"/>
                <w:sz w:val="19"/>
                <w:szCs w:val="19"/>
                <w:color w:val="auto"/>
              </w:rPr>
              <w:t>Service, each with 10 or more years of</w:t>
            </w:r>
          </w:p>
        </w:tc>
        <w:tc>
          <w:tcPr>
            <w:tcW w:w="6440" w:type="dxa"/>
            <w:vAlign w:val="bottom"/>
            <w:tcBorders>
              <w:right w:val="single" w:sz="8" w:color="00000A"/>
            </w:tcBorders>
          </w:tcPr>
          <w:p>
            <w:pPr>
              <w:spacing w:after="0"/>
              <w:rPr>
                <w:sz w:val="18"/>
                <w:szCs w:val="18"/>
                <w:color w:val="auto"/>
              </w:rPr>
            </w:pPr>
          </w:p>
        </w:tc>
      </w:tr>
      <w:tr>
        <w:trPr>
          <w:trHeight w:val="233"/>
        </w:trPr>
        <w:tc>
          <w:tcPr>
            <w:tcW w:w="38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Service</w:t>
            </w:r>
          </w:p>
        </w:tc>
        <w:tc>
          <w:tcPr>
            <w:tcW w:w="6440" w:type="dxa"/>
            <w:vAlign w:val="bottom"/>
            <w:tcBorders>
              <w:bottom w:val="single" w:sz="8" w:color="00000A"/>
              <w:right w:val="single" w:sz="8" w:color="00000A"/>
            </w:tcBorders>
          </w:tcPr>
          <w:p>
            <w:pPr>
              <w:spacing w:after="0"/>
              <w:rPr>
                <w:sz w:val="20"/>
                <w:szCs w:val="20"/>
                <w:color w:val="auto"/>
              </w:rPr>
            </w:pPr>
          </w:p>
        </w:tc>
      </w:tr>
    </w:tbl>
    <w:p>
      <w:pPr>
        <w:spacing w:after="0" w:line="5" w:lineRule="exact"/>
        <w:rPr>
          <w:sz w:val="20"/>
          <w:szCs w:val="20"/>
          <w:color w:val="auto"/>
        </w:rPr>
      </w:pPr>
    </w:p>
    <w:p>
      <w:pPr>
        <w:ind w:left="740" w:right="440"/>
        <w:spacing w:after="0" w:line="241" w:lineRule="auto"/>
        <w:rPr>
          <w:sz w:val="20"/>
          <w:szCs w:val="20"/>
          <w:color w:val="auto"/>
        </w:rPr>
      </w:pPr>
      <w:r>
        <w:rPr>
          <w:rFonts w:ascii="Arial" w:cs="Arial" w:eastAsia="Arial" w:hAnsi="Arial"/>
          <w:sz w:val="14"/>
          <w:szCs w:val="14"/>
          <w:color w:val="auto"/>
        </w:rPr>
        <w:t>1 Solely for the 2018 performance-based restricted stock unit awards “two tranches vesting in the two calendar years” shall be replaced with “26 whole calendar months”.</w:t>
      </w:r>
    </w:p>
    <w:p>
      <w:pPr>
        <w:spacing w:after="0" w:line="1" w:lineRule="exact"/>
        <w:rPr>
          <w:sz w:val="20"/>
          <w:szCs w:val="20"/>
          <w:color w:val="auto"/>
        </w:rPr>
      </w:pPr>
    </w:p>
    <w:p>
      <w:pPr>
        <w:ind w:left="740" w:right="240"/>
        <w:spacing w:after="0" w:line="258" w:lineRule="auto"/>
        <w:rPr>
          <w:sz w:val="20"/>
          <w:szCs w:val="20"/>
          <w:color w:val="auto"/>
        </w:rPr>
      </w:pPr>
      <w:r>
        <w:rPr>
          <w:rFonts w:ascii="Arial" w:cs="Arial" w:eastAsia="Arial" w:hAnsi="Arial"/>
          <w:sz w:val="14"/>
          <w:szCs w:val="14"/>
          <w:color w:val="auto"/>
        </w:rPr>
        <w:t>2 Solely for the 2018 performance-based restricted stock unit awards “three tranches vesting in the three calendar years” shall be replaced with “38 whole calendar months”.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320" w:top="1076" w:right="239" w:bottom="1440" w:gutter="0" w:footer="0" w:header="0"/>
        </w:sectPr>
      </w:pPr>
    </w:p>
    <w:bookmarkStart w:id="76" w:name="page77"/>
    <w:bookmarkEnd w:id="76"/>
    <w:p>
      <w:pPr>
        <w:ind w:left="640" w:right="340" w:firstLine="1260"/>
        <w:spacing w:after="0" w:line="255" w:lineRule="auto"/>
        <w:tabs>
          <w:tab w:leader="none" w:pos="2286" w:val="left"/>
        </w:tabs>
        <w:numPr>
          <w:ilvl w:val="3"/>
          <w:numId w:val="54"/>
        </w:numPr>
        <w:rPr>
          <w:rFonts w:ascii="Arial" w:cs="Arial" w:eastAsia="Arial" w:hAnsi="Arial"/>
          <w:sz w:val="19"/>
          <w:szCs w:val="19"/>
          <w:color w:val="auto"/>
        </w:rPr>
      </w:pPr>
      <w:r>
        <w:rPr>
          <w:rFonts w:ascii="Arial" w:cs="Arial" w:eastAsia="Arial" w:hAnsi="Arial"/>
          <w:sz w:val="19"/>
          <w:szCs w:val="19"/>
          <w:color w:val="auto"/>
        </w:rPr>
        <w:t>Notwithstanding the provisions of Section 2(c)(i) to the contrary, unless the Committee determines otherwise, your unvested Stock Units and all accrued dividend equivalents with respect to your unvested Stock Units will be immediately forfeited for no consideration, no further vesting will accrue and no shares of Common Stock will be delivered in respect thereof, if you breach any of the restrictive covenants set forth in Section 8.</w:t>
      </w:r>
    </w:p>
    <w:p>
      <w:pPr>
        <w:spacing w:after="0" w:line="205" w:lineRule="exact"/>
        <w:rPr>
          <w:rFonts w:ascii="Arial" w:cs="Arial" w:eastAsia="Arial" w:hAnsi="Arial"/>
          <w:sz w:val="19"/>
          <w:szCs w:val="19"/>
          <w:color w:val="auto"/>
        </w:rPr>
      </w:pPr>
    </w:p>
    <w:p>
      <w:pPr>
        <w:ind w:firstLine="1265"/>
        <w:spacing w:after="0" w:line="261" w:lineRule="auto"/>
        <w:tabs>
          <w:tab w:leader="none" w:pos="1775" w:val="left"/>
        </w:tabs>
        <w:numPr>
          <w:ilvl w:val="2"/>
          <w:numId w:val="55"/>
        </w:numPr>
        <w:rPr>
          <w:rFonts w:ascii="Arial" w:cs="Arial" w:eastAsia="Arial" w:hAnsi="Arial"/>
          <w:sz w:val="19"/>
          <w:szCs w:val="19"/>
          <w:color w:val="auto"/>
        </w:rPr>
      </w:pPr>
      <w:r>
        <w:rPr>
          <w:rFonts w:ascii="Arial" w:cs="Arial" w:eastAsia="Arial" w:hAnsi="Arial"/>
          <w:sz w:val="19"/>
          <w:szCs w:val="19"/>
          <w:u w:val="single" w:color="auto"/>
          <w:color w:val="auto"/>
        </w:rPr>
        <w:t>Vesting upon Death or Disability</w:t>
      </w:r>
      <w:r>
        <w:rPr>
          <w:rFonts w:ascii="Arial" w:cs="Arial" w:eastAsia="Arial" w:hAnsi="Arial"/>
          <w:sz w:val="19"/>
          <w:szCs w:val="19"/>
          <w:color w:val="auto"/>
        </w:rPr>
        <w:t>. All Stock Units that have not already vested or been previously forfeited will become vested and nonforfeitable upon your death or Termination of Service due to your Total and Permanent Disability.</w:t>
      </w:r>
    </w:p>
    <w:p>
      <w:pPr>
        <w:spacing w:after="0" w:line="200" w:lineRule="exact"/>
        <w:rPr>
          <w:rFonts w:ascii="Arial" w:cs="Arial" w:eastAsia="Arial" w:hAnsi="Arial"/>
          <w:sz w:val="19"/>
          <w:szCs w:val="19"/>
          <w:color w:val="auto"/>
        </w:rPr>
      </w:pPr>
    </w:p>
    <w:p>
      <w:pPr>
        <w:ind w:right="140" w:firstLine="1265"/>
        <w:spacing w:after="0" w:line="254" w:lineRule="auto"/>
        <w:tabs>
          <w:tab w:leader="none" w:pos="1667" w:val="left"/>
        </w:tabs>
        <w:numPr>
          <w:ilvl w:val="2"/>
          <w:numId w:val="55"/>
        </w:numPr>
        <w:rPr>
          <w:rFonts w:ascii="Arial" w:cs="Arial" w:eastAsia="Arial" w:hAnsi="Arial"/>
          <w:sz w:val="19"/>
          <w:szCs w:val="19"/>
          <w:color w:val="auto"/>
        </w:rPr>
      </w:pPr>
      <w:r>
        <w:rPr>
          <w:rFonts w:ascii="Arial" w:cs="Arial" w:eastAsia="Arial" w:hAnsi="Arial"/>
          <w:sz w:val="19"/>
          <w:szCs w:val="19"/>
          <w:u w:val="single" w:color="auto"/>
          <w:color w:val="auto"/>
        </w:rPr>
        <w:t>Double-trigger Vesting</w:t>
      </w:r>
      <w:r>
        <w:rPr>
          <w:rFonts w:ascii="Arial" w:cs="Arial" w:eastAsia="Arial" w:hAnsi="Arial"/>
          <w:sz w:val="19"/>
          <w:szCs w:val="19"/>
          <w:color w:val="auto"/>
        </w:rPr>
        <w:t>. If, coincident with or during the 18-month period following the effective date of a Change in Control, your Service is terminated either (i) by the Company or a successor to the Company, other than for Cause, Total and Permanent Disability or death or (ii) by you for Good Reason, then all Stock Units that have not already vested or been previously forfeited or terminated in connection with the Change in Control will become vested and nonforfeitable upon such Termination of Service.</w:t>
      </w:r>
    </w:p>
    <w:p>
      <w:pPr>
        <w:spacing w:after="0" w:line="207" w:lineRule="exact"/>
        <w:rPr>
          <w:rFonts w:ascii="Arial" w:cs="Arial" w:eastAsia="Arial" w:hAnsi="Arial"/>
          <w:sz w:val="19"/>
          <w:szCs w:val="19"/>
          <w:color w:val="auto"/>
        </w:rPr>
      </w:pPr>
    </w:p>
    <w:p>
      <w:pPr>
        <w:ind w:left="1280" w:hanging="636"/>
        <w:spacing w:after="0"/>
        <w:tabs>
          <w:tab w:leader="none" w:pos="1280"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Forfeitures Upon Termination of Service</w:t>
      </w:r>
      <w:r>
        <w:rPr>
          <w:rFonts w:ascii="Arial" w:cs="Arial" w:eastAsia="Arial" w:hAnsi="Arial"/>
          <w:sz w:val="19"/>
          <w:szCs w:val="19"/>
          <w:color w:val="auto"/>
        </w:rPr>
        <w:t>.</w:t>
      </w:r>
    </w:p>
    <w:p>
      <w:pPr>
        <w:spacing w:after="0" w:line="294" w:lineRule="exact"/>
        <w:rPr>
          <w:rFonts w:ascii="Arial" w:cs="Arial" w:eastAsia="Arial" w:hAnsi="Arial"/>
          <w:sz w:val="19"/>
          <w:szCs w:val="19"/>
          <w:color w:val="auto"/>
        </w:rPr>
      </w:pPr>
    </w:p>
    <w:p>
      <w:pPr>
        <w:ind w:firstLine="1265"/>
        <w:spacing w:after="0" w:line="256" w:lineRule="auto"/>
        <w:tabs>
          <w:tab w:leader="none" w:pos="1667" w:val="left"/>
        </w:tabs>
        <w:numPr>
          <w:ilvl w:val="2"/>
          <w:numId w:val="56"/>
        </w:numPr>
        <w:rPr>
          <w:rFonts w:ascii="Arial" w:cs="Arial" w:eastAsia="Arial" w:hAnsi="Arial"/>
          <w:sz w:val="19"/>
          <w:szCs w:val="19"/>
          <w:color w:val="auto"/>
        </w:rPr>
      </w:pPr>
      <w:r>
        <w:rPr>
          <w:rFonts w:ascii="Arial" w:cs="Arial" w:eastAsia="Arial" w:hAnsi="Arial"/>
          <w:sz w:val="19"/>
          <w:szCs w:val="19"/>
          <w:u w:val="single" w:color="auto"/>
          <w:color w:val="auto"/>
        </w:rPr>
        <w:t>Termination before Satisfying a Post-employment Vesting Continuation Provision in Section 2(c)(i)</w:t>
      </w:r>
      <w:r>
        <w:rPr>
          <w:rFonts w:ascii="Arial" w:cs="Arial" w:eastAsia="Arial" w:hAnsi="Arial"/>
          <w:sz w:val="19"/>
          <w:szCs w:val="19"/>
          <w:color w:val="auto"/>
        </w:rPr>
        <w:t>. If your Service ceases for any reason before you satisfy any one of the post-employment vesting continuation provisions contained in Section 2(c)(i) all Stock Units that are not then vested and nonforfeitable, after giving effect to the applicable provisions of Section 2 above, will be immediately forfeited upon such cessation for no consideration.</w:t>
      </w:r>
    </w:p>
    <w:p>
      <w:pPr>
        <w:spacing w:after="0" w:line="202" w:lineRule="exact"/>
        <w:rPr>
          <w:rFonts w:ascii="Arial" w:cs="Arial" w:eastAsia="Arial" w:hAnsi="Arial"/>
          <w:sz w:val="19"/>
          <w:szCs w:val="19"/>
          <w:color w:val="auto"/>
        </w:rPr>
      </w:pPr>
    </w:p>
    <w:p>
      <w:pPr>
        <w:ind w:right="220" w:firstLine="1265"/>
        <w:spacing w:after="0" w:line="261" w:lineRule="auto"/>
        <w:tabs>
          <w:tab w:leader="none" w:pos="1667" w:val="left"/>
        </w:tabs>
        <w:numPr>
          <w:ilvl w:val="2"/>
          <w:numId w:val="56"/>
        </w:numPr>
        <w:rPr>
          <w:rFonts w:ascii="Arial" w:cs="Arial" w:eastAsia="Arial" w:hAnsi="Arial"/>
          <w:sz w:val="19"/>
          <w:szCs w:val="19"/>
          <w:color w:val="auto"/>
        </w:rPr>
      </w:pPr>
      <w:r>
        <w:rPr>
          <w:rFonts w:ascii="Arial" w:cs="Arial" w:eastAsia="Arial" w:hAnsi="Arial"/>
          <w:sz w:val="19"/>
          <w:szCs w:val="19"/>
          <w:u w:val="single" w:color="auto"/>
          <w:color w:val="auto"/>
        </w:rPr>
        <w:t>Forfeiture of Accrued Dividend Equivalents</w:t>
      </w:r>
      <w:r>
        <w:rPr>
          <w:rFonts w:ascii="Arial" w:cs="Arial" w:eastAsia="Arial" w:hAnsi="Arial"/>
          <w:sz w:val="19"/>
          <w:szCs w:val="19"/>
          <w:color w:val="auto"/>
        </w:rPr>
        <w:t>. Any accrued dividend equivalents attributable to forfeited Stock Units shall also be forfeited if and when the Stock Units are forfeited.</w:t>
      </w:r>
    </w:p>
    <w:p>
      <w:pPr>
        <w:spacing w:after="0" w:line="200" w:lineRule="exact"/>
        <w:rPr>
          <w:rFonts w:ascii="Arial" w:cs="Arial" w:eastAsia="Arial" w:hAnsi="Arial"/>
          <w:sz w:val="19"/>
          <w:szCs w:val="19"/>
          <w:color w:val="auto"/>
        </w:rPr>
      </w:pPr>
    </w:p>
    <w:p>
      <w:pPr>
        <w:ind w:right="40" w:firstLine="1265"/>
        <w:spacing w:after="0" w:line="256" w:lineRule="auto"/>
        <w:tabs>
          <w:tab w:leader="none" w:pos="1656" w:val="left"/>
        </w:tabs>
        <w:numPr>
          <w:ilvl w:val="2"/>
          <w:numId w:val="56"/>
        </w:numPr>
        <w:rPr>
          <w:rFonts w:ascii="Arial" w:cs="Arial" w:eastAsia="Arial" w:hAnsi="Arial"/>
          <w:sz w:val="19"/>
          <w:szCs w:val="19"/>
          <w:color w:val="auto"/>
        </w:rPr>
      </w:pPr>
      <w:r>
        <w:rPr>
          <w:rFonts w:ascii="Arial" w:cs="Arial" w:eastAsia="Arial" w:hAnsi="Arial"/>
          <w:sz w:val="19"/>
          <w:szCs w:val="19"/>
          <w:u w:val="single" w:color="auto"/>
          <w:color w:val="auto"/>
        </w:rPr>
        <w:t>Consequences of Forfeiture</w:t>
      </w:r>
      <w:r>
        <w:rPr>
          <w:rFonts w:ascii="Arial" w:cs="Arial" w:eastAsia="Arial" w:hAnsi="Arial"/>
          <w:sz w:val="19"/>
          <w:szCs w:val="19"/>
          <w:color w:val="auto"/>
        </w:rPr>
        <w:t>. You acknowledge and agree that upon the forfeiture of any unvested Stock Units, your right to receive dividend equivalents on, and all other rights, title or interest in, to or with respect to, the forfeited Stock Units and the shares into which they otherwise may have been converted shall automatically, without further act, terminate.</w:t>
      </w:r>
    </w:p>
    <w:p>
      <w:pPr>
        <w:spacing w:after="0" w:line="219" w:lineRule="exact"/>
        <w:rPr>
          <w:rFonts w:ascii="Arial" w:cs="Arial" w:eastAsia="Arial" w:hAnsi="Arial"/>
          <w:sz w:val="19"/>
          <w:szCs w:val="19"/>
          <w:color w:val="auto"/>
        </w:rPr>
      </w:pPr>
    </w:p>
    <w:p>
      <w:pPr>
        <w:ind w:right="120" w:firstLine="630"/>
        <w:spacing w:after="0" w:line="286" w:lineRule="auto"/>
        <w:tabs>
          <w:tab w:leader="none" w:pos="1400"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Restrictions on Transfer</w:t>
      </w:r>
      <w:r>
        <w:rPr>
          <w:rFonts w:ascii="Arial" w:cs="Arial" w:eastAsia="Arial" w:hAnsi="Arial"/>
          <w:sz w:val="19"/>
          <w:szCs w:val="19"/>
          <w:color w:val="auto"/>
        </w:rPr>
        <w:t>. Stock Units may not be assigned, transferred, pledged, hypothecated or disposed of in any way, whether by operation of law or otherwise, except by will or the laws of descent and distribution, and Stock Units may not be made subject to execution, attachment or similar process.</w:t>
      </w:r>
    </w:p>
    <w:p>
      <w:pPr>
        <w:spacing w:after="0" w:line="204" w:lineRule="exact"/>
        <w:rPr>
          <w:rFonts w:ascii="Arial" w:cs="Arial" w:eastAsia="Arial" w:hAnsi="Arial"/>
          <w:sz w:val="19"/>
          <w:szCs w:val="19"/>
          <w:color w:val="auto"/>
        </w:rPr>
      </w:pPr>
    </w:p>
    <w:p>
      <w:pPr>
        <w:ind w:right="20" w:firstLine="630"/>
        <w:spacing w:after="0" w:line="282" w:lineRule="auto"/>
        <w:tabs>
          <w:tab w:leader="none" w:pos="1400"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Dividend Equivalent Payments</w:t>
      </w:r>
      <w:r>
        <w:rPr>
          <w:rFonts w:ascii="Arial" w:cs="Arial" w:eastAsia="Arial" w:hAnsi="Arial"/>
          <w:sz w:val="19"/>
          <w:szCs w:val="19"/>
          <w:color w:val="auto"/>
        </w:rPr>
        <w:t xml:space="preserve">. On each dividend payment date for each regular cash dividend payable with respect to the Common Stock, the Company will pay to you in cash an amount equal to the product of (a) the per share cash dividend, multiplied by (b) the number of your Stock Units outstanding on the record date regardless of the vested or nonvested status of the Stock Units;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Notice reflects that your Stock Units are subject to satisfaction of a Performance Threshold then any regular cash dividends that become payable with respect to unvested Stock Units before the Performance Threshold has been determined to have been satisfied will be accrued and held by the Company or an escrow agent appointed by the Committee until a determination has been made by the Executive Compensation Committee as to whether and the extent to which the Performance Threshold has been satisfied. Any such accrued dividends will be paid to you, without interest, within 14 days after the date on which the Executive Compensation Committee determines that, and the extent to which, the Performance Threshold has been satisfied or will be forfeited to the Company if and</w:t>
      </w:r>
    </w:p>
    <w:p>
      <w:pPr>
        <w:spacing w:after="0" w:line="33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320" w:top="616" w:right="239" w:bottom="1440" w:gutter="0" w:footer="0" w:header="0"/>
        </w:sectPr>
      </w:pPr>
    </w:p>
    <w:bookmarkStart w:id="77" w:name="page78"/>
    <w:bookmarkEnd w:id="77"/>
    <w:p>
      <w:pPr>
        <w:spacing w:after="0"/>
        <w:rPr>
          <w:sz w:val="20"/>
          <w:szCs w:val="20"/>
          <w:color w:val="auto"/>
        </w:rPr>
      </w:pPr>
      <w:r>
        <w:rPr>
          <w:rFonts w:ascii="Arial" w:cs="Arial" w:eastAsia="Arial" w:hAnsi="Arial"/>
          <w:sz w:val="19"/>
          <w:szCs w:val="19"/>
          <w:color w:val="auto"/>
        </w:rPr>
        <w:t>when the Stock Units to which they relate are forfeited due to a failure to satisfy the Performance Threshold.</w:t>
      </w:r>
    </w:p>
    <w:p>
      <w:pPr>
        <w:spacing w:after="0" w:line="281" w:lineRule="exact"/>
        <w:rPr>
          <w:sz w:val="20"/>
          <w:szCs w:val="20"/>
          <w:color w:val="auto"/>
        </w:rPr>
      </w:pPr>
    </w:p>
    <w:p>
      <w:pPr>
        <w:ind w:right="540" w:firstLine="630"/>
        <w:spacing w:after="0" w:line="297" w:lineRule="auto"/>
        <w:tabs>
          <w:tab w:leader="none" w:pos="14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Settlement of Stock Units</w:t>
      </w:r>
      <w:r>
        <w:rPr>
          <w:rFonts w:ascii="Arial" w:cs="Arial" w:eastAsia="Arial" w:hAnsi="Arial"/>
          <w:sz w:val="18"/>
          <w:szCs w:val="18"/>
          <w:color w:val="auto"/>
        </w:rPr>
        <w:t>. Your Stock Units will be settled automatically, via the issuance of Common Stock as described herein, when or as soon as practicable, but in all events within 30 days, after they become vested and nonforfeitable in</w:t>
      </w:r>
    </w:p>
    <w:p>
      <w:pPr>
        <w:spacing w:after="0"/>
        <w:rPr>
          <w:rFonts w:ascii="Arial" w:cs="Arial" w:eastAsia="Arial" w:hAnsi="Arial"/>
          <w:sz w:val="18"/>
          <w:szCs w:val="18"/>
          <w:color w:val="auto"/>
        </w:rPr>
      </w:pPr>
      <w:r>
        <w:rPr>
          <w:rFonts w:ascii="Arial" w:cs="Arial" w:eastAsia="Arial" w:hAnsi="Arial"/>
          <w:sz w:val="19"/>
          <w:szCs w:val="19"/>
          <w:color w:val="auto"/>
        </w:rPr>
        <w:t>accordance with</w:t>
      </w:r>
    </w:p>
    <w:p>
      <w:pPr>
        <w:spacing w:after="0" w:line="24" w:lineRule="exact"/>
        <w:rPr>
          <w:rFonts w:ascii="Arial" w:cs="Arial" w:eastAsia="Arial" w:hAnsi="Arial"/>
          <w:sz w:val="18"/>
          <w:szCs w:val="18"/>
          <w:color w:val="auto"/>
        </w:rPr>
      </w:pPr>
    </w:p>
    <w:p>
      <w:pPr>
        <w:spacing w:after="0" w:line="253" w:lineRule="auto"/>
        <w:rPr>
          <w:rFonts w:ascii="Arial" w:cs="Arial" w:eastAsia="Arial" w:hAnsi="Arial"/>
          <w:sz w:val="18"/>
          <w:szCs w:val="18"/>
          <w:color w:val="auto"/>
        </w:rPr>
      </w:pPr>
      <w:r>
        <w:rPr>
          <w:rFonts w:ascii="Arial" w:cs="Arial" w:eastAsia="Arial" w:hAnsi="Arial"/>
          <w:sz w:val="19"/>
          <w:szCs w:val="19"/>
          <w:color w:val="auto"/>
        </w:rPr>
        <w:t>Section 2 or Section 9, as applicable. You may not, directly or indirectly, designate the calendar year in which such settlement will be made. You are not required to make any monetary payment (other than applicable tax withholding, if required) as a condition to settlement of the Stock Units. The Company will issue to you, in settlement of your Stock Units, the number of whole shares of Common Stock that equals the number of whole Stock Units that vested, and the vested Stock Units will cease to be outstanding upon the issuance of those shares. Unless you request the Company to deliver a share certificate to you, or deliver shares electronically or in certificate form to your designated broker, bank or nominee on your behalf, the Company will retain the shares in uncertificated book entry form.</w:t>
      </w:r>
    </w:p>
    <w:p>
      <w:pPr>
        <w:spacing w:after="0" w:line="224" w:lineRule="exact"/>
        <w:rPr>
          <w:rFonts w:ascii="Arial" w:cs="Arial" w:eastAsia="Arial" w:hAnsi="Arial"/>
          <w:sz w:val="18"/>
          <w:szCs w:val="18"/>
          <w:color w:val="auto"/>
        </w:rPr>
      </w:pPr>
    </w:p>
    <w:p>
      <w:pPr>
        <w:ind w:left="1400" w:hanging="770"/>
        <w:spacing w:after="0"/>
        <w:tabs>
          <w:tab w:leader="none" w:pos="1400"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w:t>
      </w:r>
    </w:p>
    <w:p>
      <w:pPr>
        <w:spacing w:after="0" w:line="240" w:lineRule="exact"/>
        <w:rPr>
          <w:rFonts w:ascii="Arial" w:cs="Arial" w:eastAsia="Arial" w:hAnsi="Arial"/>
          <w:sz w:val="19"/>
          <w:szCs w:val="19"/>
          <w:color w:val="auto"/>
        </w:rPr>
      </w:pPr>
    </w:p>
    <w:p>
      <w:pPr>
        <w:ind w:right="80" w:firstLine="1265"/>
        <w:spacing w:after="0" w:line="253" w:lineRule="auto"/>
        <w:tabs>
          <w:tab w:leader="none" w:pos="1667"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General Authority to Withhold</w:t>
      </w:r>
      <w:r>
        <w:rPr>
          <w:rFonts w:ascii="Arial" w:cs="Arial" w:eastAsia="Arial" w:hAnsi="Arial"/>
          <w:sz w:val="19"/>
          <w:szCs w:val="19"/>
          <w:color w:val="auto"/>
        </w:rPr>
        <w:t xml:space="preserve">. By accepting the Notice correlating with these Terms, you agree to make adequate provision for foreign (non-United States), federal, state and local taxes and social insurance contributions required by law to be withheld, if any, that arise in connection with the Stock Units. The Company shall have the right to deduct from any compensation or any other payment of any kind due you (including withholding the issuance or delivery of shares of Common Stock) the amount of any foreign (non-United States), federal, state or local taxes and social insurance contributions required by law to be withheld as a result of the vesting or settlement of the Stock Units, in whole or in part, or as otherwise may be required by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value of the shares of Common Stock withheld may not exceed, by more than a fractional share, the statutory minimum withholding amount required by law. In lieu of such deduction, the Company may require you to make a cash payment to the Company equal to the amount required to be withheld. If you do not make such payment when requested, the Company may refuse to issue any Common Stock or deliver any stock certificate under this Agreement or otherwise release for transfer any such shares until arrangements satisfactory to the Company for such payment have been made.</w:t>
      </w:r>
    </w:p>
    <w:p>
      <w:pPr>
        <w:spacing w:after="0" w:line="208" w:lineRule="exact"/>
        <w:rPr>
          <w:rFonts w:ascii="Arial" w:cs="Arial" w:eastAsia="Arial" w:hAnsi="Arial"/>
          <w:sz w:val="19"/>
          <w:szCs w:val="19"/>
          <w:color w:val="auto"/>
        </w:rPr>
      </w:pPr>
    </w:p>
    <w:p>
      <w:pPr>
        <w:ind w:right="340" w:firstLine="1265"/>
        <w:spacing w:after="0" w:line="254" w:lineRule="auto"/>
        <w:tabs>
          <w:tab w:leader="none" w:pos="1667"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Withholding Taxes Satisfied with Shares of Common Stock</w:t>
      </w:r>
      <w:r>
        <w:rPr>
          <w:rFonts w:ascii="Arial" w:cs="Arial" w:eastAsia="Arial" w:hAnsi="Arial"/>
          <w:sz w:val="19"/>
          <w:szCs w:val="19"/>
          <w:color w:val="auto"/>
        </w:rPr>
        <w:t>. The Company may, in its sole discretion, permit or require you to satisfy, in whole or in part, any tax withholding or social insurance contribution obligation that may arise in connection with the Stock Units either by having the Company withhold from the shares to be issued upon vesting that number of shares, or by delivering to the Company already-owned shares, in either case having a fair market value equal to no more than the amount necessary to satisfy the statutory minimum withholding amount due.</w:t>
      </w:r>
    </w:p>
    <w:p>
      <w:pPr>
        <w:spacing w:after="0" w:line="221" w:lineRule="exact"/>
        <w:rPr>
          <w:rFonts w:ascii="Arial" w:cs="Arial" w:eastAsia="Arial" w:hAnsi="Arial"/>
          <w:sz w:val="19"/>
          <w:szCs w:val="19"/>
          <w:color w:val="auto"/>
        </w:rPr>
      </w:pPr>
    </w:p>
    <w:p>
      <w:pPr>
        <w:ind w:left="1400" w:hanging="770"/>
        <w:spacing w:after="0"/>
        <w:tabs>
          <w:tab w:leader="none" w:pos="1400"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Restrictive Covenants</w:t>
      </w:r>
      <w:r>
        <w:rPr>
          <w:rFonts w:ascii="Arial" w:cs="Arial" w:eastAsia="Arial" w:hAnsi="Arial"/>
          <w:sz w:val="19"/>
          <w:szCs w:val="19"/>
          <w:color w:val="auto"/>
        </w:rPr>
        <w:t>.</w:t>
      </w:r>
    </w:p>
    <w:p>
      <w:pPr>
        <w:spacing w:after="0" w:line="240" w:lineRule="exact"/>
        <w:rPr>
          <w:rFonts w:ascii="Arial" w:cs="Arial" w:eastAsia="Arial" w:hAnsi="Arial"/>
          <w:sz w:val="19"/>
          <w:szCs w:val="19"/>
          <w:color w:val="auto"/>
        </w:rPr>
      </w:pPr>
    </w:p>
    <w:p>
      <w:pPr>
        <w:jc w:val="both"/>
        <w:ind w:right="240" w:firstLine="1265"/>
        <w:spacing w:after="0" w:line="255" w:lineRule="auto"/>
        <w:tabs>
          <w:tab w:leader="none" w:pos="1667"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Termination of Vesting</w:t>
      </w:r>
      <w:r>
        <w:rPr>
          <w:rFonts w:ascii="Arial" w:cs="Arial" w:eastAsia="Arial" w:hAnsi="Arial"/>
          <w:sz w:val="19"/>
          <w:szCs w:val="19"/>
          <w:color w:val="auto"/>
        </w:rPr>
        <w:t>. Notwithstanding anything in Section 2 or Section 3 to the contrary, unless the Committee determines otherwise, upon the occurrence of any Prohibited Action set forth in Section 8(b), the following shall occur with respect to your Stock Units: (i) no further Stock Units will become vested and (ii) Stock Units that are not then vested and nonforfeitable will be immediately forfeited for no consideration.</w:t>
      </w:r>
    </w:p>
    <w:p>
      <w:pPr>
        <w:spacing w:after="0" w:line="183" w:lineRule="exact"/>
        <w:rPr>
          <w:rFonts w:ascii="Arial" w:cs="Arial" w:eastAsia="Arial" w:hAnsi="Arial"/>
          <w:sz w:val="19"/>
          <w:szCs w:val="19"/>
          <w:color w:val="auto"/>
        </w:rPr>
      </w:pPr>
    </w:p>
    <w:p>
      <w:pPr>
        <w:ind w:right="100" w:firstLine="1265"/>
        <w:spacing w:after="0" w:line="285" w:lineRule="auto"/>
        <w:tabs>
          <w:tab w:leader="none" w:pos="1667"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Prohibited Actions</w:t>
      </w:r>
      <w:r>
        <w:rPr>
          <w:rFonts w:ascii="Arial" w:cs="Arial" w:eastAsia="Arial" w:hAnsi="Arial"/>
          <w:sz w:val="19"/>
          <w:szCs w:val="19"/>
          <w:color w:val="auto"/>
        </w:rPr>
        <w:t xml:space="preserve">. The following actions are considered </w:t>
      </w:r>
      <w:r>
        <w:rPr>
          <w:rFonts w:ascii="Arial" w:cs="Arial" w:eastAsia="Arial" w:hAnsi="Arial"/>
          <w:sz w:val="19"/>
          <w:szCs w:val="19"/>
          <w:b w:val="1"/>
          <w:bCs w:val="1"/>
          <w:i w:val="1"/>
          <w:iCs w:val="1"/>
          <w:color w:val="auto"/>
        </w:rPr>
        <w:t>Prohibited Actions</w:t>
      </w:r>
      <w:r>
        <w:rPr>
          <w:rFonts w:ascii="Arial" w:cs="Arial" w:eastAsia="Arial" w:hAnsi="Arial"/>
          <w:sz w:val="19"/>
          <w:szCs w:val="19"/>
          <w:color w:val="auto"/>
        </w:rPr>
        <w:t xml:space="preserve"> and subject to the consequences set forth in Section 8(a) above, whether engaged in</w:t>
      </w:r>
    </w:p>
    <w:p>
      <w:pPr>
        <w:spacing w:after="0" w:line="200" w:lineRule="exact"/>
        <w:rPr>
          <w:sz w:val="20"/>
          <w:szCs w:val="20"/>
          <w:color w:val="auto"/>
        </w:rPr>
      </w:pPr>
    </w:p>
    <w:p>
      <w:pPr>
        <w:spacing w:after="0" w:line="33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320" w:top="630" w:right="259" w:bottom="1440" w:gutter="0" w:footer="0" w:header="0"/>
        </w:sectPr>
      </w:pPr>
    </w:p>
    <w:bookmarkStart w:id="78" w:name="page79"/>
    <w:bookmarkEnd w:id="78"/>
    <w:p>
      <w:pPr>
        <w:spacing w:after="0"/>
        <w:rPr>
          <w:sz w:val="20"/>
          <w:szCs w:val="20"/>
          <w:color w:val="auto"/>
        </w:rPr>
      </w:pPr>
      <w:r>
        <w:rPr>
          <w:rFonts w:ascii="Arial" w:cs="Arial" w:eastAsia="Arial" w:hAnsi="Arial"/>
          <w:sz w:val="19"/>
          <w:szCs w:val="19"/>
          <w:color w:val="auto"/>
        </w:rPr>
        <w:t>by you directly or indirectly, either as an employee, employer, consultant, or in any other capacity:</w:t>
      </w:r>
    </w:p>
    <w:p>
      <w:pPr>
        <w:spacing w:after="0" w:line="178" w:lineRule="exact"/>
        <w:rPr>
          <w:sz w:val="20"/>
          <w:szCs w:val="20"/>
          <w:color w:val="auto"/>
        </w:rPr>
      </w:pPr>
    </w:p>
    <w:p>
      <w:pPr>
        <w:ind w:left="640" w:right="540" w:firstLine="1260"/>
        <w:spacing w:after="0" w:line="269" w:lineRule="auto"/>
        <w:tabs>
          <w:tab w:leader="none" w:pos="2244" w:val="left"/>
        </w:tabs>
        <w:numPr>
          <w:ilvl w:val="1"/>
          <w:numId w:val="59"/>
        </w:numPr>
        <w:rPr>
          <w:rFonts w:ascii="Arial" w:cs="Arial" w:eastAsia="Arial" w:hAnsi="Arial"/>
          <w:sz w:val="19"/>
          <w:szCs w:val="19"/>
          <w:color w:val="auto"/>
        </w:rPr>
      </w:pPr>
      <w:r>
        <w:rPr>
          <w:rFonts w:ascii="Arial" w:cs="Arial" w:eastAsia="Arial" w:hAnsi="Arial"/>
          <w:sz w:val="19"/>
          <w:szCs w:val="19"/>
          <w:color w:val="auto"/>
        </w:rPr>
        <w:t>engaging in any Competing Business. “</w:t>
      </w:r>
      <w:r>
        <w:rPr>
          <w:rFonts w:ascii="Arial" w:cs="Arial" w:eastAsia="Arial" w:hAnsi="Arial"/>
          <w:sz w:val="19"/>
          <w:szCs w:val="19"/>
          <w:b w:val="1"/>
          <w:bCs w:val="1"/>
          <w:i w:val="1"/>
          <w:iCs w:val="1"/>
          <w:color w:val="auto"/>
        </w:rPr>
        <w:t>Competing Business</w:t>
      </w:r>
      <w:r>
        <w:rPr>
          <w:rFonts w:ascii="Arial" w:cs="Arial" w:eastAsia="Arial" w:hAnsi="Arial"/>
          <w:sz w:val="19"/>
          <w:szCs w:val="19"/>
          <w:color w:val="auto"/>
        </w:rPr>
        <w:t>” shall be defined as the business of investment advisory services to individual and/or institutional investors, retirement plan services, discount brokerage, trust services, and any other business that is competitive with the business activities of the Company;</w:t>
      </w:r>
    </w:p>
    <w:p>
      <w:pPr>
        <w:spacing w:after="0" w:line="192" w:lineRule="exact"/>
        <w:rPr>
          <w:rFonts w:ascii="Arial" w:cs="Arial" w:eastAsia="Arial" w:hAnsi="Arial"/>
          <w:sz w:val="19"/>
          <w:szCs w:val="19"/>
          <w:color w:val="auto"/>
        </w:rPr>
      </w:pPr>
    </w:p>
    <w:p>
      <w:pPr>
        <w:ind w:left="640" w:right="20" w:firstLine="1260"/>
        <w:spacing w:after="0" w:line="270" w:lineRule="auto"/>
        <w:tabs>
          <w:tab w:leader="none" w:pos="2286" w:val="left"/>
        </w:tabs>
        <w:numPr>
          <w:ilvl w:val="1"/>
          <w:numId w:val="59"/>
        </w:numPr>
        <w:rPr>
          <w:rFonts w:ascii="Arial" w:cs="Arial" w:eastAsia="Arial" w:hAnsi="Arial"/>
          <w:sz w:val="18"/>
          <w:szCs w:val="18"/>
          <w:color w:val="auto"/>
        </w:rPr>
      </w:pPr>
      <w:r>
        <w:rPr>
          <w:rFonts w:ascii="Arial" w:cs="Arial" w:eastAsia="Arial" w:hAnsi="Arial"/>
          <w:sz w:val="18"/>
          <w:szCs w:val="18"/>
          <w:color w:val="auto"/>
        </w:rPr>
        <w:t>soliciting, encouraging, or inducing any customers or clients of the Company who were current or prospective customers or clients as of the date on which your Termination of Service occurred, to terminate or reduce his, her or its relationship with the Company or not to proceed with, or enter into, any business relationship with the Company, or otherwise interfering with any such business relationship with the Company, including by encouraging or suggesting any investment management client of the Company (A) to withdraw any funds for which the Company provides investment management or advisory services, or (B) not to engage the Company to provide investment management or advisory services for any funds;</w:t>
      </w:r>
    </w:p>
    <w:p>
      <w:pPr>
        <w:spacing w:after="0" w:line="196" w:lineRule="exact"/>
        <w:rPr>
          <w:rFonts w:ascii="Arial" w:cs="Arial" w:eastAsia="Arial" w:hAnsi="Arial"/>
          <w:sz w:val="18"/>
          <w:szCs w:val="18"/>
          <w:color w:val="auto"/>
        </w:rPr>
      </w:pPr>
    </w:p>
    <w:p>
      <w:pPr>
        <w:ind w:left="640" w:right="260" w:firstLine="1260"/>
        <w:spacing w:after="0" w:line="255" w:lineRule="auto"/>
        <w:tabs>
          <w:tab w:leader="none" w:pos="2328" w:val="left"/>
        </w:tabs>
        <w:numPr>
          <w:ilvl w:val="1"/>
          <w:numId w:val="59"/>
        </w:numPr>
        <w:rPr>
          <w:rFonts w:ascii="Arial" w:cs="Arial" w:eastAsia="Arial" w:hAnsi="Arial"/>
          <w:sz w:val="19"/>
          <w:szCs w:val="19"/>
          <w:color w:val="auto"/>
        </w:rPr>
      </w:pPr>
      <w:r>
        <w:rPr>
          <w:rFonts w:ascii="Arial" w:cs="Arial" w:eastAsia="Arial" w:hAnsi="Arial"/>
          <w:sz w:val="19"/>
          <w:szCs w:val="19"/>
          <w:color w:val="auto"/>
        </w:rPr>
        <w:t>(A) soliciting, encouraging, or inducing any officer, director, employee, agent, partner, consultant or independent contractor of the Company to terminate, modify or reduce his or her relationship with the Company, (B) hiring, employing, supervising, managing or engaging any such individual, or (C) otherwise attempting to disrupt or interfere with the Company’s relationship with any such individual;</w:t>
      </w:r>
    </w:p>
    <w:p>
      <w:pPr>
        <w:spacing w:after="0" w:line="156" w:lineRule="exact"/>
        <w:rPr>
          <w:rFonts w:ascii="Arial" w:cs="Arial" w:eastAsia="Arial" w:hAnsi="Arial"/>
          <w:sz w:val="19"/>
          <w:szCs w:val="19"/>
          <w:color w:val="auto"/>
        </w:rPr>
      </w:pPr>
    </w:p>
    <w:p>
      <w:pPr>
        <w:ind w:left="640" w:right="100" w:firstLine="1260"/>
        <w:spacing w:after="0" w:line="258" w:lineRule="auto"/>
        <w:tabs>
          <w:tab w:leader="none" w:pos="2338" w:val="left"/>
        </w:tabs>
        <w:numPr>
          <w:ilvl w:val="1"/>
          <w:numId w:val="59"/>
        </w:numPr>
        <w:rPr>
          <w:rFonts w:ascii="Arial" w:cs="Arial" w:eastAsia="Arial" w:hAnsi="Arial"/>
          <w:sz w:val="19"/>
          <w:szCs w:val="19"/>
          <w:color w:val="auto"/>
        </w:rPr>
      </w:pPr>
      <w:r>
        <w:rPr>
          <w:rFonts w:ascii="Arial" w:cs="Arial" w:eastAsia="Arial" w:hAnsi="Arial"/>
          <w:sz w:val="19"/>
          <w:szCs w:val="19"/>
          <w:color w:val="auto"/>
        </w:rPr>
        <w:t>using, reproducing, or disclosing any Confidential Information of the Company.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shall be defined as client and customer lists, information with respect to the name, address, contact persons or requirements of any customer or client, other information relating to clients and prospective clients from whom the Company has solicited business or plans to solicit business, information relating to business plans and business that is conducted or anticipated to be conducted, research, technology, computer software, processes, products, pricing, costs, business methods, business objectives or strategies, marketing plans and finances;</w:t>
      </w:r>
    </w:p>
    <w:p>
      <w:pPr>
        <w:spacing w:after="0" w:line="186" w:lineRule="exact"/>
        <w:rPr>
          <w:rFonts w:ascii="Arial" w:cs="Arial" w:eastAsia="Arial" w:hAnsi="Arial"/>
          <w:sz w:val="19"/>
          <w:szCs w:val="19"/>
          <w:color w:val="auto"/>
        </w:rPr>
      </w:pPr>
    </w:p>
    <w:p>
      <w:pPr>
        <w:ind w:left="640" w:right="120" w:firstLine="1260"/>
        <w:spacing w:after="0" w:line="263" w:lineRule="auto"/>
        <w:tabs>
          <w:tab w:leader="none" w:pos="2296" w:val="left"/>
        </w:tabs>
        <w:numPr>
          <w:ilvl w:val="1"/>
          <w:numId w:val="59"/>
        </w:numPr>
        <w:rPr>
          <w:rFonts w:ascii="Arial" w:cs="Arial" w:eastAsia="Arial" w:hAnsi="Arial"/>
          <w:sz w:val="19"/>
          <w:szCs w:val="19"/>
          <w:color w:val="auto"/>
        </w:rPr>
      </w:pPr>
      <w:r>
        <w:rPr>
          <w:rFonts w:ascii="Arial" w:cs="Arial" w:eastAsia="Arial" w:hAnsi="Arial"/>
          <w:sz w:val="19"/>
          <w:szCs w:val="19"/>
          <w:color w:val="auto"/>
        </w:rPr>
        <w:t xml:space="preserve">pleading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(or a similar plea) to, or being convicted of, (A) a felony (or its equivalent in a non-United States jurisdiction) or</w:t>
      </w:r>
    </w:p>
    <w:p>
      <w:pPr>
        <w:ind w:left="640" w:right="100" w:firstLine="4"/>
        <w:spacing w:after="0" w:line="256" w:lineRule="auto"/>
        <w:tabs>
          <w:tab w:leader="none" w:pos="945" w:val="left"/>
        </w:tabs>
        <w:numPr>
          <w:ilvl w:val="0"/>
          <w:numId w:val="60"/>
        </w:numPr>
        <w:rPr>
          <w:rFonts w:ascii="Arial" w:cs="Arial" w:eastAsia="Arial" w:hAnsi="Arial"/>
          <w:sz w:val="19"/>
          <w:szCs w:val="19"/>
          <w:color w:val="auto"/>
        </w:rPr>
      </w:pPr>
      <w:r>
        <w:rPr>
          <w:rFonts w:ascii="Arial" w:cs="Arial" w:eastAsia="Arial" w:hAnsi="Arial"/>
          <w:sz w:val="19"/>
          <w:szCs w:val="19"/>
          <w:color w:val="auto"/>
        </w:rPr>
        <w:t>other conduct of a criminal nature that has or is likely to have a material adverse effect on the reputation or standing in the community of the Company, as determined by the Committee in its sole discretion, or that legally prohibits you from working for the Company;</w:t>
      </w:r>
    </w:p>
    <w:p>
      <w:pPr>
        <w:spacing w:after="0" w:line="178" w:lineRule="exact"/>
        <w:rPr>
          <w:rFonts w:ascii="Arial" w:cs="Arial" w:eastAsia="Arial" w:hAnsi="Arial"/>
          <w:sz w:val="19"/>
          <w:szCs w:val="19"/>
          <w:color w:val="auto"/>
        </w:rPr>
      </w:pPr>
    </w:p>
    <w:p>
      <w:pPr>
        <w:ind w:left="640" w:right="20" w:firstLine="1260"/>
        <w:spacing w:after="0" w:line="261" w:lineRule="auto"/>
        <w:tabs>
          <w:tab w:leader="none" w:pos="2433" w:val="left"/>
        </w:tabs>
        <w:numPr>
          <w:ilvl w:val="1"/>
          <w:numId w:val="60"/>
        </w:numPr>
        <w:rPr>
          <w:rFonts w:ascii="Arial" w:cs="Arial" w:eastAsia="Arial" w:hAnsi="Arial"/>
          <w:sz w:val="19"/>
          <w:szCs w:val="19"/>
          <w:color w:val="auto"/>
        </w:rPr>
      </w:pPr>
      <w:r>
        <w:rPr>
          <w:rFonts w:ascii="Arial" w:cs="Arial" w:eastAsia="Arial" w:hAnsi="Arial"/>
          <w:sz w:val="19"/>
          <w:szCs w:val="19"/>
          <w:color w:val="auto"/>
        </w:rPr>
        <w:t>breaching a regulatory rule that adversely affects your ability to perform your employment duties to the Company in any material respect; and</w:t>
      </w:r>
    </w:p>
    <w:p>
      <w:pPr>
        <w:spacing w:after="0" w:line="200" w:lineRule="exact"/>
        <w:rPr>
          <w:rFonts w:ascii="Arial" w:cs="Arial" w:eastAsia="Arial" w:hAnsi="Arial"/>
          <w:sz w:val="19"/>
          <w:szCs w:val="19"/>
          <w:color w:val="auto"/>
        </w:rPr>
      </w:pPr>
    </w:p>
    <w:p>
      <w:pPr>
        <w:jc w:val="both"/>
        <w:ind w:left="640" w:firstLine="1260"/>
        <w:spacing w:after="0" w:line="256" w:lineRule="auto"/>
        <w:tabs>
          <w:tab w:leader="none" w:pos="2475" w:val="left"/>
        </w:tabs>
        <w:numPr>
          <w:ilvl w:val="1"/>
          <w:numId w:val="60"/>
        </w:numPr>
        <w:rPr>
          <w:rFonts w:ascii="Arial" w:cs="Arial" w:eastAsia="Arial" w:hAnsi="Arial"/>
          <w:sz w:val="19"/>
          <w:szCs w:val="19"/>
          <w:color w:val="auto"/>
        </w:rPr>
      </w:pPr>
      <w:r>
        <w:rPr>
          <w:rFonts w:ascii="Arial" w:cs="Arial" w:eastAsia="Arial" w:hAnsi="Arial"/>
          <w:sz w:val="19"/>
          <w:szCs w:val="19"/>
          <w:color w:val="auto"/>
        </w:rPr>
        <w:t>failing, in any material respect, to (A) perform your employment duties, (B) comply with the applicable policies of the Company, (C) follow reasonable directions received from the Company or (D) comply with covenants contained in any contract with the Company to which you are a party.</w:t>
      </w:r>
    </w:p>
    <w:p>
      <w:pPr>
        <w:spacing w:after="0" w:line="200" w:lineRule="exact"/>
        <w:rPr>
          <w:sz w:val="20"/>
          <w:szCs w:val="20"/>
          <w:color w:val="auto"/>
        </w:rPr>
      </w:pPr>
    </w:p>
    <w:p>
      <w:pPr>
        <w:spacing w:after="0" w:line="36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320" w:top="1076" w:right="239" w:bottom="1440" w:gutter="0" w:footer="0" w:header="0"/>
        </w:sectPr>
      </w:pPr>
    </w:p>
    <w:bookmarkStart w:id="79" w:name="page80"/>
    <w:bookmarkEnd w:id="79"/>
    <w:p>
      <w:pPr>
        <w:ind w:right="40" w:firstLine="1265"/>
        <w:spacing w:after="0" w:line="255" w:lineRule="auto"/>
        <w:tabs>
          <w:tab w:leader="none" w:pos="1656" w:val="left"/>
        </w:tabs>
        <w:numPr>
          <w:ilvl w:val="1"/>
          <w:numId w:val="61"/>
        </w:numPr>
        <w:rPr>
          <w:rFonts w:ascii="Arial" w:cs="Arial" w:eastAsia="Arial" w:hAnsi="Arial"/>
          <w:sz w:val="19"/>
          <w:szCs w:val="19"/>
          <w:color w:val="auto"/>
        </w:rPr>
      </w:pPr>
      <w:r>
        <w:rPr>
          <w:rFonts w:ascii="Arial" w:cs="Arial" w:eastAsia="Arial" w:hAnsi="Arial"/>
          <w:sz w:val="19"/>
          <w:szCs w:val="19"/>
          <w:u w:val="single" w:color="auto"/>
          <w:color w:val="auto"/>
        </w:rPr>
        <w:t>Blue Pencil</w:t>
      </w:r>
      <w:r>
        <w:rPr>
          <w:rFonts w:ascii="Arial" w:cs="Arial" w:eastAsia="Arial" w:hAnsi="Arial"/>
          <w:sz w:val="19"/>
          <w:szCs w:val="19"/>
          <w:color w:val="auto"/>
        </w:rPr>
        <w:t>. If any of the provisions or terms of this Section 8 is construed by a court of competent jurisdiction to be invalid or unenforceable, it shall not affect the remainder of this Agreement, which shall be given full force and effect without regard to the invalid provision. Any invalid or unenforceable provision shall be reformed to the maximum time, geographic and/or customer limitations permitted by the applicable laws, so as to be valid and enforceable.</w:t>
      </w:r>
    </w:p>
    <w:p>
      <w:pPr>
        <w:spacing w:after="0" w:line="205" w:lineRule="exact"/>
        <w:rPr>
          <w:rFonts w:ascii="Arial" w:cs="Arial" w:eastAsia="Arial" w:hAnsi="Arial"/>
          <w:sz w:val="19"/>
          <w:szCs w:val="19"/>
          <w:color w:val="auto"/>
        </w:rPr>
      </w:pPr>
    </w:p>
    <w:p>
      <w:pPr>
        <w:ind w:right="120" w:firstLine="1265"/>
        <w:spacing w:after="0" w:line="255" w:lineRule="auto"/>
        <w:tabs>
          <w:tab w:leader="none" w:pos="1667" w:val="left"/>
        </w:tabs>
        <w:numPr>
          <w:ilvl w:val="1"/>
          <w:numId w:val="61"/>
        </w:numPr>
        <w:rPr>
          <w:rFonts w:ascii="Arial" w:cs="Arial" w:eastAsia="Arial" w:hAnsi="Arial"/>
          <w:sz w:val="19"/>
          <w:szCs w:val="19"/>
          <w:color w:val="auto"/>
        </w:rPr>
      </w:pPr>
      <w:r>
        <w:rPr>
          <w:rFonts w:ascii="Arial" w:cs="Arial" w:eastAsia="Arial" w:hAnsi="Arial"/>
          <w:sz w:val="19"/>
          <w:szCs w:val="19"/>
          <w:u w:val="single" w:color="auto"/>
          <w:color w:val="auto"/>
        </w:rPr>
        <w:t>Notification To Company</w:t>
      </w:r>
      <w:r>
        <w:rPr>
          <w:rFonts w:ascii="Arial" w:cs="Arial" w:eastAsia="Arial" w:hAnsi="Arial"/>
          <w:sz w:val="19"/>
          <w:szCs w:val="19"/>
          <w:color w:val="auto"/>
        </w:rPr>
        <w:t>. For as long as you have outstanding unvested Stock Units, you covenant and agree that you will disclose to the Company the identity of any new employer within two business days of being employed or engaged by such new employer, and upon request of the Committee in advance of the settlement of any Stock Unit you will provide to the Company information sufficient to confirm that you have not engaged in any Prohibited Actions.</w:t>
      </w:r>
    </w:p>
    <w:p>
      <w:pPr>
        <w:spacing w:after="0" w:line="219" w:lineRule="exact"/>
        <w:rPr>
          <w:rFonts w:ascii="Arial" w:cs="Arial" w:eastAsia="Arial" w:hAnsi="Arial"/>
          <w:sz w:val="19"/>
          <w:szCs w:val="19"/>
          <w:color w:val="auto"/>
        </w:rPr>
      </w:pPr>
    </w:p>
    <w:p>
      <w:pPr>
        <w:ind w:left="1400" w:hanging="770"/>
        <w:spacing w:after="0"/>
        <w:tabs>
          <w:tab w:leader="none" w:pos="140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Adjustments for Corporate Transactions and Other Events</w:t>
      </w:r>
      <w:r>
        <w:rPr>
          <w:rFonts w:ascii="Arial" w:cs="Arial" w:eastAsia="Arial" w:hAnsi="Arial"/>
          <w:sz w:val="19"/>
          <w:szCs w:val="19"/>
          <w:color w:val="auto"/>
        </w:rPr>
        <w:t>.</w:t>
      </w:r>
    </w:p>
    <w:p>
      <w:pPr>
        <w:spacing w:after="0" w:line="240" w:lineRule="exact"/>
        <w:rPr>
          <w:rFonts w:ascii="Arial" w:cs="Arial" w:eastAsia="Arial" w:hAnsi="Arial"/>
          <w:sz w:val="19"/>
          <w:szCs w:val="19"/>
          <w:color w:val="auto"/>
        </w:rPr>
      </w:pPr>
    </w:p>
    <w:p>
      <w:pPr>
        <w:ind w:right="180" w:firstLine="1265"/>
        <w:spacing w:after="0" w:line="254" w:lineRule="auto"/>
        <w:tabs>
          <w:tab w:leader="none" w:pos="1667" w:val="left"/>
        </w:tabs>
        <w:numPr>
          <w:ilvl w:val="1"/>
          <w:numId w:val="62"/>
        </w:numPr>
        <w:rPr>
          <w:rFonts w:ascii="Arial" w:cs="Arial" w:eastAsia="Arial" w:hAnsi="Arial"/>
          <w:sz w:val="19"/>
          <w:szCs w:val="19"/>
          <w:color w:val="auto"/>
        </w:rPr>
      </w:pPr>
      <w:r>
        <w:rPr>
          <w:rFonts w:ascii="Arial" w:cs="Arial" w:eastAsia="Arial" w:hAnsi="Arial"/>
          <w:sz w:val="19"/>
          <w:szCs w:val="19"/>
          <w:u w:val="single" w:color="auto"/>
          <w:color w:val="auto"/>
        </w:rPr>
        <w:t>Stock Dividend, Stock Split and Reverse Stock Split</w:t>
      </w:r>
      <w:r>
        <w:rPr>
          <w:rFonts w:ascii="Arial" w:cs="Arial" w:eastAsia="Arial" w:hAnsi="Arial"/>
          <w:sz w:val="19"/>
          <w:szCs w:val="19"/>
          <w:color w:val="auto"/>
        </w:rPr>
        <w:t xml:space="preserve">. Upon a stock dividend of, or stock split or reverse stock split affecting, the Common Stock, the number of outstanding Stock Units and the number of Stock Units eligible to vest on each subsequent vesting date under the vesting schedule set forth on the Notice shall, without further action of the Committee, be adjusted to reflect such event;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fractional Stock Units resulting from any such adjustment shall be eliminated. Adjustments under this paragraph will be made by the Committee, whose determination regarding such adjustments will be final, binding and conclusive.</w:t>
      </w:r>
    </w:p>
    <w:p>
      <w:pPr>
        <w:spacing w:after="0" w:line="206" w:lineRule="exact"/>
        <w:rPr>
          <w:rFonts w:ascii="Arial" w:cs="Arial" w:eastAsia="Arial" w:hAnsi="Arial"/>
          <w:sz w:val="19"/>
          <w:szCs w:val="19"/>
          <w:color w:val="auto"/>
        </w:rPr>
      </w:pPr>
    </w:p>
    <w:p>
      <w:pPr>
        <w:ind w:firstLine="1265"/>
        <w:spacing w:after="0" w:line="253" w:lineRule="auto"/>
        <w:tabs>
          <w:tab w:leader="none" w:pos="1667" w:val="left"/>
        </w:tabs>
        <w:numPr>
          <w:ilvl w:val="1"/>
          <w:numId w:val="62"/>
        </w:numPr>
        <w:rPr>
          <w:rFonts w:ascii="Arial" w:cs="Arial" w:eastAsia="Arial" w:hAnsi="Arial"/>
          <w:sz w:val="19"/>
          <w:szCs w:val="19"/>
          <w:color w:val="auto"/>
        </w:rPr>
      </w:pPr>
      <w:r>
        <w:rPr>
          <w:rFonts w:ascii="Arial" w:cs="Arial" w:eastAsia="Arial" w:hAnsi="Arial"/>
          <w:sz w:val="19"/>
          <w:szCs w:val="19"/>
          <w:u w:val="single" w:color="auto"/>
          <w:color w:val="auto"/>
        </w:rPr>
        <w:t>Discretionary Adjustments</w:t>
      </w:r>
      <w:r>
        <w:rPr>
          <w:rFonts w:ascii="Arial" w:cs="Arial" w:eastAsia="Arial" w:hAnsi="Arial"/>
          <w:sz w:val="19"/>
          <w:szCs w:val="19"/>
          <w:color w:val="auto"/>
        </w:rPr>
        <w:t xml:space="preserve">. In the case of a merger, consolidation, stock rights offering, liquidation, statutory share exchange or similar event affecting Price Group, the Committee may make such other adjustments to outstanding Stock Units as it determines to be appropriate and desirable, which adjustments may include, without limitation, (i) the cancellation of outstanding Stock Units in exchange for payments of cash, securities or other property or a combination thereof having an aggregate value equal to the value of such Stock Units, as determined by the Committee in its sole discretion, (ii) the substitution of securities or other property (including, without limitation, cash or other securities of Price Group and securities of entities other than Price Group) for the shares of Common Stock subject to outstanding Stock Units, and (iii) the substitution of equivalent awards, as determined in the sole discretion of the Committee, of the surviving or successor entity or a parent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all adjustments shall be made in compliance with the requirements of Section 409A of the Code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Committee shall not have the authority to make adjustments pursuant to this paragraph to the extent that the existence of such authority would cause the Stock Units to fail to comply with Section 409A of the Code.</w:t>
      </w:r>
    </w:p>
    <w:p>
      <w:pPr>
        <w:spacing w:after="0" w:line="208" w:lineRule="exact"/>
        <w:rPr>
          <w:rFonts w:ascii="Arial" w:cs="Arial" w:eastAsia="Arial" w:hAnsi="Arial"/>
          <w:sz w:val="19"/>
          <w:szCs w:val="19"/>
          <w:color w:val="auto"/>
        </w:rPr>
      </w:pPr>
    </w:p>
    <w:p>
      <w:pPr>
        <w:ind w:right="140" w:firstLine="1265"/>
        <w:spacing w:after="0" w:line="261" w:lineRule="auto"/>
        <w:tabs>
          <w:tab w:leader="none" w:pos="1656" w:val="left"/>
        </w:tabs>
        <w:numPr>
          <w:ilvl w:val="1"/>
          <w:numId w:val="62"/>
        </w:numPr>
        <w:rPr>
          <w:rFonts w:ascii="Arial" w:cs="Arial" w:eastAsia="Arial" w:hAnsi="Arial"/>
          <w:sz w:val="19"/>
          <w:szCs w:val="19"/>
          <w:color w:val="auto"/>
        </w:rPr>
      </w:pPr>
      <w:r>
        <w:rPr>
          <w:rFonts w:ascii="Arial" w:cs="Arial" w:eastAsia="Arial" w:hAnsi="Arial"/>
          <w:sz w:val="19"/>
          <w:szCs w:val="19"/>
          <w:u w:val="single" w:color="auto"/>
          <w:color w:val="auto"/>
        </w:rPr>
        <w:t>Dissolution or Liquidation</w:t>
      </w:r>
      <w:r>
        <w:rPr>
          <w:rFonts w:ascii="Arial" w:cs="Arial" w:eastAsia="Arial" w:hAnsi="Arial"/>
          <w:sz w:val="19"/>
          <w:szCs w:val="19"/>
          <w:color w:val="auto"/>
        </w:rPr>
        <w:t>. Unless the Committee determines otherwise, all of the Stock Units shall terminate upon the dissolution or liquidation of Price Group.</w:t>
      </w:r>
    </w:p>
    <w:p>
      <w:pPr>
        <w:spacing w:after="0" w:line="186" w:lineRule="exact"/>
        <w:rPr>
          <w:rFonts w:ascii="Arial" w:cs="Arial" w:eastAsia="Arial" w:hAnsi="Arial"/>
          <w:sz w:val="19"/>
          <w:szCs w:val="19"/>
          <w:color w:val="auto"/>
        </w:rPr>
      </w:pPr>
    </w:p>
    <w:p>
      <w:pPr>
        <w:ind w:right="140" w:firstLine="1265"/>
        <w:spacing w:after="0" w:line="254" w:lineRule="auto"/>
        <w:tabs>
          <w:tab w:leader="none" w:pos="1667" w:val="left"/>
        </w:tabs>
        <w:numPr>
          <w:ilvl w:val="1"/>
          <w:numId w:val="62"/>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Notwithstanding anything in this Agreement or the Plan to the contrary, in the event that a Change in Control occurs, outstanding Stock Units will terminate upon the effective time of such Change in Control unless provision is made in connection with the transaction for the continuation or assumption of such Stock Units by, or for the substitution of equivalent units, as determined in the sole discretion of the Committee, of, the surviving or successor entity or a parent thereof. In the event of such termination, (i) the</w:t>
      </w:r>
    </w:p>
    <w:p>
      <w:pPr>
        <w:spacing w:after="0" w:line="200" w:lineRule="exact"/>
        <w:rPr>
          <w:sz w:val="20"/>
          <w:szCs w:val="20"/>
          <w:color w:val="auto"/>
        </w:rPr>
      </w:pP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320" w:top="1076" w:right="259" w:bottom="1440" w:gutter="0" w:footer="0" w:header="0"/>
        </w:sectPr>
      </w:pPr>
    </w:p>
    <w:bookmarkStart w:id="80" w:name="page81"/>
    <w:bookmarkEnd w:id="80"/>
    <w:p>
      <w:pPr>
        <w:ind w:right="140"/>
        <w:spacing w:after="0" w:line="237" w:lineRule="auto"/>
        <w:rPr>
          <w:sz w:val="20"/>
          <w:szCs w:val="20"/>
          <w:color w:val="auto"/>
        </w:rPr>
      </w:pPr>
      <w:r>
        <w:rPr>
          <w:rFonts w:ascii="Arial" w:cs="Arial" w:eastAsia="Arial" w:hAnsi="Arial"/>
          <w:sz w:val="19"/>
          <w:szCs w:val="19"/>
          <w:color w:val="auto"/>
        </w:rPr>
        <w:t>outstanding Stock Units that will terminate upon the effective time of the Change in Control shall, immediately before the effective time of the Change in Control, become fully vested, and</w:t>
      </w:r>
    </w:p>
    <w:p>
      <w:pPr>
        <w:spacing w:after="0" w:line="1" w:lineRule="exact"/>
        <w:rPr>
          <w:sz w:val="20"/>
          <w:szCs w:val="20"/>
          <w:color w:val="auto"/>
        </w:rPr>
      </w:pPr>
    </w:p>
    <w:p>
      <w:pPr>
        <w:ind w:right="240" w:firstLine="9"/>
        <w:spacing w:after="0" w:line="261" w:lineRule="auto"/>
        <w:tabs>
          <w:tab w:leader="none" w:pos="263"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Committee may take any of the actions set forth in Section 9(b) with respect to any or all of the Stock Units. Implementation of the provisions of the immediately foregoing sentence shall be conditioned upon consummation of the Change in Control.</w:t>
      </w:r>
    </w:p>
    <w:p>
      <w:pPr>
        <w:spacing w:after="0" w:line="213" w:lineRule="exact"/>
        <w:rPr>
          <w:rFonts w:ascii="Arial" w:cs="Arial" w:eastAsia="Arial" w:hAnsi="Arial"/>
          <w:sz w:val="19"/>
          <w:szCs w:val="19"/>
          <w:color w:val="auto"/>
        </w:rPr>
      </w:pPr>
    </w:p>
    <w:p>
      <w:pPr>
        <w:ind w:right="80" w:firstLine="630"/>
        <w:spacing w:after="0" w:line="284" w:lineRule="auto"/>
        <w:tabs>
          <w:tab w:leader="none" w:pos="1505"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Non-Guarantee of Employment</w:t>
      </w:r>
      <w:r>
        <w:rPr>
          <w:rFonts w:ascii="Arial" w:cs="Arial" w:eastAsia="Arial" w:hAnsi="Arial"/>
          <w:sz w:val="19"/>
          <w:szCs w:val="19"/>
          <w:color w:val="auto"/>
        </w:rPr>
        <w:t>. Nothing in the Plan or this Agreement shall alter your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subject to applicable law, and whether or not such discharge results in the forfeiture of any Stock Units or any other adverse effect on your interests under the Plan.</w:t>
      </w:r>
    </w:p>
    <w:p>
      <w:pPr>
        <w:spacing w:after="0" w:line="206" w:lineRule="exact"/>
        <w:rPr>
          <w:rFonts w:ascii="Arial" w:cs="Arial" w:eastAsia="Arial" w:hAnsi="Arial"/>
          <w:sz w:val="19"/>
          <w:szCs w:val="19"/>
          <w:color w:val="auto"/>
        </w:rPr>
      </w:pPr>
    </w:p>
    <w:p>
      <w:pPr>
        <w:jc w:val="both"/>
        <w:ind w:right="20" w:firstLine="630"/>
        <w:spacing w:after="0" w:line="309" w:lineRule="auto"/>
        <w:tabs>
          <w:tab w:leader="none" w:pos="1505"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Except as otherwise provided in this Agreement with respect to dividend equivalent payments, neither you nor any other person claiming through you shall have any rights with respect to any shares of Common Stock subject to the Stock Units, including without limitation, any voting rights, unless and until such shares are duly issued and delivered to you.</w:t>
      </w:r>
    </w:p>
    <w:p>
      <w:pPr>
        <w:spacing w:after="0" w:line="186" w:lineRule="exact"/>
        <w:rPr>
          <w:rFonts w:ascii="Arial" w:cs="Arial" w:eastAsia="Arial" w:hAnsi="Arial"/>
          <w:sz w:val="18"/>
          <w:szCs w:val="18"/>
          <w:color w:val="auto"/>
        </w:rPr>
      </w:pPr>
    </w:p>
    <w:p>
      <w:pPr>
        <w:ind w:right="20" w:firstLine="630"/>
        <w:spacing w:after="0" w:line="283" w:lineRule="auto"/>
        <w:tabs>
          <w:tab w:leader="none" w:pos="1505"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The Company’s Rights</w:t>
      </w:r>
      <w:r>
        <w:rPr>
          <w:rFonts w:ascii="Arial" w:cs="Arial" w:eastAsia="Arial" w:hAnsi="Arial"/>
          <w:sz w:val="19"/>
          <w:szCs w:val="19"/>
          <w:color w:val="auto"/>
        </w:rPr>
        <w:t>. The existence of the Stock Units will not affect in any way the right or power of the Price Group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209" w:lineRule="exact"/>
        <w:rPr>
          <w:rFonts w:ascii="Arial" w:cs="Arial" w:eastAsia="Arial" w:hAnsi="Arial"/>
          <w:sz w:val="19"/>
          <w:szCs w:val="19"/>
          <w:color w:val="auto"/>
        </w:rPr>
      </w:pPr>
    </w:p>
    <w:p>
      <w:pPr>
        <w:ind w:right="80" w:firstLine="630"/>
        <w:spacing w:after="0" w:line="284" w:lineRule="auto"/>
        <w:tabs>
          <w:tab w:leader="none" w:pos="1505"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192" w:lineRule="exact"/>
        <w:rPr>
          <w:rFonts w:ascii="Arial" w:cs="Arial" w:eastAsia="Arial" w:hAnsi="Arial"/>
          <w:sz w:val="19"/>
          <w:szCs w:val="19"/>
          <w:color w:val="auto"/>
        </w:rPr>
      </w:pPr>
    </w:p>
    <w:p>
      <w:pPr>
        <w:ind w:left="1280" w:hanging="636"/>
        <w:spacing w:after="0"/>
        <w:tabs>
          <w:tab w:leader="none" w:pos="1280" w:val="left"/>
        </w:tabs>
        <w:numPr>
          <w:ilvl w:val="2"/>
          <w:numId w:val="63"/>
        </w:numPr>
        <w:rPr>
          <w:rFonts w:ascii="Arial" w:cs="Arial" w:eastAsia="Arial" w:hAnsi="Arial"/>
          <w:sz w:val="19"/>
          <w:szCs w:val="19"/>
          <w:color w:val="auto"/>
        </w:rPr>
      </w:pPr>
      <w:r>
        <w:rPr>
          <w:rFonts w:ascii="Arial" w:cs="Arial" w:eastAsia="Arial" w:hAnsi="Arial"/>
          <w:sz w:val="19"/>
          <w:szCs w:val="19"/>
          <w:u w:val="single" w:color="auto"/>
          <w:color w:val="auto"/>
        </w:rPr>
        <w:t>Electronic Delivery of Documents</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ind w:right="120" w:firstLine="1265"/>
        <w:spacing w:after="0" w:line="254" w:lineRule="auto"/>
        <w:tabs>
          <w:tab w:leader="none" w:pos="1667" w:val="left"/>
        </w:tabs>
        <w:numPr>
          <w:ilvl w:val="3"/>
          <w:numId w:val="63"/>
        </w:numPr>
        <w:rPr>
          <w:rFonts w:ascii="Arial" w:cs="Arial" w:eastAsia="Arial" w:hAnsi="Arial"/>
          <w:sz w:val="19"/>
          <w:szCs w:val="19"/>
          <w:color w:val="auto"/>
        </w:rPr>
      </w:pPr>
      <w:r>
        <w:rPr>
          <w:rFonts w:ascii="Arial" w:cs="Arial" w:eastAsia="Arial" w:hAnsi="Arial"/>
          <w:sz w:val="19"/>
          <w:szCs w:val="19"/>
          <w:u w:val="single" w:color="auto"/>
          <w:color w:val="auto"/>
        </w:rPr>
        <w:t>Methods of Delivery</w:t>
      </w:r>
      <w:r>
        <w:rPr>
          <w:rFonts w:ascii="Arial" w:cs="Arial" w:eastAsia="Arial" w:hAnsi="Arial"/>
          <w:sz w:val="19"/>
          <w:szCs w:val="19"/>
          <w:color w:val="auto"/>
        </w:rPr>
        <w:t>. The Company may from time to time electronically deliver, via e-mail or posting on the Company’s website, these Terms, information with respect to the Plan or the Stock Units,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pacing w:after="0" w:line="207" w:lineRule="exact"/>
        <w:rPr>
          <w:rFonts w:ascii="Arial" w:cs="Arial" w:eastAsia="Arial" w:hAnsi="Arial"/>
          <w:sz w:val="19"/>
          <w:szCs w:val="19"/>
          <w:color w:val="auto"/>
        </w:rPr>
      </w:pPr>
    </w:p>
    <w:p>
      <w:pPr>
        <w:jc w:val="both"/>
        <w:ind w:firstLine="1265"/>
        <w:spacing w:after="0" w:line="256" w:lineRule="auto"/>
        <w:tabs>
          <w:tab w:leader="none" w:pos="1762" w:val="left"/>
        </w:tabs>
        <w:numPr>
          <w:ilvl w:val="3"/>
          <w:numId w:val="63"/>
        </w:numPr>
        <w:rPr>
          <w:rFonts w:ascii="Arial" w:cs="Arial" w:eastAsia="Arial" w:hAnsi="Arial"/>
          <w:sz w:val="19"/>
          <w:szCs w:val="19"/>
          <w:color w:val="auto"/>
        </w:rPr>
      </w:pPr>
      <w:r>
        <w:rPr>
          <w:rFonts w:ascii="Arial" w:cs="Arial" w:eastAsia="Arial" w:hAnsi="Arial"/>
          <w:sz w:val="19"/>
          <w:szCs w:val="19"/>
          <w:u w:val="single" w:color="auto"/>
          <w:color w:val="auto"/>
        </w:rPr>
        <w:t>Consent and Acknowledgment</w:t>
      </w:r>
      <w:r>
        <w:rPr>
          <w:rFonts w:ascii="Arial" w:cs="Arial" w:eastAsia="Arial" w:hAnsi="Arial"/>
          <w:sz w:val="19"/>
          <w:szCs w:val="19"/>
          <w:color w:val="auto"/>
        </w:rPr>
        <w:t>. By your accepting the Notice correlating to these Terms, you (i) consent to the electronic delivery of this Agreement, all information with respect to the Plan and the Stock Units and any reports of the Company provided generally to</w:t>
      </w:r>
    </w:p>
    <w:p>
      <w:pPr>
        <w:spacing w:after="0" w:line="200" w:lineRule="exact"/>
        <w:rPr>
          <w:sz w:val="20"/>
          <w:szCs w:val="20"/>
          <w:color w:val="auto"/>
        </w:rPr>
      </w:pPr>
    </w:p>
    <w:p>
      <w:pPr>
        <w:spacing w:after="0" w:line="36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320" w:top="1076" w:right="239" w:bottom="1440" w:gutter="0" w:footer="0" w:header="0"/>
        </w:sectPr>
      </w:pPr>
    </w:p>
    <w:bookmarkStart w:id="81" w:name="page82"/>
    <w:bookmarkEnd w:id="81"/>
    <w:p>
      <w:pPr>
        <w:spacing w:after="0" w:line="254" w:lineRule="auto"/>
        <w:rPr>
          <w:sz w:val="20"/>
          <w:szCs w:val="20"/>
          <w:color w:val="auto"/>
        </w:rPr>
      </w:pPr>
      <w:r>
        <w:rPr>
          <w:rFonts w:ascii="Arial" w:cs="Arial" w:eastAsia="Arial" w:hAnsi="Arial"/>
          <w:sz w:val="19"/>
          <w:szCs w:val="19"/>
          <w:color w:val="auto"/>
        </w:rPr>
        <w:t>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221" w:lineRule="exact"/>
        <w:rPr>
          <w:sz w:val="20"/>
          <w:szCs w:val="20"/>
          <w:color w:val="auto"/>
        </w:rPr>
      </w:pPr>
    </w:p>
    <w:p>
      <w:pPr>
        <w:ind w:left="1520" w:hanging="890"/>
        <w:spacing w:after="0"/>
        <w:tabs>
          <w:tab w:leader="none" w:pos="152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Recoupment</w:t>
      </w:r>
      <w:r>
        <w:rPr>
          <w:rFonts w:ascii="Arial" w:cs="Arial" w:eastAsia="Arial" w:hAnsi="Arial"/>
          <w:sz w:val="19"/>
          <w:szCs w:val="19"/>
          <w:color w:val="auto"/>
        </w:rPr>
        <w:t>. The terms and conditions of the Company’s Policy for Recoupment of Incentive Compensation,</w:t>
      </w:r>
    </w:p>
    <w:p>
      <w:pPr>
        <w:spacing w:after="0" w:line="38" w:lineRule="exact"/>
        <w:rPr>
          <w:rFonts w:ascii="Arial" w:cs="Arial" w:eastAsia="Arial" w:hAnsi="Arial"/>
          <w:sz w:val="19"/>
          <w:szCs w:val="19"/>
          <w:color w:val="auto"/>
        </w:rPr>
      </w:pPr>
    </w:p>
    <w:p>
      <w:pPr>
        <w:ind w:right="20"/>
        <w:spacing w:after="0" w:line="286" w:lineRule="auto"/>
        <w:rPr>
          <w:rFonts w:ascii="Arial" w:cs="Arial" w:eastAsia="Arial" w:hAnsi="Arial"/>
          <w:sz w:val="19"/>
          <w:szCs w:val="19"/>
          <w:color w:val="auto"/>
        </w:rPr>
      </w:pPr>
      <w:r>
        <w:rPr>
          <w:rFonts w:ascii="Arial" w:cs="Arial" w:eastAsia="Arial" w:hAnsi="Arial"/>
          <w:sz w:val="19"/>
          <w:szCs w:val="19"/>
          <w:color w:val="auto"/>
        </w:rPr>
        <w:t>adopted by the Board of Directors of the Company effective April 14, 2010, as amended from time to time or any successor thereto (the “</w:t>
      </w:r>
      <w:r>
        <w:rPr>
          <w:rFonts w:ascii="Arial" w:cs="Arial" w:eastAsia="Arial" w:hAnsi="Arial"/>
          <w:sz w:val="19"/>
          <w:szCs w:val="19"/>
          <w:b w:val="1"/>
          <w:bCs w:val="1"/>
          <w:i w:val="1"/>
          <w:iCs w:val="1"/>
          <w:color w:val="auto"/>
        </w:rPr>
        <w:t>Recoupment Policy</w:t>
      </w:r>
      <w:r>
        <w:rPr>
          <w:rFonts w:ascii="Arial" w:cs="Arial" w:eastAsia="Arial" w:hAnsi="Arial"/>
          <w:sz w:val="19"/>
          <w:szCs w:val="19"/>
          <w:color w:val="auto"/>
        </w:rPr>
        <w:t>”), are incorporated by reference into this Agreement and shall apply to your Stock Units if you on the Grant Date are or subsequently become an executive officer or other senior executive who is subject to the Recoupment Policy.</w:t>
      </w:r>
    </w:p>
    <w:p>
      <w:pPr>
        <w:spacing w:after="0" w:line="204" w:lineRule="exact"/>
        <w:rPr>
          <w:rFonts w:ascii="Arial" w:cs="Arial" w:eastAsia="Arial" w:hAnsi="Arial"/>
          <w:sz w:val="19"/>
          <w:szCs w:val="19"/>
          <w:color w:val="auto"/>
        </w:rPr>
      </w:pPr>
    </w:p>
    <w:p>
      <w:pPr>
        <w:jc w:val="both"/>
        <w:ind w:right="240" w:firstLine="630"/>
        <w:spacing w:after="0" w:line="285" w:lineRule="auto"/>
        <w:tabs>
          <w:tab w:leader="none" w:pos="1505"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together with the correlating Notice and the Plan, contain the entire agreement between you and the Company with respect to the Stock Units awarded hereunder. Any oral or written agreements, representations, warranties, written inducements, or other communications made prior to the acceptance of the Notice correlating to these Terms with respect to the Stock Units awarded hereunder shall be void and ineffective for all purposes.</w:t>
      </w:r>
    </w:p>
    <w:p>
      <w:pPr>
        <w:spacing w:after="0" w:line="204" w:lineRule="exact"/>
        <w:rPr>
          <w:rFonts w:ascii="Arial" w:cs="Arial" w:eastAsia="Arial" w:hAnsi="Arial"/>
          <w:sz w:val="19"/>
          <w:szCs w:val="19"/>
          <w:color w:val="auto"/>
        </w:rPr>
      </w:pPr>
    </w:p>
    <w:p>
      <w:pPr>
        <w:ind w:right="160" w:firstLine="630"/>
        <w:spacing w:after="0" w:line="283" w:lineRule="auto"/>
        <w:tabs>
          <w:tab w:leader="none" w:pos="1505"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Except as otherwise provided in the Plan, the Committee may unilaterally amend the terms of this Agreement, but no such amendment shall materially impair your rights with respect to your Stock Units without your consent, except such an amendment made to cause the Plan or the Agreement to comply with applicable law, applicable rule of any securities exchange on which the Common Stock is listed or admitted for trading, or to prevent adverse tax or accounting consequences for you or the Company or any of its Affiliates. The Company shall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that is consistent with the Plan and approved by the Committee.</w:t>
      </w:r>
    </w:p>
    <w:p>
      <w:pPr>
        <w:spacing w:after="0" w:line="207" w:lineRule="exact"/>
        <w:rPr>
          <w:rFonts w:ascii="Arial" w:cs="Arial" w:eastAsia="Arial" w:hAnsi="Arial"/>
          <w:sz w:val="19"/>
          <w:szCs w:val="19"/>
          <w:color w:val="auto"/>
        </w:rPr>
      </w:pPr>
    </w:p>
    <w:p>
      <w:pPr>
        <w:jc w:val="both"/>
        <w:ind w:right="100" w:firstLine="630"/>
        <w:spacing w:after="0" w:line="284" w:lineRule="auto"/>
        <w:tabs>
          <w:tab w:leader="none" w:pos="1505"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Conformity with Plan</w:t>
      </w:r>
      <w:r>
        <w:rPr>
          <w:rFonts w:ascii="Arial" w:cs="Arial" w:eastAsia="Arial" w:hAnsi="Arial"/>
          <w:sz w:val="19"/>
          <w:szCs w:val="19"/>
          <w:color w:val="auto"/>
        </w:rPr>
        <w:t xml:space="preserve">. These Terms are intended to conform with, and are subject to all applicable provisions of, the Plan. In the event of any ambiguity in these Terms or any matters as to which these Terms are silent, the Plan shall govern. A copy of the Plan is available at </w:t>
      </w:r>
      <w:r>
        <w:rPr>
          <w:rFonts w:ascii="Arial" w:cs="Arial" w:eastAsia="Arial" w:hAnsi="Arial"/>
          <w:sz w:val="19"/>
          <w:szCs w:val="19"/>
          <w:u w:val="single" w:color="auto"/>
          <w:color w:val="auto"/>
        </w:rPr>
        <w:t>https://home2.troweprice.com/tsso/tssoweb/SSOServlet</w:t>
      </w:r>
      <w:r>
        <w:rPr>
          <w:rFonts w:ascii="Arial" w:cs="Arial" w:eastAsia="Arial" w:hAnsi="Arial"/>
          <w:sz w:val="19"/>
          <w:szCs w:val="19"/>
          <w:color w:val="auto"/>
        </w:rPr>
        <w:t xml:space="preserve"> or in hard copy upon request to the Company’s Payroll and Stock Transaction Group in the CFO-Finance Department in the Baltimore, Maryland – Pratt Street office or by telephone, at 410-345-7716.</w:t>
      </w:r>
    </w:p>
    <w:p>
      <w:pPr>
        <w:spacing w:after="0" w:line="206" w:lineRule="exact"/>
        <w:rPr>
          <w:rFonts w:ascii="Arial" w:cs="Arial" w:eastAsia="Arial" w:hAnsi="Arial"/>
          <w:sz w:val="19"/>
          <w:szCs w:val="19"/>
          <w:color w:val="auto"/>
        </w:rPr>
      </w:pPr>
    </w:p>
    <w:p>
      <w:pPr>
        <w:ind w:right="60" w:firstLine="630"/>
        <w:spacing w:after="0" w:line="284" w:lineRule="auto"/>
        <w:tabs>
          <w:tab w:leader="none" w:pos="1505"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No Funding</w:t>
      </w:r>
      <w:r>
        <w:rPr>
          <w:rFonts w:ascii="Arial" w:cs="Arial" w:eastAsia="Arial" w:hAnsi="Arial"/>
          <w:sz w:val="19"/>
          <w:szCs w:val="19"/>
          <w:color w:val="auto"/>
        </w:rPr>
        <w:t>. This Agreement constitutes an unfunded and unsecured promise by the Company to make payments and issue shares of Common Stock in the future in accordance with its terms. You have the status of a general unsecured creditor of the Company as a result of receiving the award of Stock Units. Any cash payment due under this Agreement with respect to dividend equivalent payments under Section 5 hereof will be paid from the general assets of the Company and nothing in this Agreement will be construed to give you or any other person rights to any specific assets of the Company.</w:t>
      </w:r>
    </w:p>
    <w:p>
      <w:pPr>
        <w:spacing w:after="0" w:line="206" w:lineRule="exact"/>
        <w:rPr>
          <w:rFonts w:ascii="Arial" w:cs="Arial" w:eastAsia="Arial" w:hAnsi="Arial"/>
          <w:sz w:val="19"/>
          <w:szCs w:val="19"/>
          <w:color w:val="auto"/>
        </w:rPr>
      </w:pPr>
    </w:p>
    <w:p>
      <w:pPr>
        <w:ind w:right="80" w:firstLine="630"/>
        <w:spacing w:after="0" w:line="286" w:lineRule="auto"/>
        <w:tabs>
          <w:tab w:leader="none" w:pos="1505"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The validity, construction and effect of this Agreement, and of any determinations or decisions made by the Committee relating to this Agreement, and the rights of any and all persons having or claiming to have any interest under this Agreement, shall</w:t>
      </w:r>
    </w:p>
    <w:p>
      <w:pPr>
        <w:spacing w:after="0" w:line="200" w:lineRule="exact"/>
        <w:rPr>
          <w:sz w:val="20"/>
          <w:szCs w:val="20"/>
          <w:color w:val="auto"/>
        </w:rPr>
      </w:pPr>
    </w:p>
    <w:p>
      <w:pPr>
        <w:spacing w:after="0" w:line="35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320" w:top="1076" w:right="259" w:bottom="1440" w:gutter="0" w:footer="0" w:header="0"/>
        </w:sectPr>
      </w:pPr>
    </w:p>
    <w:bookmarkStart w:id="82" w:name="page83"/>
    <w:bookmarkEnd w:id="82"/>
    <w:p>
      <w:pPr>
        <w:spacing w:after="0" w:line="254" w:lineRule="auto"/>
        <w:rPr>
          <w:sz w:val="20"/>
          <w:szCs w:val="20"/>
          <w:color w:val="auto"/>
        </w:rPr>
      </w:pPr>
      <w:r>
        <w:rPr>
          <w:rFonts w:ascii="Arial" w:cs="Arial" w:eastAsia="Arial" w:hAnsi="Arial"/>
          <w:sz w:val="19"/>
          <w:szCs w:val="19"/>
          <w:color w:val="auto"/>
        </w:rPr>
        <w:t>be determined exclusively in accordance with the laws of the State of Maryland,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that include Baltimore, Maryland, and you hereby agree and submit to the personal jurisdiction of any federal court located in the district that includes Baltimore, Maryland or any state court in the district that includes Baltimore, Maryland. You further agree that you will not deny or attempt to defeat such personal jurisdiction or object to venue by motion or other request for leave from any such court.</w:t>
      </w:r>
    </w:p>
    <w:p>
      <w:pPr>
        <w:spacing w:after="0" w:line="220" w:lineRule="exact"/>
        <w:rPr>
          <w:sz w:val="20"/>
          <w:szCs w:val="20"/>
          <w:color w:val="auto"/>
        </w:rPr>
      </w:pPr>
    </w:p>
    <w:p>
      <w:pPr>
        <w:ind w:right="40" w:firstLine="630"/>
        <w:spacing w:after="0" w:line="283" w:lineRule="auto"/>
        <w:tabs>
          <w:tab w:leader="none" w:pos="1505"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Resolution of Disputes</w:t>
      </w:r>
      <w:r>
        <w:rPr>
          <w:rFonts w:ascii="Arial" w:cs="Arial" w:eastAsia="Arial" w:hAnsi="Arial"/>
          <w:sz w:val="19"/>
          <w:szCs w:val="19"/>
          <w:color w:val="auto"/>
        </w:rPr>
        <w:t>. Any dispute or disagreement that shall arise under, or as a result of, or pursuant to or relating to, this Agreement shall be determined by the Committee in good faith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Committee. You further agree that in the event that the Committee does not resolve any dispute or disagreement arising under, as a result of, pursuant to or relating to, this Agreement to your satisfaction, no legal action may be commenced or maintained relating to this Agreement more than 24 months after the Committee’s decision.</w:t>
      </w:r>
    </w:p>
    <w:p>
      <w:pPr>
        <w:spacing w:after="0" w:line="207" w:lineRule="exact"/>
        <w:rPr>
          <w:rFonts w:ascii="Arial" w:cs="Arial" w:eastAsia="Arial" w:hAnsi="Arial"/>
          <w:sz w:val="19"/>
          <w:szCs w:val="19"/>
          <w:color w:val="auto"/>
        </w:rPr>
      </w:pPr>
    </w:p>
    <w:p>
      <w:pPr>
        <w:ind w:right="120" w:firstLine="630"/>
        <w:spacing w:after="0" w:line="285" w:lineRule="auto"/>
        <w:tabs>
          <w:tab w:leader="none" w:pos="1505"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Preemption of Applicable Laws or Regulations</w:t>
      </w:r>
      <w:r>
        <w:rPr>
          <w:rFonts w:ascii="Arial" w:cs="Arial" w:eastAsia="Arial" w:hAnsi="Arial"/>
          <w:sz w:val="19"/>
          <w:szCs w:val="19"/>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204" w:lineRule="exact"/>
        <w:rPr>
          <w:rFonts w:ascii="Arial" w:cs="Arial" w:eastAsia="Arial" w:hAnsi="Arial"/>
          <w:sz w:val="19"/>
          <w:szCs w:val="19"/>
          <w:color w:val="auto"/>
        </w:rPr>
      </w:pPr>
    </w:p>
    <w:p>
      <w:pPr>
        <w:ind w:right="380" w:firstLine="630"/>
        <w:spacing w:after="0" w:line="283" w:lineRule="auto"/>
        <w:tabs>
          <w:tab w:leader="none" w:pos="1505"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409A Savings Clause</w:t>
      </w:r>
      <w:r>
        <w:rPr>
          <w:rFonts w:ascii="Arial" w:cs="Arial" w:eastAsia="Arial" w:hAnsi="Arial"/>
          <w:sz w:val="19"/>
          <w:szCs w:val="19"/>
          <w:color w:val="auto"/>
        </w:rPr>
        <w:t>. This Agreement and the Stock Units awarded hereunder are intended to comply with, or otherwise be exempt from, Section 409A of the Code. This Agreement and the Stock Units shall be administered, interpreted and construed in a manner consistent with this intent. Should any provision of this Agreement or the Stock Units be found not to comply with, or otherwise be exempt from, the provisions of Section 409A of the Code, it shall be modified and given effect, in the sole discretion of the Committee and without requiring your consent, in such manner as the Committee determines to be necessary or appropriate to comply with, or to effectuate an exemption from, Section 409A of the Code. The preceding provisions shall not be construed as a guarantee or warranty by the Company of any particular tax effect of the Stock Units.</w:t>
      </w:r>
    </w:p>
    <w:p>
      <w:pPr>
        <w:spacing w:after="0" w:line="208" w:lineRule="exact"/>
        <w:rPr>
          <w:rFonts w:ascii="Arial" w:cs="Arial" w:eastAsia="Arial" w:hAnsi="Arial"/>
          <w:sz w:val="19"/>
          <w:szCs w:val="19"/>
          <w:color w:val="auto"/>
        </w:rPr>
      </w:pPr>
    </w:p>
    <w:p>
      <w:pPr>
        <w:ind w:right="80" w:firstLine="630"/>
        <w:spacing w:after="0" w:line="283" w:lineRule="auto"/>
        <w:tabs>
          <w:tab w:leader="none" w:pos="1505"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Service and Employment Acknowledgments</w:t>
      </w:r>
      <w:r>
        <w:rPr>
          <w:rFonts w:ascii="Arial" w:cs="Arial" w:eastAsia="Arial" w:hAnsi="Arial"/>
          <w:sz w:val="19"/>
          <w:szCs w:val="19"/>
          <w:color w:val="auto"/>
        </w:rPr>
        <w:t>. By accepting the Notice, you acknowledge and agree that: (i) the Plan is established voluntarily by the Company, is discretionary in nature and may be modified, amended, suspended or terminated by the Company at any time, unless otherwise provided in the Plan or this Agreement; (ii) you are voluntarily participating in the Plan; (iii) the award of Stock Units is a one-time benefit that does not create any contractual or other right to receive future awards of Stock Units, or compensation or benefits in lieu of Stock Units, even if Stock Units have been awarded repeatedly in the past; (iv) all determinations with respect to any such future awards, including, but not limited to, the times when Stock Units shall be awarded or shall become vested and the number of Stock Units subject to each award, will be at the sole discretion of the Committee;</w:t>
      </w:r>
    </w:p>
    <w:p>
      <w:pPr>
        <w:spacing w:after="0" w:line="200" w:lineRule="exact"/>
        <w:rPr>
          <w:sz w:val="20"/>
          <w:szCs w:val="20"/>
          <w:color w:val="auto"/>
        </w:rPr>
      </w:pPr>
    </w:p>
    <w:p>
      <w:pPr>
        <w:spacing w:after="0" w:line="35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320" w:top="1076" w:right="259" w:bottom="1440" w:gutter="0" w:footer="0" w:header="0"/>
        </w:sectPr>
      </w:pPr>
    </w:p>
    <w:bookmarkStart w:id="83" w:name="page84"/>
    <w:bookmarkEnd w:id="83"/>
    <w:p>
      <w:pPr>
        <w:ind w:left="280" w:hanging="271"/>
        <w:spacing w:after="0"/>
        <w:tabs>
          <w:tab w:leader="none" w:pos="28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value of the Stock Units is an extraordinary item of compensation that is outside the scope of your employment contract, if any;</w:t>
      </w:r>
    </w:p>
    <w:p>
      <w:pPr>
        <w:spacing w:after="0" w:line="11" w:lineRule="exact"/>
        <w:rPr>
          <w:rFonts w:ascii="Arial" w:cs="Arial" w:eastAsia="Arial" w:hAnsi="Arial"/>
          <w:sz w:val="19"/>
          <w:szCs w:val="19"/>
          <w:color w:val="auto"/>
        </w:rPr>
      </w:pPr>
    </w:p>
    <w:p>
      <w:pPr>
        <w:ind w:firstLine="9"/>
        <w:spacing w:after="0" w:line="268" w:lineRule="auto"/>
        <w:tabs>
          <w:tab w:leader="none" w:pos="31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value of the Stock Units is not part of normal or expected compensation or salary for any purpose, including, but not limited to, calculating any termination, severance, resignation, redundancy, end of service payments or similar payments, or bonuses, long-service awards, pension, welfare or retirement benefits; (vii) the vesting of the Stock Units ceases upon termination of Service with the Company or transfer of employment from the Company, or other cessation of eligibility for any reason, except as may otherwise be explicitly provided in this Agreement; (viii) the value of the Stock Units and the underlying Shares cannot be predicted with certainty and will change over time and the Company does not guarantee any future value; (ix) if you are not an employee of the Company, the Stock Units grant will not be interpreted to form an employment contract or relationship with the Company; nothing in this Agreement shall confer upon you any right to continue in the service of the Company or interfere in any way with any right of the Company to terminate your service as a director, an employee or consultant, as the case may be, at any time, subject to applicable law; the Company is not providing any tax, legal or financial advice, nor is the Company making any recommendations regarding your participation in the Plan or your acquisition or sale of the Shares underlying the Stock Units; and (x) no claim or entitlement to compensation or damages arises if the value of the Stock Units or the underlying Shares decreases and in consideration for the grant of the Stock Units you irrevocably release the Company from any claim or entitlement to compensation or damages that does arise in connection with the Stock Units.</w:t>
      </w:r>
    </w:p>
    <w:p>
      <w:pPr>
        <w:spacing w:after="0" w:line="187" w:lineRule="exact"/>
        <w:rPr>
          <w:rFonts w:ascii="Arial" w:cs="Arial" w:eastAsia="Arial" w:hAnsi="Arial"/>
          <w:sz w:val="18"/>
          <w:szCs w:val="18"/>
          <w:color w:val="auto"/>
        </w:rPr>
      </w:pPr>
    </w:p>
    <w:p>
      <w:pPr>
        <w:ind w:right="40" w:firstLine="630"/>
        <w:spacing w:after="0" w:line="283" w:lineRule="auto"/>
        <w:tabs>
          <w:tab w:leader="none" w:pos="1505" w:val="left"/>
        </w:tabs>
        <w:numPr>
          <w:ilvl w:val="1"/>
          <w:numId w:val="66"/>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For purposes of the implementation, administration and management of the Stock Units and the Plan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“Corporate Transaction”), you explicitly and unambiguously consent, by accepting the Notice, to the collection, receipt, use, retention and transfer, in electronic or other form, of your personal data by and among the Company, its Affiliates and its third party vendors or any potential party to a potential Corporate Transaction. You understand that personal data (including but not limited to, name, home address, telephone number, employee number, employment status, social insurance number, tax identification number, date of birth, nationality, job title or duties, salary and payroll location, data for tax withholding purposes and Stock Units awarded, cancelled, vested and unvested) is held by the Company or its Affiliates and may be transferred to any broker designated by the Committee or third parties assisting in the implementation, administration and management of the Stock Units or the Plan or the effectuation of a Corporate Transaction and you expressly authorize such transfer as well as the retention, use, and the subsequent transfer of the data, in electronic or other form, by the recipient(s) for these purposes. You understand that these recipients may be located in your country or elsewhere, and that the recipient’s country may have different data privacy laws and protections than your country, including those that the European Commission or your jurisdiction does not consider to be equivalent to the protections in your country. You understand that personal data will be held only as long as is necessary to implement, administer and manage the Stock Units or Plan or effect a Corporate Transaction. You understand that, to the extent required by applicable law, you may, at any time, request a list with the names and addresses of any potential recipients of the personal data, view data, request additional information about the storage and processing of data, require any necessary amendments to data or refuse or</w:t>
      </w:r>
    </w:p>
    <w:p>
      <w:pPr>
        <w:spacing w:after="0" w:line="200" w:lineRule="exact"/>
        <w:rPr>
          <w:sz w:val="20"/>
          <w:szCs w:val="20"/>
          <w:color w:val="auto"/>
        </w:rPr>
      </w:pPr>
    </w:p>
    <w:p>
      <w:pPr>
        <w:spacing w:after="0" w:line="36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320" w:top="1076" w:right="239" w:bottom="1440" w:gutter="0" w:footer="0" w:header="0"/>
        </w:sectPr>
      </w:pPr>
    </w:p>
    <w:bookmarkStart w:id="84" w:name="page85"/>
    <w:bookmarkEnd w:id="84"/>
    <w:p>
      <w:pPr>
        <w:spacing w:after="0" w:line="255" w:lineRule="auto"/>
        <w:rPr>
          <w:sz w:val="20"/>
          <w:szCs w:val="20"/>
          <w:color w:val="auto"/>
        </w:rPr>
      </w:pPr>
      <w:r>
        <w:rPr>
          <w:rFonts w:ascii="Arial" w:cs="Arial" w:eastAsia="Arial" w:hAnsi="Arial"/>
          <w:sz w:val="19"/>
          <w:szCs w:val="19"/>
          <w:b w:val="1"/>
          <w:bCs w:val="1"/>
          <w:i w:val="1"/>
          <w:iCs w:val="1"/>
          <w:color w:val="auto"/>
        </w:rPr>
        <w:t>withdraw the consents herein, in any case without cost, by contacting in writing the Company’s Payroll and Stock Transaction Group in the CFO-Finance Department in the Baltimore, Maryland – Pratt Street office. If you do not consent, or if you later seek to revoke your consent, your Service and career with your employer will not be adversely affected; the only adverse consequence of refusing or withdrawing your consent is that the Company would not be able to grant you Stock Units or other equity awards or administer or maintain such awards. Therefore, you understand that refusing or withdrawing your consent may affect your ability to participate in the Plan. You also understand that you have the right to discontinue the collection, processing, or use of your data, or supplement, correct, or request deletion of any of your data. Further, you understand that you are providing the consents herein on a purely voluntary basis. You understand that your consent will be sought and obtained for any processing or transfer of your data for any purpose other than as described in the Agreement and any other Plan materials.</w:t>
      </w:r>
    </w:p>
    <w:p>
      <w:pPr>
        <w:spacing w:after="0" w:line="226" w:lineRule="exact"/>
        <w:rPr>
          <w:sz w:val="20"/>
          <w:szCs w:val="20"/>
          <w:color w:val="auto"/>
        </w:rPr>
      </w:pPr>
    </w:p>
    <w:p>
      <w:pPr>
        <w:ind w:right="540" w:firstLine="630"/>
        <w:spacing w:after="0" w:line="291" w:lineRule="auto"/>
        <w:tabs>
          <w:tab w:leader="none" w:pos="1505"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headings in this Agreement are for reference purposes only and shall not affect the meaning or interpretation of this Agreement.</w:t>
      </w:r>
    </w:p>
    <w:p>
      <w:pPr>
        <w:spacing w:after="0" w:line="199" w:lineRule="exact"/>
        <w:rPr>
          <w:rFonts w:ascii="Arial" w:cs="Arial" w:eastAsia="Arial" w:hAnsi="Arial"/>
          <w:sz w:val="19"/>
          <w:szCs w:val="19"/>
          <w:color w:val="auto"/>
        </w:rPr>
      </w:pPr>
    </w:p>
    <w:p>
      <w:pPr>
        <w:ind w:left="1520" w:hanging="890"/>
        <w:spacing w:after="0"/>
        <w:tabs>
          <w:tab w:leader="none" w:pos="1520"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Country-Specific Terms and Conditions and Notices</w:t>
      </w:r>
      <w:r>
        <w:rPr>
          <w:rFonts w:ascii="Arial" w:cs="Arial" w:eastAsia="Arial" w:hAnsi="Arial"/>
          <w:sz w:val="19"/>
          <w:szCs w:val="19"/>
          <w:color w:val="auto"/>
        </w:rPr>
        <w:t>. Notwithstanding any provisions in this Agreement, the grant of</w:t>
      </w:r>
    </w:p>
    <w:p>
      <w:pPr>
        <w:spacing w:after="0" w:line="38" w:lineRule="exact"/>
        <w:rPr>
          <w:rFonts w:ascii="Arial" w:cs="Arial" w:eastAsia="Arial" w:hAnsi="Arial"/>
          <w:sz w:val="19"/>
          <w:szCs w:val="19"/>
          <w:color w:val="auto"/>
        </w:rPr>
      </w:pPr>
    </w:p>
    <w:p>
      <w:pPr>
        <w:ind w:right="460"/>
        <w:spacing w:after="0" w:line="285" w:lineRule="auto"/>
        <w:rPr>
          <w:rFonts w:ascii="Arial" w:cs="Arial" w:eastAsia="Arial" w:hAnsi="Arial"/>
          <w:sz w:val="19"/>
          <w:szCs w:val="19"/>
          <w:color w:val="auto"/>
        </w:rPr>
      </w:pPr>
      <w:r>
        <w:rPr>
          <w:rFonts w:ascii="Arial" w:cs="Arial" w:eastAsia="Arial" w:hAnsi="Arial"/>
          <w:sz w:val="19"/>
          <w:szCs w:val="19"/>
          <w:color w:val="auto"/>
        </w:rPr>
        <w:t>Stock Units shall be subject to any special terms and conditions for your country set forth in any appendix to this Agreement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Moreover, if you relocate to one of the countries included in the Appendix, the special terms and conditions for such country will apply to you, to the extent the Company determines that the application of such terms and conditions is necessary or advisable for legal or administrative reasons. The Appendix constitutes part of this Agreement.</w:t>
      </w:r>
    </w:p>
    <w:p>
      <w:pPr>
        <w:spacing w:after="0" w:line="171"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Glossary begins on next page</w:t>
      </w:r>
      <w:r>
        <w:rPr>
          <w:rFonts w:ascii="Arial" w:cs="Arial" w:eastAsia="Arial" w:hAnsi="Arial"/>
          <w:sz w:val="19"/>
          <w:szCs w:val="19"/>
          <w:color w:val="auto"/>
        </w:rPr>
        <w: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320" w:top="1054" w:right="319" w:bottom="1440" w:gutter="0" w:footer="0" w:header="0"/>
        </w:sectPr>
      </w:pPr>
    </w:p>
    <w:bookmarkStart w:id="85" w:name="page86"/>
    <w:bookmarkEnd w:id="85"/>
    <w:p>
      <w:pPr>
        <w:ind w:left="3580"/>
        <w:spacing w:after="0"/>
        <w:rPr>
          <w:sz w:val="20"/>
          <w:szCs w:val="20"/>
          <w:color w:val="auto"/>
        </w:rPr>
      </w:pPr>
      <w:r>
        <w:rPr>
          <w:rFonts w:ascii="Arial" w:cs="Arial" w:eastAsia="Arial" w:hAnsi="Arial"/>
          <w:sz w:val="19"/>
          <w:szCs w:val="19"/>
          <w:color w:val="auto"/>
        </w:rPr>
        <w:t>GLOSSARY</w:t>
      </w:r>
    </w:p>
    <w:p>
      <w:pPr>
        <w:spacing w:after="0" w:line="192" w:lineRule="exact"/>
        <w:rPr>
          <w:sz w:val="20"/>
          <w:szCs w:val="20"/>
          <w:color w:val="auto"/>
        </w:rPr>
      </w:pPr>
    </w:p>
    <w:p>
      <w:pPr>
        <w:ind w:right="140" w:firstLine="1265"/>
        <w:spacing w:after="0" w:line="263" w:lineRule="auto"/>
        <w:tabs>
          <w:tab w:leader="none" w:pos="1667" w:val="left"/>
        </w:tabs>
        <w:numPr>
          <w:ilvl w:val="0"/>
          <w:numId w:val="6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means any entity, whether previously, now or hereafter existing, in which the Company, directly or indirectly, at the relevant time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176" w:lineRule="exact"/>
        <w:rPr>
          <w:rFonts w:ascii="Arial" w:cs="Arial" w:eastAsia="Arial" w:hAnsi="Arial"/>
          <w:sz w:val="19"/>
          <w:szCs w:val="19"/>
          <w:color w:val="auto"/>
        </w:rPr>
      </w:pPr>
    </w:p>
    <w:p>
      <w:pPr>
        <w:ind w:left="1680" w:hanging="415"/>
        <w:spacing w:after="0"/>
        <w:tabs>
          <w:tab w:leader="none" w:pos="16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means the contract consisting of the Notice, the Terms and</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the Plan.</w:t>
      </w:r>
    </w:p>
    <w:p>
      <w:pPr>
        <w:spacing w:after="0" w:line="192" w:lineRule="exact"/>
        <w:rPr>
          <w:sz w:val="20"/>
          <w:szCs w:val="20"/>
          <w:color w:val="auto"/>
        </w:rPr>
      </w:pPr>
    </w:p>
    <w:p>
      <w:pPr>
        <w:jc w:val="both"/>
        <w:ind w:right="3620" w:firstLine="1279"/>
        <w:spacing w:after="0" w:line="263" w:lineRule="auto"/>
        <w:tabs>
          <w:tab w:leader="none" w:pos="1891"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xml:space="preserve">” means: (i) your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(or a similar plea) to, or conviction of, (A) a felony (or its equivalent in a non-United States jurisdiction) or</w:t>
      </w:r>
    </w:p>
    <w:p>
      <w:pPr>
        <w:ind w:left="320" w:hanging="311"/>
        <w:spacing w:after="0"/>
        <w:tabs>
          <w:tab w:leader="none" w:pos="320" w:val="left"/>
        </w:tabs>
        <w:numPr>
          <w:ilvl w:val="0"/>
          <w:numId w:val="70"/>
        </w:numPr>
        <w:rPr>
          <w:rFonts w:ascii="Arial" w:cs="Arial" w:eastAsia="Arial" w:hAnsi="Arial"/>
          <w:sz w:val="19"/>
          <w:szCs w:val="19"/>
          <w:color w:val="auto"/>
        </w:rPr>
      </w:pPr>
      <w:r>
        <w:rPr>
          <w:rFonts w:ascii="Arial" w:cs="Arial" w:eastAsia="Arial" w:hAnsi="Arial"/>
          <w:sz w:val="19"/>
          <w:szCs w:val="19"/>
          <w:color w:val="auto"/>
        </w:rPr>
        <w:t>other conduct of a criminal nature that has or is likely to have a material adverse effect on the reputation or standing in the</w:t>
      </w:r>
    </w:p>
    <w:p>
      <w:pPr>
        <w:spacing w:after="0" w:line="11"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 xml:space="preserve">community of the Company, as determined by the Committee in its sole discretion, or that legally prohibits you from working for the Company; (ii) your breach of a regulatory rule that adversely affects your ability to perform your employment duties to the Company in any material respect; or (iii) your failure, in any material respect, to (A) perform your employment duties, (B) comply with the applicable policies of the Company, (C) follow reasonable directions received from the Company or (D) comply with covenants contained in any contract with the Company to which you are a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you shall be provided a written notice describing in reasonable detail the facts that are considered to give rise to a breach described in this clause (iii) and you shall have 30 days following receipt of such written notice during which you may remedy the condition and, if so remedied, no Cause for Termination of Service shall exist.</w:t>
      </w:r>
    </w:p>
    <w:p>
      <w:pPr>
        <w:spacing w:after="0" w:line="188" w:lineRule="exact"/>
        <w:rPr>
          <w:sz w:val="20"/>
          <w:szCs w:val="20"/>
          <w:color w:val="auto"/>
        </w:rPr>
      </w:pPr>
    </w:p>
    <w:p>
      <w:pPr>
        <w:ind w:left="1680" w:hanging="415"/>
        <w:spacing w:after="0"/>
        <w:tabs>
          <w:tab w:leader="none" w:pos="1680" w:val="left"/>
        </w:tabs>
        <w:numPr>
          <w:ilvl w:val="0"/>
          <w:numId w:val="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Change in Control</w:t>
      </w:r>
      <w:r>
        <w:rPr>
          <w:rFonts w:ascii="Arial" w:cs="Arial" w:eastAsia="Arial" w:hAnsi="Arial"/>
          <w:sz w:val="19"/>
          <w:szCs w:val="19"/>
          <w:color w:val="auto"/>
        </w:rPr>
        <w:t>” has the meaning ascribed to such term in the Plan.</w:t>
      </w:r>
    </w:p>
    <w:p>
      <w:pPr>
        <w:spacing w:after="0" w:line="227" w:lineRule="exact"/>
        <w:rPr>
          <w:rFonts w:ascii="Arial" w:cs="Arial" w:eastAsia="Arial" w:hAnsi="Arial"/>
          <w:sz w:val="19"/>
          <w:szCs w:val="19"/>
          <w:color w:val="auto"/>
        </w:rPr>
      </w:pPr>
    </w:p>
    <w:p>
      <w:pPr>
        <w:ind w:right="120" w:firstLine="1265"/>
        <w:spacing w:after="0" w:line="263" w:lineRule="auto"/>
        <w:tabs>
          <w:tab w:leader="none" w:pos="1667" w:val="left"/>
        </w:tabs>
        <w:numPr>
          <w:ilvl w:val="0"/>
          <w:numId w:val="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Code</w:t>
      </w:r>
      <w:r>
        <w:rPr>
          <w:rFonts w:ascii="Arial" w:cs="Arial" w:eastAsia="Arial" w:hAnsi="Arial"/>
          <w:sz w:val="19"/>
          <w:szCs w:val="19"/>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section, regulations and guidance.</w:t>
      </w:r>
    </w:p>
    <w:p>
      <w:pPr>
        <w:spacing w:after="0" w:line="176" w:lineRule="exact"/>
        <w:rPr>
          <w:rFonts w:ascii="Arial" w:cs="Arial" w:eastAsia="Arial" w:hAnsi="Arial"/>
          <w:sz w:val="19"/>
          <w:szCs w:val="19"/>
          <w:color w:val="auto"/>
        </w:rPr>
      </w:pPr>
    </w:p>
    <w:p>
      <w:pPr>
        <w:ind w:right="420" w:firstLine="1265"/>
        <w:spacing w:after="0" w:line="278" w:lineRule="auto"/>
        <w:tabs>
          <w:tab w:leader="none" w:pos="1614"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xml:space="preserve">” means the Executive Compensation Committee, or such other committee(s) or officer(s) duly appointed by the Board or the Executive Compensation Committee to administer the Plan or delegated limited authority to perform administrative actions under the Plan, and having such powers as shall be specified by the Board or the Executive Compensation Committee;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at any time the Board may serve as the Committee in lieu of or in addition to the Executive Compensation Committee or such other committee(s) or officer(s) to whom administrative authority has been delegated.</w:t>
      </w:r>
    </w:p>
    <w:p>
      <w:pPr>
        <w:spacing w:after="0" w:line="165" w:lineRule="exact"/>
        <w:rPr>
          <w:rFonts w:ascii="Arial" w:cs="Arial" w:eastAsia="Arial" w:hAnsi="Arial"/>
          <w:sz w:val="18"/>
          <w:szCs w:val="18"/>
          <w:color w:val="auto"/>
        </w:rPr>
      </w:pPr>
    </w:p>
    <w:p>
      <w:pPr>
        <w:ind w:firstLine="1265"/>
        <w:spacing w:after="0" w:line="285" w:lineRule="auto"/>
        <w:tabs>
          <w:tab w:leader="none" w:pos="1667" w:val="left"/>
        </w:tabs>
        <w:numPr>
          <w:ilvl w:val="0"/>
          <w:numId w:val="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means shares of common stock of T. Rowe Price Group, Inc., par value twenty cents ($0.20) per share and any capital securities into which they are converted.</w:t>
      </w:r>
    </w:p>
    <w:p>
      <w:pPr>
        <w:spacing w:after="0" w:line="129" w:lineRule="exact"/>
        <w:rPr>
          <w:rFonts w:ascii="Arial" w:cs="Arial" w:eastAsia="Arial" w:hAnsi="Arial"/>
          <w:sz w:val="19"/>
          <w:szCs w:val="19"/>
          <w:color w:val="auto"/>
        </w:rPr>
      </w:pPr>
    </w:p>
    <w:p>
      <w:pPr>
        <w:jc w:val="both"/>
        <w:ind w:firstLine="1265"/>
        <w:spacing w:after="0" w:line="315" w:lineRule="auto"/>
        <w:tabs>
          <w:tab w:leader="none" w:pos="1667"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and successors, except where the context otherwise requires. For purposes of determining whether a Change in Control has occurred, Company shall mean only T. Rowe Price Group, Inc.</w:t>
      </w:r>
    </w:p>
    <w:p>
      <w:pPr>
        <w:spacing w:after="0" w:line="200" w:lineRule="exact"/>
        <w:rPr>
          <w:sz w:val="20"/>
          <w:szCs w:val="20"/>
          <w:color w:val="auto"/>
        </w:rPr>
      </w:pPr>
    </w:p>
    <w:p>
      <w:pPr>
        <w:spacing w:after="0" w:line="3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320" w:top="1076" w:right="279" w:bottom="1440" w:gutter="0" w:footer="0" w:header="0"/>
        </w:sectPr>
      </w:pPr>
    </w:p>
    <w:bookmarkStart w:id="86" w:name="page87"/>
    <w:bookmarkEnd w:id="86"/>
    <w:p>
      <w:pPr>
        <w:ind w:right="380" w:firstLine="1265"/>
        <w:spacing w:after="0" w:line="269" w:lineRule="auto"/>
        <w:tabs>
          <w:tab w:leader="none" w:pos="1604" w:val="left"/>
        </w:tabs>
        <w:numPr>
          <w:ilvl w:val="0"/>
          <w:numId w:val="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Corporate Transaction</w:t>
      </w:r>
      <w:r>
        <w:rPr>
          <w:rFonts w:ascii="Arial" w:cs="Arial" w:eastAsia="Arial" w:hAnsi="Arial"/>
          <w:sz w:val="19"/>
          <w:szCs w:val="19"/>
          <w:color w:val="auto"/>
        </w:rPr>
        <w:t>” means the consummation of a reorganization, merger, tender offer, share exchange, consolidation or other business combination, acquisition of Price Group equity securities, or sale or other disposition of all or substantially all of the assets of Price Group or the acquisition of assets of another entity.</w:t>
      </w:r>
    </w:p>
    <w:p>
      <w:pPr>
        <w:spacing w:after="0" w:line="170" w:lineRule="exact"/>
        <w:rPr>
          <w:rFonts w:ascii="Arial" w:cs="Arial" w:eastAsia="Arial" w:hAnsi="Arial"/>
          <w:sz w:val="19"/>
          <w:szCs w:val="19"/>
          <w:color w:val="auto"/>
        </w:rPr>
      </w:pPr>
    </w:p>
    <w:p>
      <w:pPr>
        <w:ind w:right="20" w:firstLine="1265"/>
        <w:spacing w:after="0" w:line="263" w:lineRule="auto"/>
        <w:tabs>
          <w:tab w:leader="none" w:pos="1604" w:val="left"/>
        </w:tabs>
        <w:numPr>
          <w:ilvl w:val="0"/>
          <w:numId w:val="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Credited Service</w:t>
      </w:r>
      <w:r>
        <w:rPr>
          <w:rFonts w:ascii="Arial" w:cs="Arial" w:eastAsia="Arial" w:hAnsi="Arial"/>
          <w:sz w:val="19"/>
          <w:szCs w:val="19"/>
          <w:color w:val="auto"/>
        </w:rPr>
        <w:t>” means the sum of the period(s) during which you are in Service with the Company plus any period of service that may be allocated to you by the Committee, in its sole discretion, in writing for periods during which you were not employed with the Company but you were engaged in activities through which you gained relevant industry experience, as determined in the Committee’s discretion.</w:t>
      </w:r>
    </w:p>
    <w:p>
      <w:pPr>
        <w:spacing w:after="0" w:line="176" w:lineRule="exact"/>
        <w:rPr>
          <w:rFonts w:ascii="Arial" w:cs="Arial" w:eastAsia="Arial" w:hAnsi="Arial"/>
          <w:sz w:val="19"/>
          <w:szCs w:val="19"/>
          <w:color w:val="auto"/>
        </w:rPr>
      </w:pPr>
    </w:p>
    <w:p>
      <w:pPr>
        <w:ind w:right="20" w:firstLine="1265"/>
        <w:spacing w:after="0" w:line="285" w:lineRule="auto"/>
        <w:tabs>
          <w:tab w:leader="none" w:pos="1656" w:val="left"/>
        </w:tabs>
        <w:numPr>
          <w:ilvl w:val="0"/>
          <w:numId w:val="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Executive Compensation Committee</w:t>
      </w:r>
      <w:r>
        <w:rPr>
          <w:rFonts w:ascii="Arial" w:cs="Arial" w:eastAsia="Arial" w:hAnsi="Arial"/>
          <w:sz w:val="19"/>
          <w:szCs w:val="19"/>
          <w:color w:val="auto"/>
        </w:rPr>
        <w:t>” means the Executive Compensation Committee of the Board of Directors of T. Rowe Price Group, Inc.</w:t>
      </w:r>
    </w:p>
    <w:p>
      <w:pPr>
        <w:spacing w:after="0" w:line="156" w:lineRule="exact"/>
        <w:rPr>
          <w:rFonts w:ascii="Arial" w:cs="Arial" w:eastAsia="Arial" w:hAnsi="Arial"/>
          <w:sz w:val="19"/>
          <w:szCs w:val="19"/>
          <w:color w:val="auto"/>
        </w:rPr>
      </w:pPr>
    </w:p>
    <w:p>
      <w:pPr>
        <w:ind w:right="100" w:firstLine="1265"/>
        <w:spacing w:after="0" w:line="269" w:lineRule="auto"/>
        <w:tabs>
          <w:tab w:leader="none" w:pos="1604" w:val="left"/>
        </w:tabs>
        <w:numPr>
          <w:ilvl w:val="0"/>
          <w:numId w:val="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means, during the 18-month period following a Change in Control, actions taken by the Company or any successor corporation or other entity in a Corporate Transaction resulting in a material negative change in your employment relationship in one or more of the following ways:</w:t>
      </w:r>
    </w:p>
    <w:p>
      <w:pPr>
        <w:spacing w:after="0" w:line="192" w:lineRule="exact"/>
        <w:rPr>
          <w:rFonts w:ascii="Arial" w:cs="Arial" w:eastAsia="Arial" w:hAnsi="Arial"/>
          <w:sz w:val="19"/>
          <w:szCs w:val="19"/>
          <w:color w:val="auto"/>
        </w:rPr>
      </w:pPr>
    </w:p>
    <w:p>
      <w:pPr>
        <w:jc w:val="both"/>
        <w:ind w:left="640" w:right="620" w:firstLine="1260"/>
        <w:spacing w:after="0" w:line="256" w:lineRule="auto"/>
        <w:tabs>
          <w:tab w:leader="none" w:pos="2244" w:val="left"/>
        </w:tabs>
        <w:numPr>
          <w:ilvl w:val="1"/>
          <w:numId w:val="72"/>
        </w:numPr>
        <w:rPr>
          <w:rFonts w:ascii="Arial" w:cs="Arial" w:eastAsia="Arial" w:hAnsi="Arial"/>
          <w:sz w:val="19"/>
          <w:szCs w:val="19"/>
          <w:color w:val="auto"/>
        </w:rPr>
      </w:pPr>
      <w:r>
        <w:rPr>
          <w:rFonts w:ascii="Arial" w:cs="Arial" w:eastAsia="Arial" w:hAnsi="Arial"/>
          <w:sz w:val="19"/>
          <w:szCs w:val="19"/>
          <w:color w:val="auto"/>
        </w:rPr>
        <w:t>the assignment to you of duties materially inconsistent with your position (including offices, titles and reporting requirements), authority, duties or responsibilities, or a material diminution in such position, authority, duties or responsibilities, in each case from those in effect immediately prior to the Change in Control;</w:t>
      </w:r>
    </w:p>
    <w:p>
      <w:pPr>
        <w:spacing w:after="0" w:line="178" w:lineRule="exact"/>
        <w:rPr>
          <w:rFonts w:ascii="Arial" w:cs="Arial" w:eastAsia="Arial" w:hAnsi="Arial"/>
          <w:sz w:val="19"/>
          <w:szCs w:val="19"/>
          <w:color w:val="auto"/>
        </w:rPr>
      </w:pPr>
    </w:p>
    <w:p>
      <w:pPr>
        <w:ind w:left="640" w:right="120" w:firstLine="1260"/>
        <w:spacing w:after="0" w:line="261" w:lineRule="auto"/>
        <w:tabs>
          <w:tab w:leader="none" w:pos="2286" w:val="left"/>
        </w:tabs>
        <w:numPr>
          <w:ilvl w:val="1"/>
          <w:numId w:val="72"/>
        </w:numPr>
        <w:rPr>
          <w:rFonts w:ascii="Arial" w:cs="Arial" w:eastAsia="Arial" w:hAnsi="Arial"/>
          <w:sz w:val="19"/>
          <w:szCs w:val="19"/>
          <w:color w:val="auto"/>
        </w:rPr>
      </w:pPr>
      <w:r>
        <w:rPr>
          <w:rFonts w:ascii="Arial" w:cs="Arial" w:eastAsia="Arial" w:hAnsi="Arial"/>
          <w:sz w:val="19"/>
          <w:szCs w:val="19"/>
          <w:color w:val="auto"/>
        </w:rPr>
        <w:t>a material reduction of your aggregate annual compensation, including, without limitation, base salary and annual bonus and incentive compensation opportunity, from that in effect immediately prior to the Change in Control; or</w:t>
      </w:r>
    </w:p>
    <w:p>
      <w:pPr>
        <w:spacing w:after="0" w:line="200" w:lineRule="exact"/>
        <w:rPr>
          <w:rFonts w:ascii="Arial" w:cs="Arial" w:eastAsia="Arial" w:hAnsi="Arial"/>
          <w:sz w:val="19"/>
          <w:szCs w:val="19"/>
          <w:color w:val="auto"/>
        </w:rPr>
      </w:pPr>
    </w:p>
    <w:p>
      <w:pPr>
        <w:ind w:left="640" w:right="520" w:firstLine="1260"/>
        <w:spacing w:after="0" w:line="261" w:lineRule="auto"/>
        <w:tabs>
          <w:tab w:leader="none" w:pos="2328" w:val="left"/>
        </w:tabs>
        <w:numPr>
          <w:ilvl w:val="1"/>
          <w:numId w:val="72"/>
        </w:numPr>
        <w:rPr>
          <w:rFonts w:ascii="Arial" w:cs="Arial" w:eastAsia="Arial" w:hAnsi="Arial"/>
          <w:sz w:val="19"/>
          <w:szCs w:val="19"/>
          <w:color w:val="auto"/>
        </w:rPr>
      </w:pPr>
      <w:r>
        <w:rPr>
          <w:rFonts w:ascii="Arial" w:cs="Arial" w:eastAsia="Arial" w:hAnsi="Arial"/>
          <w:sz w:val="19"/>
          <w:szCs w:val="19"/>
          <w:color w:val="auto"/>
        </w:rPr>
        <w:t>a change in your principal place of employment that increases your commute by 75 or more miles as compared to your commute immediately prior to the Change in Control.</w:t>
      </w:r>
    </w:p>
    <w:p>
      <w:pPr>
        <w:spacing w:after="0" w:line="200" w:lineRule="exact"/>
        <w:rPr>
          <w:sz w:val="20"/>
          <w:szCs w:val="20"/>
          <w:color w:val="auto"/>
        </w:rPr>
      </w:pPr>
    </w:p>
    <w:p>
      <w:pPr>
        <w:ind w:right="60" w:firstLine="554"/>
        <w:spacing w:after="0" w:line="253" w:lineRule="auto"/>
        <w:rPr>
          <w:sz w:val="20"/>
          <w:szCs w:val="20"/>
          <w:color w:val="auto"/>
        </w:rPr>
      </w:pPr>
      <w:r>
        <w:rPr>
          <w:rFonts w:ascii="Arial" w:cs="Arial" w:eastAsia="Arial" w:hAnsi="Arial"/>
          <w:sz w:val="19"/>
          <w:szCs w:val="19"/>
          <w:color w:val="auto"/>
        </w:rPr>
        <w:t>In order to invoke a Termination of Service for Good Reason, you must provide written notice to the Company or any successor corporation or other entity in a Corporate Transaction with respect to which you are employed or providing services (as applicable, the “</w:t>
      </w:r>
      <w:r>
        <w:rPr>
          <w:rFonts w:ascii="Arial" w:cs="Arial" w:eastAsia="Arial" w:hAnsi="Arial"/>
          <w:sz w:val="19"/>
          <w:szCs w:val="19"/>
          <w:b w:val="1"/>
          <w:bCs w:val="1"/>
          <w:i w:val="1"/>
          <w:iCs w:val="1"/>
          <w:color w:val="auto"/>
        </w:rPr>
        <w:t>Service Recipient</w:t>
      </w:r>
      <w:r>
        <w:rPr>
          <w:rFonts w:ascii="Arial" w:cs="Arial" w:eastAsia="Arial" w:hAnsi="Arial"/>
          <w:sz w:val="19"/>
          <w:szCs w:val="19"/>
          <w:color w:val="auto"/>
        </w:rPr>
        <w:t>”) of the existence of one or more of the conditions constituting Good Reason within 90 days following your knowledge of the initial existence of such condition or conditions, specifying in reasonable detail the conditions constituting Good Reason, and the Service Recipient shall have 30 days following receipt of such written notice (the “</w:t>
      </w:r>
      <w:r>
        <w:rPr>
          <w:rFonts w:ascii="Arial" w:cs="Arial" w:eastAsia="Arial" w:hAnsi="Arial"/>
          <w:sz w:val="19"/>
          <w:szCs w:val="19"/>
          <w:b w:val="1"/>
          <w:bCs w:val="1"/>
          <w:i w:val="1"/>
          <w:iCs w:val="1"/>
          <w:color w:val="auto"/>
        </w:rPr>
        <w:t>Cure Period</w:t>
      </w:r>
      <w:r>
        <w:rPr>
          <w:rFonts w:ascii="Arial" w:cs="Arial" w:eastAsia="Arial" w:hAnsi="Arial"/>
          <w:sz w:val="19"/>
          <w:szCs w:val="19"/>
          <w:color w:val="auto"/>
        </w:rPr>
        <w:t>”) during which it may remedy the condition. In the event that the Service Recipient fails to remedy the condition constituting Good Reason during the applicable Cure Period, your Termination of Service must occur, if at all, within 90 days following the expiration of such Cure Period in order for such termination as a result of such condition to constitute a Termination of Service for Good Reason.</w:t>
      </w:r>
    </w:p>
    <w:p>
      <w:pPr>
        <w:spacing w:after="0" w:line="161" w:lineRule="exact"/>
        <w:rPr>
          <w:sz w:val="20"/>
          <w:szCs w:val="20"/>
          <w:color w:val="auto"/>
        </w:rPr>
      </w:pPr>
    </w:p>
    <w:p>
      <w:pPr>
        <w:jc w:val="right"/>
        <w:spacing w:after="0"/>
        <w:tabs>
          <w:tab w:leader="none" w:pos="9500" w:val="left"/>
        </w:tabs>
        <w:rPr>
          <w:sz w:val="20"/>
          <w:szCs w:val="20"/>
          <w:color w:val="auto"/>
        </w:rPr>
      </w:pPr>
      <w:r>
        <w:rPr>
          <w:rFonts w:ascii="Arial" w:cs="Arial" w:eastAsia="Arial" w:hAnsi="Arial"/>
          <w:sz w:val="19"/>
          <w:szCs w:val="19"/>
          <w:color w:val="auto"/>
        </w:rPr>
        <w:t>(m)</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date set forth on the Notice indicating when the grant of Stock Units was approved by the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Committee.</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54" w:right="339" w:bottom="1440" w:gutter="0" w:footer="0" w:header="0"/>
        </w:sectPr>
      </w:pPr>
    </w:p>
    <w:bookmarkStart w:id="87" w:name="page88"/>
    <w:bookmarkEnd w:id="87"/>
    <w:p>
      <w:pPr>
        <w:ind w:right="60" w:firstLine="1265"/>
        <w:spacing w:after="0" w:line="285" w:lineRule="auto"/>
        <w:tabs>
          <w:tab w:leader="none" w:pos="1667" w:val="left"/>
        </w:tabs>
        <w:numPr>
          <w:ilvl w:val="0"/>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means the Notice of Grant of Restricted Stock Units Award that correlates with these Terms and sets forth the specifics of the applicable award of Stock Units.</w:t>
      </w:r>
    </w:p>
    <w:p>
      <w:pPr>
        <w:spacing w:after="0" w:line="129" w:lineRule="exact"/>
        <w:rPr>
          <w:rFonts w:ascii="Arial" w:cs="Arial" w:eastAsia="Arial" w:hAnsi="Arial"/>
          <w:sz w:val="19"/>
          <w:szCs w:val="19"/>
          <w:color w:val="auto"/>
        </w:rPr>
      </w:pPr>
    </w:p>
    <w:p>
      <w:pPr>
        <w:ind w:right="40" w:firstLine="1265"/>
        <w:spacing w:after="0" w:line="282" w:lineRule="auto"/>
        <w:tabs>
          <w:tab w:leader="none" w:pos="1667"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Peer Company</w:t>
      </w:r>
      <w:r>
        <w:rPr>
          <w:rFonts w:ascii="Arial" w:cs="Arial" w:eastAsia="Arial" w:hAnsi="Arial"/>
          <w:sz w:val="18"/>
          <w:szCs w:val="18"/>
          <w:color w:val="auto"/>
        </w:rPr>
        <w:t>” or collectively “</w:t>
      </w:r>
      <w:r>
        <w:rPr>
          <w:rFonts w:ascii="Arial" w:cs="Arial" w:eastAsia="Arial" w:hAnsi="Arial"/>
          <w:sz w:val="18"/>
          <w:szCs w:val="18"/>
          <w:b w:val="1"/>
          <w:bCs w:val="1"/>
          <w:i w:val="1"/>
          <w:iCs w:val="1"/>
          <w:color w:val="auto"/>
        </w:rPr>
        <w:t>Peer Companies</w:t>
      </w:r>
      <w:r>
        <w:rPr>
          <w:rFonts w:ascii="Arial" w:cs="Arial" w:eastAsia="Arial" w:hAnsi="Arial"/>
          <w:sz w:val="18"/>
          <w:szCs w:val="18"/>
          <w:color w:val="auto"/>
        </w:rPr>
        <w:t>” means each of the entities listed on the correlating Notice and each Peer Company’s successor; so long as each Peer Company has a class of common securities listed for public trade on a national securities exchange or market from the beginning through the end of the Performance Period or otherwise files financial statements with the Securities and Exchange Commission, as defined on the correlating Notice. The Peer Companies shall be changed as follows:</w:t>
      </w:r>
    </w:p>
    <w:p>
      <w:pPr>
        <w:spacing w:after="0" w:line="183" w:lineRule="exact"/>
        <w:rPr>
          <w:rFonts w:ascii="Arial" w:cs="Arial" w:eastAsia="Arial" w:hAnsi="Arial"/>
          <w:sz w:val="18"/>
          <w:szCs w:val="18"/>
          <w:color w:val="auto"/>
        </w:rPr>
      </w:pPr>
    </w:p>
    <w:p>
      <w:pPr>
        <w:ind w:left="640" w:right="80" w:firstLine="1260"/>
        <w:spacing w:after="0" w:line="256" w:lineRule="auto"/>
        <w:tabs>
          <w:tab w:leader="none" w:pos="2244" w:val="left"/>
        </w:tabs>
        <w:numPr>
          <w:ilvl w:val="2"/>
          <w:numId w:val="73"/>
        </w:numPr>
        <w:rPr>
          <w:rFonts w:ascii="Arial" w:cs="Arial" w:eastAsia="Arial" w:hAnsi="Arial"/>
          <w:sz w:val="19"/>
          <w:szCs w:val="19"/>
          <w:color w:val="auto"/>
        </w:rPr>
      </w:pPr>
      <w:r>
        <w:rPr>
          <w:rFonts w:ascii="Arial" w:cs="Arial" w:eastAsia="Arial" w:hAnsi="Arial"/>
          <w:sz w:val="19"/>
          <w:szCs w:val="19"/>
          <w:color w:val="auto"/>
        </w:rPr>
        <w:t>In the event that, at any time during the Performance Period, a Peer Company is no longer included in the same Standard &amp; Poor’s Global Industry Classification Standard (“GICS”) Sub-Industry as Price Group, such company shall no longer be a Peer Company.</w:t>
      </w:r>
    </w:p>
    <w:p>
      <w:pPr>
        <w:spacing w:after="0" w:line="205" w:lineRule="exact"/>
        <w:rPr>
          <w:rFonts w:ascii="Arial" w:cs="Arial" w:eastAsia="Arial" w:hAnsi="Arial"/>
          <w:sz w:val="19"/>
          <w:szCs w:val="19"/>
          <w:color w:val="auto"/>
        </w:rPr>
      </w:pPr>
    </w:p>
    <w:p>
      <w:pPr>
        <w:ind w:left="640" w:right="180" w:firstLine="1260"/>
        <w:spacing w:after="0" w:line="256" w:lineRule="auto"/>
        <w:tabs>
          <w:tab w:leader="none" w:pos="2286" w:val="left"/>
        </w:tabs>
        <w:numPr>
          <w:ilvl w:val="2"/>
          <w:numId w:val="73"/>
        </w:numPr>
        <w:rPr>
          <w:rFonts w:ascii="Arial" w:cs="Arial" w:eastAsia="Arial" w:hAnsi="Arial"/>
          <w:sz w:val="19"/>
          <w:szCs w:val="19"/>
          <w:color w:val="auto"/>
        </w:rPr>
      </w:pPr>
      <w:r>
        <w:rPr>
          <w:rFonts w:ascii="Arial" w:cs="Arial" w:eastAsia="Arial" w:hAnsi="Arial"/>
          <w:sz w:val="19"/>
          <w:szCs w:val="19"/>
          <w:color w:val="auto"/>
        </w:rPr>
        <w:t>In the event of a merger, acquisition or business combination transaction of a Peer Company with or by another Peer Company, the surviving entity shall remain a Peer Company, provided that the surviving entity is still in the same GICS Sub-Industry as Price Group.</w:t>
      </w:r>
    </w:p>
    <w:p>
      <w:pPr>
        <w:spacing w:after="0" w:line="205" w:lineRule="exact"/>
        <w:rPr>
          <w:rFonts w:ascii="Arial" w:cs="Arial" w:eastAsia="Arial" w:hAnsi="Arial"/>
          <w:sz w:val="19"/>
          <w:szCs w:val="19"/>
          <w:color w:val="auto"/>
        </w:rPr>
      </w:pPr>
    </w:p>
    <w:p>
      <w:pPr>
        <w:ind w:left="640" w:right="220" w:firstLine="1260"/>
        <w:spacing w:after="0" w:line="255" w:lineRule="auto"/>
        <w:tabs>
          <w:tab w:leader="none" w:pos="2328" w:val="left"/>
        </w:tabs>
        <w:numPr>
          <w:ilvl w:val="2"/>
          <w:numId w:val="73"/>
        </w:numPr>
        <w:rPr>
          <w:rFonts w:ascii="Arial" w:cs="Arial" w:eastAsia="Arial" w:hAnsi="Arial"/>
          <w:sz w:val="19"/>
          <w:szCs w:val="19"/>
          <w:color w:val="auto"/>
        </w:rPr>
      </w:pPr>
      <w:r>
        <w:rPr>
          <w:rFonts w:ascii="Arial" w:cs="Arial" w:eastAsia="Arial" w:hAnsi="Arial"/>
          <w:sz w:val="19"/>
          <w:szCs w:val="19"/>
          <w:color w:val="auto"/>
        </w:rPr>
        <w:t>In the event of a merger of a Peer Company with or by an entity that is not a Peer Company, or the acquisition or business combination transaction of a Peer Company with an entity that is not a Peer Company, in each case, where the Peer Company is the surviving entity, the surviving entity shall remain a Peer Company, provided that the surviving entity is still in the same GICS Sub-Industry as Price Group.</w:t>
      </w:r>
    </w:p>
    <w:p>
      <w:pPr>
        <w:spacing w:after="0" w:line="205" w:lineRule="exact"/>
        <w:rPr>
          <w:rFonts w:ascii="Arial" w:cs="Arial" w:eastAsia="Arial" w:hAnsi="Arial"/>
          <w:sz w:val="19"/>
          <w:szCs w:val="19"/>
          <w:color w:val="auto"/>
        </w:rPr>
      </w:pPr>
    </w:p>
    <w:p>
      <w:pPr>
        <w:ind w:left="640" w:firstLine="1260"/>
        <w:spacing w:after="0" w:line="255" w:lineRule="auto"/>
        <w:tabs>
          <w:tab w:leader="none" w:pos="2338" w:val="left"/>
        </w:tabs>
        <w:numPr>
          <w:ilvl w:val="2"/>
          <w:numId w:val="73"/>
        </w:numPr>
        <w:rPr>
          <w:rFonts w:ascii="Arial" w:cs="Arial" w:eastAsia="Arial" w:hAnsi="Arial"/>
          <w:sz w:val="19"/>
          <w:szCs w:val="19"/>
          <w:color w:val="auto"/>
        </w:rPr>
      </w:pPr>
      <w:r>
        <w:rPr>
          <w:rFonts w:ascii="Arial" w:cs="Arial" w:eastAsia="Arial" w:hAnsi="Arial"/>
          <w:sz w:val="19"/>
          <w:szCs w:val="19"/>
          <w:color w:val="auto"/>
        </w:rPr>
        <w:t>In the event of a merger or acquisition or business combination transaction of a Peer Company with or by an entity that is not a Peer Company, other form of “going private” transaction relating to any Peer Company or the liquidation of any Peer Company, where such Peer Company is not the surviving entity or is otherwise no longer publicly traded, the company shall no longer be a Peer Company.</w:t>
      </w:r>
    </w:p>
    <w:p>
      <w:pPr>
        <w:spacing w:after="0" w:line="205" w:lineRule="exact"/>
        <w:rPr>
          <w:rFonts w:ascii="Arial" w:cs="Arial" w:eastAsia="Arial" w:hAnsi="Arial"/>
          <w:sz w:val="19"/>
          <w:szCs w:val="19"/>
          <w:color w:val="auto"/>
        </w:rPr>
      </w:pPr>
    </w:p>
    <w:p>
      <w:pPr>
        <w:ind w:left="2300" w:hanging="400"/>
        <w:spacing w:after="0"/>
        <w:tabs>
          <w:tab w:leader="none" w:pos="2300" w:val="left"/>
        </w:tabs>
        <w:numPr>
          <w:ilvl w:val="2"/>
          <w:numId w:val="73"/>
        </w:numPr>
        <w:rPr>
          <w:rFonts w:ascii="Arial" w:cs="Arial" w:eastAsia="Arial" w:hAnsi="Arial"/>
          <w:sz w:val="19"/>
          <w:szCs w:val="19"/>
          <w:color w:val="auto"/>
        </w:rPr>
      </w:pPr>
      <w:r>
        <w:rPr>
          <w:rFonts w:ascii="Arial" w:cs="Arial" w:eastAsia="Arial" w:hAnsi="Arial"/>
          <w:sz w:val="19"/>
          <w:szCs w:val="19"/>
          <w:color w:val="auto"/>
        </w:rPr>
        <w:t>In the event of a bankruptcy of a Peer Company, such company shall remain a Peer Company.</w:t>
      </w:r>
    </w:p>
    <w:p>
      <w:pPr>
        <w:spacing w:after="0" w:line="205" w:lineRule="exact"/>
        <w:rPr>
          <w:rFonts w:ascii="Arial" w:cs="Arial" w:eastAsia="Arial" w:hAnsi="Arial"/>
          <w:sz w:val="19"/>
          <w:szCs w:val="19"/>
          <w:color w:val="auto"/>
        </w:rPr>
      </w:pPr>
    </w:p>
    <w:p>
      <w:pPr>
        <w:ind w:right="560" w:firstLine="1265"/>
        <w:spacing w:after="0" w:line="285" w:lineRule="auto"/>
        <w:tabs>
          <w:tab w:leader="none" w:pos="1667" w:val="left"/>
        </w:tabs>
        <w:numPr>
          <w:ilvl w:val="0"/>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Threshold</w:t>
      </w:r>
      <w:r>
        <w:rPr>
          <w:rFonts w:ascii="Arial" w:cs="Arial" w:eastAsia="Arial" w:hAnsi="Arial"/>
          <w:sz w:val="19"/>
          <w:szCs w:val="19"/>
          <w:color w:val="auto"/>
        </w:rPr>
        <w:t>” means the performance objective(s) set forth on the Notice, if any, which must be satisfied in order for any Stock Units to become vested, except as otherwise provided in this Agreement.</w:t>
      </w:r>
    </w:p>
    <w:p>
      <w:pPr>
        <w:spacing w:after="0" w:line="156" w:lineRule="exact"/>
        <w:rPr>
          <w:rFonts w:ascii="Arial" w:cs="Arial" w:eastAsia="Arial" w:hAnsi="Arial"/>
          <w:sz w:val="19"/>
          <w:szCs w:val="19"/>
          <w:color w:val="auto"/>
        </w:rPr>
      </w:pPr>
    </w:p>
    <w:p>
      <w:pPr>
        <w:ind w:left="1680" w:hanging="415"/>
        <w:spacing w:after="0"/>
        <w:tabs>
          <w:tab w:leader="none" w:pos="1680" w:val="left"/>
        </w:tabs>
        <w:numPr>
          <w:ilvl w:val="0"/>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Plan</w:t>
      </w:r>
      <w:r>
        <w:rPr>
          <w:rFonts w:ascii="Arial" w:cs="Arial" w:eastAsia="Arial" w:hAnsi="Arial"/>
          <w:sz w:val="19"/>
          <w:szCs w:val="19"/>
          <w:color w:val="auto"/>
        </w:rPr>
        <w:t>” means the T. Rowe Price Group, Inc. 2012 Long-Term Incentive Plan.</w:t>
      </w:r>
    </w:p>
    <w:p>
      <w:pPr>
        <w:spacing w:after="0" w:line="186" w:lineRule="exact"/>
        <w:rPr>
          <w:rFonts w:ascii="Arial" w:cs="Arial" w:eastAsia="Arial" w:hAnsi="Arial"/>
          <w:sz w:val="19"/>
          <w:szCs w:val="19"/>
          <w:color w:val="auto"/>
        </w:rPr>
      </w:pPr>
    </w:p>
    <w:p>
      <w:pPr>
        <w:ind w:left="1720" w:hanging="360"/>
        <w:spacing w:after="0"/>
        <w:tabs>
          <w:tab w:leader="none" w:pos="1720" w:val="left"/>
        </w:tabs>
        <w:numPr>
          <w:ilvl w:val="1"/>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Price Group</w:t>
      </w:r>
      <w:r>
        <w:rPr>
          <w:rFonts w:ascii="Arial" w:cs="Arial" w:eastAsia="Arial" w:hAnsi="Arial"/>
          <w:sz w:val="19"/>
          <w:szCs w:val="19"/>
          <w:color w:val="auto"/>
        </w:rPr>
        <w:t>” means T. Rowe Price Group, Inc.</w:t>
      </w:r>
    </w:p>
    <w:p>
      <w:pPr>
        <w:spacing w:after="0" w:line="227" w:lineRule="exact"/>
        <w:rPr>
          <w:rFonts w:ascii="Arial" w:cs="Arial" w:eastAsia="Arial" w:hAnsi="Arial"/>
          <w:sz w:val="19"/>
          <w:szCs w:val="19"/>
          <w:color w:val="auto"/>
        </w:rPr>
      </w:pPr>
    </w:p>
    <w:p>
      <w:pPr>
        <w:ind w:left="640" w:right="660" w:firstLine="720"/>
        <w:spacing w:after="0" w:line="315" w:lineRule="auto"/>
        <w:tabs>
          <w:tab w:leader="none" w:pos="1756"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Performance-Based Award</w:t>
      </w:r>
      <w:r>
        <w:rPr>
          <w:rFonts w:ascii="Arial" w:cs="Arial" w:eastAsia="Arial" w:hAnsi="Arial"/>
          <w:sz w:val="18"/>
          <w:szCs w:val="18"/>
          <w:color w:val="auto"/>
        </w:rPr>
        <w:t>” means a grant that is intended by the Executive Compensation Committee to qualify for the exemption from the limitation on deductibility imposed by Section 162(m)(4)(C) of the Code.</w:t>
      </w:r>
    </w:p>
    <w:p>
      <w:pPr>
        <w:spacing w:after="0" w:line="200" w:lineRule="exact"/>
        <w:rPr>
          <w:sz w:val="20"/>
          <w:szCs w:val="20"/>
          <w:color w:val="auto"/>
        </w:rPr>
      </w:pPr>
    </w:p>
    <w:p>
      <w:pPr>
        <w:spacing w:after="0" w:line="2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320" w:top="1054" w:right="259" w:bottom="1440" w:gutter="0" w:footer="0" w:header="0"/>
        </w:sectPr>
      </w:pPr>
    </w:p>
    <w:bookmarkStart w:id="88" w:name="page89"/>
    <w:bookmarkEnd w:id="88"/>
    <w:p>
      <w:pPr>
        <w:ind w:right="100" w:firstLine="1265"/>
        <w:spacing w:after="0" w:line="269" w:lineRule="auto"/>
        <w:tabs>
          <w:tab w:leader="none" w:pos="1614" w:val="left"/>
        </w:tabs>
        <w:numPr>
          <w:ilvl w:val="1"/>
          <w:numId w:val="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Service</w:t>
      </w:r>
      <w:r>
        <w:rPr>
          <w:rFonts w:ascii="Arial" w:cs="Arial" w:eastAsia="Arial" w:hAnsi="Arial"/>
          <w:sz w:val="19"/>
          <w:szCs w:val="19"/>
          <w:color w:val="auto"/>
        </w:rPr>
        <w:t>” means your employment with the Company. Your Service will be considered to have ceased with the Company if, immediately after a sale, merger or other corporate transaction, the trade, business or entity with which you are employed is not T. Rowe Price Group, Inc. or its successor or an Affiliate of T. Rowe Price Group, Inc. or its successor.</w:t>
      </w:r>
    </w:p>
    <w:p>
      <w:pPr>
        <w:spacing w:after="0" w:line="170" w:lineRule="exact"/>
        <w:rPr>
          <w:rFonts w:ascii="Arial" w:cs="Arial" w:eastAsia="Arial" w:hAnsi="Arial"/>
          <w:sz w:val="19"/>
          <w:szCs w:val="19"/>
          <w:color w:val="auto"/>
        </w:rPr>
      </w:pPr>
    </w:p>
    <w:p>
      <w:pPr>
        <w:ind w:right="40" w:firstLine="1265"/>
        <w:spacing w:after="0" w:line="290" w:lineRule="auto"/>
        <w:tabs>
          <w:tab w:leader="none" w:pos="1667"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Unit</w:t>
      </w:r>
      <w:r>
        <w:rPr>
          <w:rFonts w:ascii="Arial" w:cs="Arial" w:eastAsia="Arial" w:hAnsi="Arial"/>
          <w:sz w:val="18"/>
          <w:szCs w:val="18"/>
          <w:color w:val="auto"/>
        </w:rPr>
        <w:t>” means a bookkeeping entry used by the Company to record and account for the grant of a restricted stock unit until such time as such restricted stock unit is settled, forfeited or terminated, as the case may be. Each Stock Unit represents a contractual obligation of the Company to deliver one share of Common Stock to the holder upon vesting of the Stock Unit.</w:t>
      </w:r>
    </w:p>
    <w:p>
      <w:pPr>
        <w:spacing w:after="0" w:line="127" w:lineRule="exact"/>
        <w:rPr>
          <w:rFonts w:ascii="Arial" w:cs="Arial" w:eastAsia="Arial" w:hAnsi="Arial"/>
          <w:sz w:val="18"/>
          <w:szCs w:val="18"/>
          <w:color w:val="auto"/>
        </w:rPr>
      </w:pPr>
    </w:p>
    <w:p>
      <w:pPr>
        <w:ind w:right="20" w:firstLine="1265"/>
        <w:spacing w:after="0" w:line="258" w:lineRule="auto"/>
        <w:tabs>
          <w:tab w:leader="none" w:pos="1656" w:val="left"/>
        </w:tabs>
        <w:numPr>
          <w:ilvl w:val="1"/>
          <w:numId w:val="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Termination of Service</w:t>
      </w:r>
      <w:r>
        <w:rPr>
          <w:rFonts w:ascii="Arial" w:cs="Arial" w:eastAsia="Arial" w:hAnsi="Arial"/>
          <w:sz w:val="19"/>
          <w:szCs w:val="19"/>
          <w:color w:val="auto"/>
        </w:rPr>
        <w:t xml:space="preserve">” means the termination of your employment with the Company. Temporary absences from employment because of illness, vacation or leave of absence and transfers among entities that comprise the Company, including all Affiliates, shall not be considered Terminations of Service;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Committee has discretion to determine that a Termination of Service has occurred if, for six continuous months, you are absent or otherwise unable for any reason to perform substantially all the essential duties of your position, as determined by the Committee. The Committee has discretion to determine the date upon which you incur a Termination of Service.</w:t>
      </w:r>
    </w:p>
    <w:p>
      <w:pPr>
        <w:spacing w:after="0" w:line="184" w:lineRule="exact"/>
        <w:rPr>
          <w:rFonts w:ascii="Arial" w:cs="Arial" w:eastAsia="Arial" w:hAnsi="Arial"/>
          <w:sz w:val="19"/>
          <w:szCs w:val="19"/>
          <w:color w:val="auto"/>
        </w:rPr>
      </w:pPr>
    </w:p>
    <w:p>
      <w:pPr>
        <w:ind w:left="1700" w:hanging="435"/>
        <w:spacing w:after="0"/>
        <w:tabs>
          <w:tab w:leader="none" w:pos="1700" w:val="left"/>
        </w:tabs>
        <w:numPr>
          <w:ilvl w:val="1"/>
          <w:numId w:val="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Terms</w:t>
      </w:r>
      <w:r>
        <w:rPr>
          <w:rFonts w:ascii="Arial" w:cs="Arial" w:eastAsia="Arial" w:hAnsi="Arial"/>
          <w:sz w:val="19"/>
          <w:szCs w:val="19"/>
          <w:color w:val="auto"/>
        </w:rPr>
        <w:t>” mean this Statement of Additional Terms Regarding Awards of Restricted Stock Units.</w:t>
      </w:r>
    </w:p>
    <w:p>
      <w:pPr>
        <w:spacing w:after="0" w:line="227" w:lineRule="exact"/>
        <w:rPr>
          <w:rFonts w:ascii="Arial" w:cs="Arial" w:eastAsia="Arial" w:hAnsi="Arial"/>
          <w:sz w:val="19"/>
          <w:szCs w:val="19"/>
          <w:color w:val="auto"/>
        </w:rPr>
      </w:pPr>
    </w:p>
    <w:p>
      <w:pPr>
        <w:ind w:right="180" w:firstLine="1265"/>
        <w:spacing w:after="0" w:line="278" w:lineRule="auto"/>
        <w:tabs>
          <w:tab w:leader="none" w:pos="1656"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Total and Permanent Disability</w:t>
      </w:r>
      <w:r>
        <w:rPr>
          <w:rFonts w:ascii="Arial" w:cs="Arial" w:eastAsia="Arial" w:hAnsi="Arial"/>
          <w:sz w:val="18"/>
          <w:szCs w:val="18"/>
          <w:color w:val="auto"/>
        </w:rPr>
        <w:t>” means that you are (i) unable to engage in any substantial gainful activity by reason of any medically determinable physical or mental impairment that can be expected to last until your death or result in death, or</w:t>
      </w:r>
    </w:p>
    <w:p>
      <w:pPr>
        <w:spacing w:after="0" w:line="1" w:lineRule="exact"/>
        <w:rPr>
          <w:rFonts w:ascii="Arial" w:cs="Arial" w:eastAsia="Arial" w:hAnsi="Arial"/>
          <w:sz w:val="18"/>
          <w:szCs w:val="18"/>
          <w:color w:val="auto"/>
        </w:rPr>
      </w:pPr>
    </w:p>
    <w:p>
      <w:pPr>
        <w:ind w:firstLine="9"/>
        <w:spacing w:after="0" w:line="254" w:lineRule="auto"/>
        <w:tabs>
          <w:tab w:leader="none" w:pos="263" w:val="left"/>
        </w:tabs>
        <w:numPr>
          <w:ilvl w:val="0"/>
          <w:numId w:val="75"/>
        </w:numPr>
        <w:rPr>
          <w:rFonts w:ascii="Arial" w:cs="Arial" w:eastAsia="Arial" w:hAnsi="Arial"/>
          <w:sz w:val="19"/>
          <w:szCs w:val="19"/>
          <w:color w:val="auto"/>
        </w:rPr>
      </w:pPr>
      <w:r>
        <w:rPr>
          <w:rFonts w:ascii="Arial" w:cs="Arial" w:eastAsia="Arial" w:hAnsi="Arial"/>
          <w:sz w:val="19"/>
          <w:szCs w:val="19"/>
          <w:color w:val="auto"/>
        </w:rPr>
        <w:t>determined to be totally disabled by the Social Security Administration or other governmental or quasi-governmental body that administers a comparable social insurance program outside of the United States in which you participate and that conditions the right to receive benefits under such program on your being unable to engage in any substantial gainful activity by reason of any medically determinable physical or mental impairment that can be expected to last until your death or result in death. The Committee may require such medical or other evidence as it deems necessary to judge the nature and permanency of your condition.</w:t>
      </w:r>
    </w:p>
    <w:p>
      <w:pPr>
        <w:spacing w:after="0" w:line="185" w:lineRule="exact"/>
        <w:rPr>
          <w:rFonts w:ascii="Arial" w:cs="Arial" w:eastAsia="Arial" w:hAnsi="Arial"/>
          <w:sz w:val="19"/>
          <w:szCs w:val="19"/>
          <w:color w:val="auto"/>
        </w:rPr>
      </w:pPr>
    </w:p>
    <w:p>
      <w:pPr>
        <w:ind w:right="40" w:firstLine="1265"/>
        <w:spacing w:after="0" w:line="260" w:lineRule="auto"/>
        <w:tabs>
          <w:tab w:leader="none" w:pos="1656" w:val="left"/>
        </w:tabs>
        <w:numPr>
          <w:ilvl w:val="1"/>
          <w:numId w:val="7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You</w:t>
      </w:r>
      <w:r>
        <w:rPr>
          <w:rFonts w:ascii="Arial" w:cs="Arial" w:eastAsia="Arial" w:hAnsi="Arial"/>
          <w:sz w:val="19"/>
          <w:szCs w:val="19"/>
          <w:color w:val="auto"/>
        </w:rPr>
        <w:t>”; “</w:t>
      </w:r>
      <w:r>
        <w:rPr>
          <w:rFonts w:ascii="Arial" w:cs="Arial" w:eastAsia="Arial" w:hAnsi="Arial"/>
          <w:sz w:val="19"/>
          <w:szCs w:val="19"/>
          <w:b w:val="1"/>
          <w:bCs w:val="1"/>
          <w:i w:val="1"/>
          <w:iCs w:val="1"/>
          <w:color w:val="auto"/>
        </w:rPr>
        <w:t>Your</w:t>
      </w:r>
      <w:r>
        <w:rPr>
          <w:rFonts w:ascii="Arial" w:cs="Arial" w:eastAsia="Arial" w:hAnsi="Arial"/>
          <w:sz w:val="19"/>
          <w:szCs w:val="19"/>
          <w:color w:val="auto"/>
        </w:rPr>
        <w:t>”. You, whether or not capitalized, means the recipient of the Stock Units as reflected in the Notice. Whenever the word “you” or “your” is used in any provision of this Agreement under circumstances where the provision should logically be construed, as determined by the Committee, to apply to the estate, personal representative, or beneficiary to whom the Stock Units may be transferred by will or by the laws of descent and distribution, the words “you” and “your” shall be deemed to include such person.</w:t>
      </w:r>
    </w:p>
    <w:p>
      <w:pPr>
        <w:spacing w:after="0" w:line="183"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Appendix begins on next page</w:t>
      </w:r>
      <w:r>
        <w:rPr>
          <w:rFonts w:ascii="Arial" w:cs="Arial" w:eastAsia="Arial" w:hAnsi="Arial"/>
          <w:sz w:val="19"/>
          <w:szCs w:val="19"/>
          <w:color w:val="auto"/>
        </w:rPr>
        <w:t>}</w:t>
      </w:r>
    </w:p>
    <w:p>
      <w:pPr>
        <w:spacing w:after="0" w:line="200" w:lineRule="exact"/>
        <w:rPr>
          <w:sz w:val="20"/>
          <w:szCs w:val="20"/>
          <w:color w:val="auto"/>
        </w:rPr>
      </w:pP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320" w:top="1054" w:right="259" w:bottom="1440" w:gutter="0" w:footer="0" w:header="0"/>
        </w:sectPr>
      </w:pPr>
    </w:p>
    <w:bookmarkStart w:id="89" w:name="page90"/>
    <w:bookmarkEnd w:id="89"/>
    <w:p>
      <w:pPr>
        <w:jc w:val="right"/>
        <w:spacing w:after="0"/>
        <w:rPr>
          <w:sz w:val="20"/>
          <w:szCs w:val="20"/>
          <w:color w:val="auto"/>
        </w:rPr>
      </w:pPr>
      <w:r>
        <w:rPr>
          <w:rFonts w:ascii="Arial" w:cs="Arial" w:eastAsia="Arial" w:hAnsi="Arial"/>
          <w:sz w:val="19"/>
          <w:szCs w:val="19"/>
          <w:b w:val="1"/>
          <w:bCs w:val="1"/>
          <w:color w:val="auto"/>
        </w:rPr>
        <w:t>APPENDIX</w:t>
      </w:r>
    </w:p>
    <w:p>
      <w:pPr>
        <w:spacing w:after="0" w:line="200" w:lineRule="exact"/>
        <w:rPr>
          <w:sz w:val="20"/>
          <w:szCs w:val="20"/>
          <w:color w:val="auto"/>
        </w:rPr>
      </w:pPr>
    </w:p>
    <w:p>
      <w:pPr>
        <w:spacing w:after="0" w:line="230" w:lineRule="exact"/>
        <w:rPr>
          <w:sz w:val="20"/>
          <w:szCs w:val="20"/>
          <w:color w:val="auto"/>
        </w:rPr>
      </w:pPr>
    </w:p>
    <w:p>
      <w:pPr>
        <w:ind w:left="3240"/>
        <w:spacing w:after="0"/>
        <w:rPr>
          <w:sz w:val="20"/>
          <w:szCs w:val="20"/>
          <w:color w:val="auto"/>
        </w:rPr>
      </w:pPr>
      <w:r>
        <w:rPr>
          <w:rFonts w:ascii="Arial" w:cs="Arial" w:eastAsia="Arial" w:hAnsi="Arial"/>
          <w:sz w:val="19"/>
          <w:szCs w:val="19"/>
          <w:b w:val="1"/>
          <w:bCs w:val="1"/>
          <w:color w:val="auto"/>
        </w:rPr>
        <w:t>APPENDIX TO THE STATEMENT OF ADDITIONAL TERMS</w:t>
      </w:r>
    </w:p>
    <w:p>
      <w:pPr>
        <w:spacing w:after="0" w:line="33" w:lineRule="exact"/>
        <w:rPr>
          <w:sz w:val="20"/>
          <w:szCs w:val="20"/>
          <w:color w:val="auto"/>
        </w:rPr>
      </w:pPr>
    </w:p>
    <w:p>
      <w:pPr>
        <w:ind w:left="3820"/>
        <w:spacing w:after="0"/>
        <w:rPr>
          <w:sz w:val="20"/>
          <w:szCs w:val="20"/>
          <w:color w:val="auto"/>
        </w:rPr>
      </w:pPr>
      <w:r>
        <w:rPr>
          <w:rFonts w:ascii="Arial" w:cs="Arial" w:eastAsia="Arial" w:hAnsi="Arial"/>
          <w:sz w:val="19"/>
          <w:szCs w:val="19"/>
          <w:b w:val="1"/>
          <w:bCs w:val="1"/>
          <w:color w:val="auto"/>
        </w:rPr>
        <w:t xml:space="preserve">REGARDING AWARDS OF STOCK UNITS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VERSION 2B</w:t>
      </w:r>
      <w:r>
        <w:rPr>
          <w:rFonts w:ascii="Arial" w:cs="Arial" w:eastAsia="Arial" w:hAnsi="Arial"/>
          <w:sz w:val="17"/>
          <w:szCs w:val="17"/>
          <w:b w:val="1"/>
          <w:bCs w:val="1"/>
          <w:color w:val="auto"/>
        </w:rPr>
        <w:t>)</w:t>
      </w:r>
    </w:p>
    <w:p>
      <w:pPr>
        <w:spacing w:after="0" w:line="11" w:lineRule="exact"/>
        <w:rPr>
          <w:sz w:val="20"/>
          <w:szCs w:val="20"/>
          <w:color w:val="auto"/>
        </w:rPr>
      </w:pPr>
    </w:p>
    <w:p>
      <w:pPr>
        <w:ind w:left="5700"/>
        <w:spacing w:after="0"/>
        <w:rPr>
          <w:sz w:val="20"/>
          <w:szCs w:val="20"/>
          <w:color w:val="auto"/>
        </w:rPr>
      </w:pPr>
      <w:r>
        <w:rPr>
          <w:rFonts w:ascii="Arial" w:cs="Arial" w:eastAsia="Arial" w:hAnsi="Arial"/>
          <w:sz w:val="19"/>
          <w:szCs w:val="19"/>
          <w:b w:val="1"/>
          <w:bCs w:val="1"/>
          <w:color w:val="auto"/>
        </w:rPr>
        <w:t>UNDER THE</w:t>
      </w:r>
    </w:p>
    <w:p>
      <w:pPr>
        <w:ind w:left="3280"/>
        <w:spacing w:after="0"/>
        <w:rPr>
          <w:sz w:val="20"/>
          <w:szCs w:val="20"/>
          <w:color w:val="auto"/>
        </w:rPr>
      </w:pPr>
      <w:r>
        <w:rPr>
          <w:rFonts w:ascii="Arial" w:cs="Arial" w:eastAsia="Arial" w:hAnsi="Arial"/>
          <w:sz w:val="19"/>
          <w:szCs w:val="19"/>
          <w:b w:val="1"/>
          <w:bCs w:val="1"/>
          <w:color w:val="auto"/>
        </w:rPr>
        <w:t>T. ROWE PRICE GROUP, INC. 2012 LONG-TERM INCENTIVE PLAN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3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This Appendix includes additional terms and conditions that govern the Stock Units granted to you under the Plan if you reside in one of the countries listed below. Certain capitalized terms used but not defined in this Appendix have the meanings set forth in the Plan and/or the main body of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49"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This Appendix also includes information regarding exchange controls and certain other issues of which you should be aware with respect to your participation in the Plan. The information is based on the securities, exchange control and other laws in effect in the respective countries as of January 2015.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your Stock Units vest or you sell the shares of Common Stock acquired under the Plan.</w:t>
      </w:r>
    </w:p>
    <w:p>
      <w:pPr>
        <w:spacing w:after="0" w:line="206"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In addition, the information contained herein is general in nature and may not apply to your particular situation, and the Company is not in a position to assure you of any particular result. Accordingly, you are advised to seek appropriate professional advice as to how the relevant laws of your country may apply to your situation.</w:t>
      </w:r>
    </w:p>
    <w:p>
      <w:pPr>
        <w:spacing w:after="0" w:line="206" w:lineRule="exact"/>
        <w:rPr>
          <w:sz w:val="20"/>
          <w:szCs w:val="20"/>
          <w:color w:val="auto"/>
        </w:rPr>
      </w:pPr>
    </w:p>
    <w:p>
      <w:pPr>
        <w:jc w:val="both"/>
        <w:ind w:right="120"/>
        <w:spacing w:after="0" w:line="255" w:lineRule="auto"/>
        <w:rPr>
          <w:sz w:val="20"/>
          <w:szCs w:val="20"/>
          <w:color w:val="auto"/>
        </w:rPr>
      </w:pPr>
      <w:r>
        <w:rPr>
          <w:rFonts w:ascii="Arial" w:cs="Arial" w:eastAsia="Arial" w:hAnsi="Arial"/>
          <w:sz w:val="19"/>
          <w:szCs w:val="19"/>
          <w:color w:val="auto"/>
        </w:rPr>
        <w:t>Finally, if you are a citizen or resident of a country other than the one in which you are currently working or transfer to another country after the grant of the Stock Units, or you are considered a resident of another country for local law purposes, the information contained herein may not be applicable to you in the same manner. In addition, the Company shall, in its discretion, determine to what extent the terms and conditions contained herein shall apply to you under these circumstances.</w:t>
      </w:r>
    </w:p>
    <w:p>
      <w:pPr>
        <w:spacing w:after="0" w:line="155" w:lineRule="exact"/>
        <w:rPr>
          <w:sz w:val="20"/>
          <w:szCs w:val="20"/>
          <w:color w:val="auto"/>
        </w:rPr>
      </w:pPr>
    </w:p>
    <w:p>
      <w:pPr>
        <w:ind w:left="5700"/>
        <w:spacing w:after="0"/>
        <w:rPr>
          <w:sz w:val="20"/>
          <w:szCs w:val="20"/>
          <w:color w:val="auto"/>
        </w:rPr>
      </w:pPr>
      <w:r>
        <w:rPr>
          <w:rFonts w:ascii="Arial" w:cs="Arial" w:eastAsia="Arial" w:hAnsi="Arial"/>
          <w:sz w:val="19"/>
          <w:szCs w:val="19"/>
          <w:b w:val="1"/>
          <w:bCs w:val="1"/>
          <w:color w:val="auto"/>
        </w:rPr>
        <w:t>AUSTRALIA</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Notifications</w:t>
      </w:r>
    </w:p>
    <w:p>
      <w:pPr>
        <w:spacing w:after="0" w:line="224" w:lineRule="exact"/>
        <w:rPr>
          <w:sz w:val="20"/>
          <w:szCs w:val="20"/>
          <w:color w:val="auto"/>
        </w:rPr>
      </w:pPr>
    </w:p>
    <w:p>
      <w:pPr>
        <w:jc w:val="both"/>
        <w:ind w:right="160"/>
        <w:spacing w:after="0" w:line="256"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The offering and resale of shares of Common Stock acquired under the Plan to a person or entity resident in Australia may be subject to disclosure requirements under Australian law. You are encouraged to obtain legal advice regarding any applicable disclosure requirements prior to making any such offer.</w:t>
      </w:r>
    </w:p>
    <w:p>
      <w:pPr>
        <w:spacing w:after="0" w:line="200" w:lineRule="exact"/>
        <w:rPr>
          <w:sz w:val="20"/>
          <w:szCs w:val="20"/>
          <w:color w:val="auto"/>
        </w:rPr>
      </w:pPr>
    </w:p>
    <w:p>
      <w:pPr>
        <w:spacing w:after="0" w:line="36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320" w:top="1052" w:right="239" w:bottom="1440" w:gutter="0" w:footer="0" w:header="0"/>
        </w:sectPr>
      </w:pPr>
    </w:p>
    <w:bookmarkStart w:id="90" w:name="page91"/>
    <w:bookmarkEnd w:id="90"/>
    <w:p>
      <w:pPr>
        <w:ind w:left="5760"/>
        <w:spacing w:after="0"/>
        <w:rPr>
          <w:sz w:val="20"/>
          <w:szCs w:val="20"/>
          <w:color w:val="auto"/>
        </w:rPr>
      </w:pPr>
      <w:r>
        <w:rPr>
          <w:rFonts w:ascii="Arial" w:cs="Arial" w:eastAsia="Arial" w:hAnsi="Arial"/>
          <w:sz w:val="19"/>
          <w:szCs w:val="19"/>
          <w:b w:val="1"/>
          <w:bCs w:val="1"/>
          <w:color w:val="auto"/>
        </w:rPr>
        <w:t>DENMARK</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and Conditions</w:t>
      </w:r>
    </w:p>
    <w:p>
      <w:pPr>
        <w:spacing w:after="0" w:line="224" w:lineRule="exact"/>
        <w:rPr>
          <w:sz w:val="20"/>
          <w:szCs w:val="20"/>
          <w:color w:val="auto"/>
        </w:rPr>
      </w:pPr>
    </w:p>
    <w:p>
      <w:pPr>
        <w:ind w:right="100"/>
        <w:spacing w:after="0" w:line="255" w:lineRule="auto"/>
        <w:rPr>
          <w:sz w:val="20"/>
          <w:szCs w:val="20"/>
          <w:color w:val="auto"/>
        </w:rPr>
      </w:pPr>
      <w:r>
        <w:rPr>
          <w:rFonts w:ascii="Arial" w:cs="Arial" w:eastAsia="Arial" w:hAnsi="Arial"/>
          <w:sz w:val="19"/>
          <w:szCs w:val="19"/>
          <w:u w:val="single" w:color="auto"/>
          <w:color w:val="auto"/>
        </w:rPr>
        <w:t>Exchange Control/Tax Reporting Information</w:t>
      </w:r>
      <w:r>
        <w:rPr>
          <w:rFonts w:ascii="Arial" w:cs="Arial" w:eastAsia="Arial" w:hAnsi="Arial"/>
          <w:sz w:val="19"/>
          <w:szCs w:val="19"/>
          <w:color w:val="auto"/>
        </w:rPr>
        <w:t>. You understand and acknowledge that if you establish an account holding shares or an account holding cash outside Denmark, you may need to report such account to the Danish Tax Administration. You understand that you are encouraged to consult your personal tax and legal advisors on these and any other matters related to your participation in the Plan.</w:t>
      </w:r>
    </w:p>
    <w:p>
      <w:pPr>
        <w:spacing w:after="0" w:line="206"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u w:val="single" w:color="auto"/>
          <w:color w:val="auto"/>
        </w:rPr>
        <w:t>Statement under Section 3(1) of the Act on Stock Options</w:t>
      </w:r>
      <w:r>
        <w:rPr>
          <w:rFonts w:ascii="Arial" w:cs="Arial" w:eastAsia="Arial" w:hAnsi="Arial"/>
          <w:sz w:val="19"/>
          <w:szCs w:val="19"/>
          <w:color w:val="auto"/>
        </w:rPr>
        <w:t>. You understand that pursuant to Section 3(1) of the Act on Stock Options in employment relations (the "Stock Option Act"), you are entitled to receive information regarding the Plan in a separate written statement. The full statement containing the information about your rights under the Plan and the Stock Option Act is attached as a separate written statement provided at the same time as this Agreement.</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Notifications</w:t>
      </w:r>
    </w:p>
    <w:p>
      <w:pPr>
        <w:spacing w:after="0" w:line="238" w:lineRule="exact"/>
        <w:rPr>
          <w:sz w:val="20"/>
          <w:szCs w:val="20"/>
          <w:color w:val="auto"/>
        </w:rPr>
      </w:pPr>
    </w:p>
    <w:p>
      <w:pPr>
        <w:ind w:right="220"/>
        <w:spacing w:after="0" w:line="261" w:lineRule="auto"/>
        <w:rPr>
          <w:sz w:val="20"/>
          <w:szCs w:val="20"/>
          <w:color w:val="auto"/>
        </w:rPr>
      </w:pPr>
      <w:r>
        <w:rPr>
          <w:rFonts w:ascii="Arial" w:cs="Arial" w:eastAsia="Arial" w:hAnsi="Arial"/>
          <w:sz w:val="19"/>
          <w:szCs w:val="19"/>
          <w:u w:val="single" w:color="auto"/>
          <w:color w:val="auto"/>
        </w:rPr>
        <w:t>Securities Disclaimer</w:t>
      </w:r>
      <w:r>
        <w:rPr>
          <w:rFonts w:ascii="Arial" w:cs="Arial" w:eastAsia="Arial" w:hAnsi="Arial"/>
          <w:sz w:val="19"/>
          <w:szCs w:val="19"/>
          <w:color w:val="auto"/>
        </w:rPr>
        <w:t>. The grant of Stock Units under the Plan is exempt from the requirement to publish a prospectus under the EU Prospectus Directive as implemented in Denmark.</w:t>
      </w:r>
    </w:p>
    <w:p>
      <w:pPr>
        <w:spacing w:after="0" w:line="176" w:lineRule="exact"/>
        <w:rPr>
          <w:sz w:val="20"/>
          <w:szCs w:val="20"/>
          <w:color w:val="auto"/>
        </w:rPr>
      </w:pPr>
    </w:p>
    <w:p>
      <w:pPr>
        <w:ind w:left="5840"/>
        <w:spacing w:after="0"/>
        <w:rPr>
          <w:sz w:val="20"/>
          <w:szCs w:val="20"/>
          <w:color w:val="auto"/>
        </w:rPr>
      </w:pPr>
      <w:r>
        <w:rPr>
          <w:rFonts w:ascii="Arial" w:cs="Arial" w:eastAsia="Arial" w:hAnsi="Arial"/>
          <w:sz w:val="19"/>
          <w:szCs w:val="19"/>
          <w:b w:val="1"/>
          <w:bCs w:val="1"/>
          <w:color w:val="auto"/>
        </w:rPr>
        <w:t>CANADA</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and Conditions</w:t>
      </w:r>
    </w:p>
    <w:p>
      <w:pPr>
        <w:spacing w:after="0" w:line="251" w:lineRule="exact"/>
        <w:rPr>
          <w:sz w:val="20"/>
          <w:szCs w:val="20"/>
          <w:color w:val="auto"/>
        </w:rPr>
      </w:pPr>
    </w:p>
    <w:p>
      <w:pPr>
        <w:ind w:right="240"/>
        <w:spacing w:after="0" w:line="289" w:lineRule="auto"/>
        <w:rPr>
          <w:sz w:val="20"/>
          <w:szCs w:val="20"/>
          <w:color w:val="auto"/>
        </w:rPr>
      </w:pPr>
      <w:r>
        <w:rPr>
          <w:rFonts w:ascii="Arial" w:cs="Arial" w:eastAsia="Arial" w:hAnsi="Arial"/>
          <w:sz w:val="18"/>
          <w:szCs w:val="18"/>
          <w:u w:val="single" w:color="auto"/>
          <w:color w:val="auto"/>
        </w:rPr>
        <w:t>Language Consent</w:t>
      </w:r>
      <w:r>
        <w:rPr>
          <w:rFonts w:ascii="Arial" w:cs="Arial" w:eastAsia="Arial" w:hAnsi="Arial"/>
          <w:sz w:val="18"/>
          <w:szCs w:val="18"/>
          <w:color w:val="auto"/>
        </w:rPr>
        <w:t>. 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157" w:lineRule="exact"/>
        <w:rPr>
          <w:sz w:val="20"/>
          <w:szCs w:val="20"/>
          <w:color w:val="auto"/>
        </w:rPr>
      </w:pPr>
    </w:p>
    <w:p>
      <w:pPr>
        <w:spacing w:after="0" w:line="267" w:lineRule="auto"/>
        <w:rPr>
          <w:sz w:val="20"/>
          <w:szCs w:val="20"/>
          <w:color w:val="auto"/>
        </w:rPr>
      </w:pPr>
      <w:r>
        <w:rPr>
          <w:rFonts w:ascii="Arial" w:cs="Arial" w:eastAsia="Arial" w:hAnsi="Arial"/>
          <w:sz w:val="19"/>
          <w:szCs w:val="19"/>
          <w:i w:val="1"/>
          <w:iCs w:val="1"/>
          <w:color w:val="auto"/>
        </w:rPr>
        <w:t>Les parties reconnaissent avoir expressement souhaité que la convention [“Agreement”], ainsi que tous les documents, avis et procédures judiciaries, éxecutés, donnés ou intentés en vertu de, ou lié, directement ou indirectement à la présente convention, soient rédigés en langue anglaise.</w:t>
      </w:r>
    </w:p>
    <w:p>
      <w:pPr>
        <w:spacing w:after="0" w:line="158" w:lineRule="exact"/>
        <w:rPr>
          <w:sz w:val="20"/>
          <w:szCs w:val="20"/>
          <w:color w:val="auto"/>
        </w:rPr>
      </w:pPr>
    </w:p>
    <w:p>
      <w:pPr>
        <w:ind w:left="5760"/>
        <w:spacing w:after="0"/>
        <w:rPr>
          <w:sz w:val="20"/>
          <w:szCs w:val="20"/>
          <w:color w:val="auto"/>
        </w:rPr>
      </w:pPr>
      <w:r>
        <w:rPr>
          <w:rFonts w:ascii="Arial" w:cs="Arial" w:eastAsia="Arial" w:hAnsi="Arial"/>
          <w:sz w:val="19"/>
          <w:szCs w:val="19"/>
          <w:b w:val="1"/>
          <w:bCs w:val="1"/>
          <w:color w:val="auto"/>
        </w:rPr>
        <w:t>GERMANY</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Notifications</w:t>
      </w:r>
    </w:p>
    <w:p>
      <w:pPr>
        <w:spacing w:after="0" w:line="224"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If you remit proceeds in excess of €12,500 out of or into Germany, such cross-border payment must be reported monthly to the State Central Bank. In the event that you make or receive a payment in excess of this amount, you are responsible for obtaining the appropriate form from a German bank and complying with applicable reporting requirements. In addition, you must also report on an annual basis in the unlikely event that you hold shares of Common Stock exceeding 10% of the total voting capital of the Company.</w:t>
      </w:r>
    </w:p>
    <w:p>
      <w:pPr>
        <w:spacing w:after="0" w:line="208" w:lineRule="exact"/>
        <w:rPr>
          <w:sz w:val="20"/>
          <w:szCs w:val="20"/>
          <w:color w:val="auto"/>
        </w:rPr>
      </w:pPr>
    </w:p>
    <w:p>
      <w:pPr>
        <w:ind w:right="160"/>
        <w:spacing w:after="0" w:line="261" w:lineRule="auto"/>
        <w:rPr>
          <w:sz w:val="20"/>
          <w:szCs w:val="20"/>
          <w:color w:val="auto"/>
        </w:rPr>
      </w:pPr>
      <w:r>
        <w:rPr>
          <w:rFonts w:ascii="Arial" w:cs="Arial" w:eastAsia="Arial" w:hAnsi="Arial"/>
          <w:sz w:val="19"/>
          <w:szCs w:val="19"/>
          <w:u w:val="single" w:color="auto"/>
          <w:color w:val="auto"/>
        </w:rPr>
        <w:t>Securities Disclaimer</w:t>
      </w:r>
      <w:r>
        <w:rPr>
          <w:rFonts w:ascii="Arial" w:cs="Arial" w:eastAsia="Arial" w:hAnsi="Arial"/>
          <w:sz w:val="19"/>
          <w:szCs w:val="19"/>
          <w:color w:val="auto"/>
        </w:rPr>
        <w:t>. The participation in the Plan is exempt or excluded from the requirement to publish a prospectus under the EU Prospectus Directive as implemented in Germany.</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52" w:right="339" w:bottom="1440" w:gutter="0" w:footer="0" w:header="0"/>
        </w:sectPr>
      </w:pPr>
    </w:p>
    <w:bookmarkStart w:id="91" w:name="page92"/>
    <w:bookmarkEnd w:id="91"/>
    <w:p>
      <w:pPr>
        <w:ind w:left="5640"/>
        <w:spacing w:after="0"/>
        <w:rPr>
          <w:sz w:val="20"/>
          <w:szCs w:val="20"/>
          <w:color w:val="auto"/>
        </w:rPr>
      </w:pPr>
      <w:r>
        <w:rPr>
          <w:rFonts w:ascii="Arial" w:cs="Arial" w:eastAsia="Arial" w:hAnsi="Arial"/>
          <w:sz w:val="19"/>
          <w:szCs w:val="19"/>
          <w:b w:val="1"/>
          <w:bCs w:val="1"/>
          <w:color w:val="auto"/>
        </w:rPr>
        <w:t>HONG KONG</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w:t>
      </w:r>
    </w:p>
    <w:p>
      <w:pPr>
        <w:spacing w:after="0" w:line="224" w:lineRule="exact"/>
        <w:rPr>
          <w:sz w:val="20"/>
          <w:szCs w:val="20"/>
          <w:color w:val="auto"/>
        </w:rPr>
      </w:pPr>
    </w:p>
    <w:p>
      <w:pPr>
        <w:ind w:right="120"/>
        <w:spacing w:after="0" w:line="253" w:lineRule="auto"/>
        <w:rPr>
          <w:sz w:val="20"/>
          <w:szCs w:val="20"/>
          <w:color w:val="auto"/>
        </w:rPr>
      </w:pPr>
      <w:r>
        <w:rPr>
          <w:rFonts w:ascii="Arial" w:cs="Arial" w:eastAsia="Arial" w:hAnsi="Arial"/>
          <w:sz w:val="19"/>
          <w:szCs w:val="19"/>
          <w:u w:val="single" w:color="auto"/>
          <w:color w:val="auto"/>
        </w:rPr>
        <w:t>Securities Law Notice</w:t>
      </w:r>
      <w:r>
        <w:rPr>
          <w:rFonts w:ascii="Arial" w:cs="Arial" w:eastAsia="Arial" w:hAnsi="Arial"/>
          <w:sz w:val="19"/>
          <w:szCs w:val="19"/>
          <w:color w:val="auto"/>
        </w:rPr>
        <w:t>. Neither the Stock Units nor the shares of Common Stock issued upon vesting of the Stock Units constitute a public offering of securities under Hong Kong law and are available only to employees of the Company. The Agreement, including this Appendix,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Stock Units are intended only for the personal use of each eligible employee of the Company or its subsidiaries and may not be distributed to any other person. If you are in any doubt about any of the contents of the Agreement, including this Appendix, or the Plan, you should obtain independent professional advice.</w:t>
      </w:r>
    </w:p>
    <w:p>
      <w:pPr>
        <w:spacing w:after="0" w:line="187" w:lineRule="exact"/>
        <w:rPr>
          <w:sz w:val="20"/>
          <w:szCs w:val="20"/>
          <w:color w:val="auto"/>
        </w:rPr>
      </w:pPr>
    </w:p>
    <w:p>
      <w:pPr>
        <w:ind w:left="5980"/>
        <w:spacing w:after="0"/>
        <w:rPr>
          <w:sz w:val="20"/>
          <w:szCs w:val="20"/>
          <w:color w:val="auto"/>
        </w:rPr>
      </w:pPr>
      <w:r>
        <w:rPr>
          <w:rFonts w:ascii="Arial" w:cs="Arial" w:eastAsia="Arial" w:hAnsi="Arial"/>
          <w:sz w:val="19"/>
          <w:szCs w:val="19"/>
          <w:b w:val="1"/>
          <w:bCs w:val="1"/>
          <w:color w:val="auto"/>
        </w:rPr>
        <w:t>ITALY</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and Conditions</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Authorization to Release and Transfer Necessary Personal Information</w:t>
      </w:r>
      <w:r>
        <w:rPr>
          <w:rFonts w:ascii="Arial" w:cs="Arial" w:eastAsia="Arial" w:hAnsi="Arial"/>
          <w:sz w:val="19"/>
          <w:szCs w:val="19"/>
          <w:color w:val="auto"/>
        </w:rPr>
        <w:t>. This provision replaces in its entirety Section 25 of the Terms:</w:t>
      </w:r>
    </w:p>
    <w:p>
      <w:pPr>
        <w:spacing w:after="0" w:line="214"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You understand that your employer (the "Employer") and/or the Company may hold certain personal information about you, including, but not limited to, your name, home address and telephone number, date of birth, social security number (or any other social or national identification number), salary, nationality, job title, number of shares held and the details of all Stock Units granted or any other entitlement to shares awarded, cancelled, vested, unvested or outstanding (the "Data") for the purpose of implementing, administering and managing your participation in the Plan. You are aware that providing the Company with your Data is necessary for the performance of this Agreement and that your refusal to provide such Data would make it impossible for the Company The data Controller, the Milan Branch of T. Rowe Price International, Limited, with offices at Torino 2, 20123 Milan, Italy, and pursuant to D.lgs 196/2003 appoints both T. Rowe Price Group, Inc. and T. Rowe Price Associates, Inc. as the Co-Controllers and Processors of the personal data for the purposes described herein. You understand that the Data may be transferred to the Company or any of its subsidiaries or affiliates, or to any third parties assisting in the implementation, administration and management of the Plan, including any transfer required to a broker or other third party with whom shares acquired pursuant to the vesting or exercise of the Options or cash from the sale of such shares may be deposited. Furthermore, the recipients that may receive, possess, use, retain and transfer such Data for the above mentioned purposes may be located in Italy or elsewhere, including outside of the European Union and that the recipients' country (e.g., the United States) may have different data privacy laws and protections than your country. The processing activity, including the transfer of your personal data abroad, outside of the European Union, as herein specified and pursuant to applicable laws and regulations, does not require your consent thereto as the processing is necessary for the performance of contractual obligations related to the implementation, administration and management of the Plan. You understand that Data processing relating to the purposes above specified shall take place under automated or non-automated conditions, anonymously when possible, that comply with the purposes for which Data are collected and with confidentiality and security provisions as set forth by applicable laws and regulations, with specific reference to D.lgs. 196/2003.</w:t>
      </w:r>
    </w:p>
    <w:p>
      <w:pPr>
        <w:spacing w:after="0" w:line="200" w:lineRule="exact"/>
        <w:rPr>
          <w:sz w:val="20"/>
          <w:szCs w:val="20"/>
          <w:color w:val="auto"/>
        </w:rPr>
      </w:pP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320" w:top="1052" w:right="259" w:bottom="1440" w:gutter="0" w:footer="0" w:header="0"/>
        </w:sectPr>
      </w:pPr>
    </w:p>
    <w:bookmarkStart w:id="92" w:name="page93"/>
    <w:bookmarkEnd w:id="92"/>
    <w:p>
      <w:pPr>
        <w:ind w:right="340"/>
        <w:spacing w:after="0" w:line="252" w:lineRule="auto"/>
        <w:rPr>
          <w:sz w:val="20"/>
          <w:szCs w:val="20"/>
          <w:color w:val="auto"/>
        </w:rPr>
      </w:pPr>
      <w:r>
        <w:rPr>
          <w:rFonts w:ascii="Arial" w:cs="Arial" w:eastAsia="Arial" w:hAnsi="Arial"/>
          <w:sz w:val="19"/>
          <w:szCs w:val="19"/>
          <w:color w:val="auto"/>
        </w:rPr>
        <w:t>You understand that Data will be held only as long as is required by law or as necessary to implement, administer and manage your participation in the Plan. You understand that pursuant to art. 7 of D.Igs 196/2003, you have the right, including but not limited to, access, delete, update, request the rectification of your Data and cease, for legitimate reasons, the Data processing.</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9"/>
          <w:szCs w:val="19"/>
          <w:color w:val="auto"/>
        </w:rPr>
        <w:t>Furthermore, you are aware that your Data will not be used for direct marketing purposes. In addition, the Data provided can be reviewed and questions or complaints can be addressed by contacting a local representative available at the following address: 100 E. Pratt Street, Baltimore, Maryland 21202.</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19"/>
          <w:szCs w:val="19"/>
          <w:u w:val="single" w:color="auto"/>
          <w:color w:val="auto"/>
        </w:rPr>
        <w:t>Plan Document Acknowledgment</w:t>
      </w:r>
      <w:r>
        <w:rPr>
          <w:rFonts w:ascii="Arial" w:cs="Arial" w:eastAsia="Arial" w:hAnsi="Arial"/>
          <w:sz w:val="19"/>
          <w:szCs w:val="19"/>
          <w:color w:val="auto"/>
        </w:rPr>
        <w:t>. In accepting the Stock Units, you acknowledge that you have received a copy of the Plan and the Agreement and have reviewed the Plan and the Agreement, including this Appendix, in their entirety and fully understand and accept all provisions of the Plan and the Agreement, including this Appendix.</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Notifications</w:t>
      </w:r>
    </w:p>
    <w:p>
      <w:pPr>
        <w:spacing w:after="0" w:line="238"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You are required to report in your annual tax return: (a) any transfers of cash or shares to or from Italy exceeding €10,000 or the equivalent amount in U.S. dollars; and (b) any foreign investments or investments (including proceeds from the sale of shares of Common Stock acquired under the Plan) held outside of Italy exceeding €10,000 or the equivalent amount in U.S. dollars, if the investment may give rise to income in Italy. You are exempt from the formalities in (a) if the investments are made through an authorized broker resident in Italy, as the broker will comply with the reporting obligation on your behalf.</w:t>
      </w:r>
    </w:p>
    <w:p>
      <w:pPr>
        <w:spacing w:after="0" w:line="208" w:lineRule="exact"/>
        <w:rPr>
          <w:sz w:val="20"/>
          <w:szCs w:val="20"/>
          <w:color w:val="auto"/>
        </w:rPr>
      </w:pPr>
    </w:p>
    <w:p>
      <w:pPr>
        <w:ind w:right="260"/>
        <w:spacing w:after="0" w:line="261" w:lineRule="auto"/>
        <w:rPr>
          <w:sz w:val="20"/>
          <w:szCs w:val="20"/>
          <w:color w:val="auto"/>
        </w:rPr>
      </w:pPr>
      <w:r>
        <w:rPr>
          <w:rFonts w:ascii="Arial" w:cs="Arial" w:eastAsia="Arial" w:hAnsi="Arial"/>
          <w:sz w:val="19"/>
          <w:szCs w:val="19"/>
          <w:u w:val="single" w:color="auto"/>
          <w:color w:val="auto"/>
        </w:rPr>
        <w:t>Securities Disclaimer.</w:t>
      </w:r>
      <w:r>
        <w:rPr>
          <w:rFonts w:ascii="Arial" w:cs="Arial" w:eastAsia="Arial" w:hAnsi="Arial"/>
          <w:sz w:val="19"/>
          <w:szCs w:val="19"/>
          <w:color w:val="auto"/>
        </w:rPr>
        <w:t xml:space="preserve"> The grant of the Stock Units is exempt or excluded from the requirement to publish a prospectus under the EU Prospectus Directive as implemented in Italy.</w:t>
      </w:r>
    </w:p>
    <w:p>
      <w:pPr>
        <w:spacing w:after="0" w:line="176" w:lineRule="exact"/>
        <w:rPr>
          <w:sz w:val="20"/>
          <w:szCs w:val="20"/>
          <w:color w:val="auto"/>
        </w:rPr>
      </w:pPr>
    </w:p>
    <w:p>
      <w:pPr>
        <w:ind w:left="5920"/>
        <w:spacing w:after="0"/>
        <w:rPr>
          <w:sz w:val="20"/>
          <w:szCs w:val="20"/>
          <w:color w:val="auto"/>
        </w:rPr>
      </w:pPr>
      <w:r>
        <w:rPr>
          <w:rFonts w:ascii="Arial" w:cs="Arial" w:eastAsia="Arial" w:hAnsi="Arial"/>
          <w:sz w:val="19"/>
          <w:szCs w:val="19"/>
          <w:b w:val="1"/>
          <w:bCs w:val="1"/>
          <w:color w:val="auto"/>
        </w:rPr>
        <w:t>JAPAN</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Notifications</w:t>
      </w:r>
    </w:p>
    <w:p>
      <w:pPr>
        <w:spacing w:after="0" w:line="238" w:lineRule="exact"/>
        <w:rPr>
          <w:sz w:val="20"/>
          <w:szCs w:val="20"/>
          <w:color w:val="auto"/>
        </w:rPr>
      </w:pPr>
    </w:p>
    <w:p>
      <w:pPr>
        <w:ind w:right="300"/>
        <w:spacing w:after="0" w:line="252" w:lineRule="auto"/>
        <w:rPr>
          <w:sz w:val="20"/>
          <w:szCs w:val="20"/>
          <w:color w:val="auto"/>
        </w:rPr>
      </w:pPr>
      <w:r>
        <w:rPr>
          <w:rFonts w:ascii="Arial" w:cs="Arial" w:eastAsia="Arial" w:hAnsi="Arial"/>
          <w:sz w:val="19"/>
          <w:szCs w:val="19"/>
          <w:u w:val="single" w:color="auto"/>
          <w:color w:val="auto"/>
        </w:rPr>
        <w:t>Offshore Assets Reporting</w:t>
      </w:r>
      <w:r>
        <w:rPr>
          <w:rFonts w:ascii="Arial" w:cs="Arial" w:eastAsia="Arial" w:hAnsi="Arial"/>
          <w:sz w:val="19"/>
          <w:szCs w:val="19"/>
          <w:color w:val="auto"/>
        </w:rPr>
        <w:t>. You are required to report details of any assets held outside of Japan as of December 31</w:t>
      </w:r>
      <w:r>
        <w:rPr>
          <w:rFonts w:ascii="Arial" w:cs="Arial" w:eastAsia="Arial" w:hAnsi="Arial"/>
          <w:sz w:val="15"/>
          <w:szCs w:val="15"/>
          <w:color w:val="auto"/>
        </w:rPr>
        <w:t>st</w:t>
      </w:r>
      <w:r>
        <w:rPr>
          <w:rFonts w:ascii="Arial" w:cs="Arial" w:eastAsia="Arial" w:hAnsi="Arial"/>
          <w:sz w:val="19"/>
          <w:szCs w:val="19"/>
          <w:color w:val="auto"/>
        </w:rPr>
        <w:t xml:space="preserve"> (including but not limited to any shares of Common Stock acquired under the Plan), to the extent such assets have a total net fair market value exceeding</w:t>
      </w:r>
    </w:p>
    <w:p>
      <w:pPr>
        <w:spacing w:after="0" w:line="1" w:lineRule="exact"/>
        <w:rPr>
          <w:sz w:val="20"/>
          <w:szCs w:val="20"/>
          <w:color w:val="auto"/>
        </w:rPr>
      </w:pPr>
    </w:p>
    <w:p>
      <w:pPr>
        <w:jc w:val="both"/>
        <w:ind w:right="720"/>
        <w:spacing w:after="0" w:line="256" w:lineRule="auto"/>
        <w:rPr>
          <w:sz w:val="20"/>
          <w:szCs w:val="20"/>
          <w:color w:val="auto"/>
        </w:rPr>
      </w:pPr>
      <w:r>
        <w:rPr>
          <w:rFonts w:ascii="Arial" w:cs="Arial" w:eastAsia="Arial" w:hAnsi="Arial"/>
          <w:sz w:val="19"/>
          <w:szCs w:val="19"/>
          <w:color w:val="auto"/>
        </w:rPr>
        <w:t>¥50,000,000. Such report is due by March 15th each year. You should consult with your personal tax advisor as to whether the reporting obligation applies to you and whether you will be required to report details of any outstanding Stock Units or shares of Common Stock held by you in the report.</w:t>
      </w:r>
    </w:p>
    <w:p>
      <w:pPr>
        <w:spacing w:after="0" w:line="155" w:lineRule="exact"/>
        <w:rPr>
          <w:sz w:val="20"/>
          <w:szCs w:val="20"/>
          <w:color w:val="auto"/>
        </w:rPr>
      </w:pPr>
    </w:p>
    <w:p>
      <w:pPr>
        <w:ind w:left="5560"/>
        <w:spacing w:after="0"/>
        <w:rPr>
          <w:sz w:val="20"/>
          <w:szCs w:val="20"/>
          <w:color w:val="auto"/>
        </w:rPr>
      </w:pPr>
      <w:r>
        <w:rPr>
          <w:rFonts w:ascii="Arial" w:cs="Arial" w:eastAsia="Arial" w:hAnsi="Arial"/>
          <w:sz w:val="19"/>
          <w:szCs w:val="19"/>
          <w:b w:val="1"/>
          <w:bCs w:val="1"/>
          <w:color w:val="auto"/>
        </w:rPr>
        <w:t>LUXEMBOURG</w:t>
      </w: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color w:val="auto"/>
        </w:rPr>
        <w:t>No country-specific terms or conditions.</w:t>
      </w:r>
    </w:p>
    <w:p>
      <w:pPr>
        <w:spacing w:after="0" w:line="190" w:lineRule="exact"/>
        <w:rPr>
          <w:sz w:val="20"/>
          <w:szCs w:val="20"/>
          <w:color w:val="auto"/>
        </w:rPr>
      </w:pPr>
    </w:p>
    <w:p>
      <w:pPr>
        <w:ind w:left="5520"/>
        <w:spacing w:after="0"/>
        <w:rPr>
          <w:sz w:val="20"/>
          <w:szCs w:val="20"/>
          <w:color w:val="auto"/>
        </w:rPr>
      </w:pPr>
      <w:r>
        <w:rPr>
          <w:rFonts w:ascii="Arial" w:cs="Arial" w:eastAsia="Arial" w:hAnsi="Arial"/>
          <w:sz w:val="19"/>
          <w:szCs w:val="19"/>
          <w:b w:val="1"/>
          <w:bCs w:val="1"/>
          <w:color w:val="auto"/>
        </w:rPr>
        <w:t>NETHERLANDS</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Notifications</w:t>
      </w:r>
    </w:p>
    <w:p>
      <w:pPr>
        <w:spacing w:after="0" w:line="238"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You should be aware of the Dutch insider trading rules, which may affect the sale of shares of Common Stock acquired under the Plan. In particular, you may be prohibited from effecting certain share transactions if you have insider information regarding the Company. Below is a</w:t>
      </w:r>
    </w:p>
    <w:p>
      <w:pPr>
        <w:spacing w:after="0" w:line="200" w:lineRule="exact"/>
        <w:rPr>
          <w:sz w:val="20"/>
          <w:szCs w:val="20"/>
          <w:color w:val="auto"/>
        </w:rPr>
      </w:pPr>
    </w:p>
    <w:p>
      <w:pPr>
        <w:spacing w:after="0" w:line="36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320" w:top="1076" w:right="239" w:bottom="1440" w:gutter="0" w:footer="0" w:header="0"/>
        </w:sectPr>
      </w:pPr>
    </w:p>
    <w:bookmarkStart w:id="93" w:name="page94"/>
    <w:bookmarkEnd w:id="93"/>
    <w:p>
      <w:pPr>
        <w:ind w:right="220"/>
        <w:spacing w:after="0" w:line="255" w:lineRule="auto"/>
        <w:rPr>
          <w:sz w:val="20"/>
          <w:szCs w:val="20"/>
          <w:color w:val="auto"/>
        </w:rPr>
      </w:pPr>
      <w:r>
        <w:rPr>
          <w:rFonts w:ascii="Arial" w:cs="Arial" w:eastAsia="Arial" w:hAnsi="Arial"/>
          <w:sz w:val="19"/>
          <w:szCs w:val="19"/>
          <w:color w:val="auto"/>
        </w:rPr>
        <w:t>discussion of the applicable restrictions. You are advised to read the discussion carefully to determine whether the insider rules could apply to you. If it is uncertain whether the insider rules apply, the Company recommends that you consult with a legal advisor. The Company cannot be held liable if you violate the Dutch insider trading rules. You are responsible for ensuring your compliance with these rules.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Prohibition Against Insider Trading</w:t>
      </w:r>
    </w:p>
    <w:p>
      <w:pPr>
        <w:spacing w:after="0" w:line="214"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Dutch securities laws prohibit insider trading. The regulations are based upon the European Market Abuse Directive and are stated in section 5:56 of the Dutch Financial Supervision Act (</w:t>
      </w:r>
      <w:r>
        <w:rPr>
          <w:rFonts w:ascii="Arial" w:cs="Arial" w:eastAsia="Arial" w:hAnsi="Arial"/>
          <w:sz w:val="19"/>
          <w:szCs w:val="19"/>
          <w:i w:val="1"/>
          <w:iCs w:val="1"/>
          <w:color w:val="auto"/>
        </w:rPr>
        <w:t>Wet op het financieel toezicht or Wft</w:t>
      </w:r>
      <w:r>
        <w:rPr>
          <w:rFonts w:ascii="Arial" w:cs="Arial" w:eastAsia="Arial" w:hAnsi="Arial"/>
          <w:sz w:val="19"/>
          <w:szCs w:val="19"/>
          <w:color w:val="auto"/>
        </w:rPr>
        <w:t>) and in section 2 of the Market Abuse Decree (</w:t>
      </w:r>
      <w:r>
        <w:rPr>
          <w:rFonts w:ascii="Arial" w:cs="Arial" w:eastAsia="Arial" w:hAnsi="Arial"/>
          <w:sz w:val="19"/>
          <w:szCs w:val="19"/>
          <w:i w:val="1"/>
          <w:iCs w:val="1"/>
          <w:color w:val="auto"/>
        </w:rPr>
        <w:t>Besluit marktmisbruik Wft</w:t>
      </w:r>
      <w:r>
        <w:rPr>
          <w:rFonts w:ascii="Arial" w:cs="Arial" w:eastAsia="Arial" w:hAnsi="Arial"/>
          <w:sz w:val="19"/>
          <w:szCs w:val="19"/>
          <w:color w:val="auto"/>
        </w:rPr>
        <w:t>). For further information, you are referred to the website of the Authority for the Financial Markets (</w:t>
      </w:r>
      <w:r>
        <w:rPr>
          <w:rFonts w:ascii="Arial" w:cs="Arial" w:eastAsia="Arial" w:hAnsi="Arial"/>
          <w:sz w:val="19"/>
          <w:szCs w:val="19"/>
          <w:i w:val="1"/>
          <w:iCs w:val="1"/>
          <w:color w:val="auto"/>
        </w:rPr>
        <w:t>AFM</w:t>
      </w:r>
      <w:r>
        <w:rPr>
          <w:rFonts w:ascii="Arial" w:cs="Arial" w:eastAsia="Arial" w:hAnsi="Arial"/>
          <w:sz w:val="19"/>
          <w:szCs w:val="19"/>
          <w:color w:val="auto"/>
        </w:rPr>
        <w:t xml:space="preserve">); </w:t>
      </w:r>
      <w:r>
        <w:rPr>
          <w:rFonts w:ascii="Arial" w:cs="Arial" w:eastAsia="Arial" w:hAnsi="Arial"/>
          <w:sz w:val="19"/>
          <w:szCs w:val="19"/>
          <w:u w:val="single" w:color="auto"/>
          <w:color w:val="0000FF"/>
        </w:rPr>
        <w:t>http://www.afm.nl/~/media/Files/brochures/2012/insider- dealing.ashx</w:t>
      </w:r>
      <w:r>
        <w:rPr>
          <w:rFonts w:ascii="Arial" w:cs="Arial" w:eastAsia="Arial" w:hAnsi="Arial"/>
          <w:sz w:val="19"/>
          <w:szCs w:val="19"/>
          <w:color w:val="000000"/>
        </w:rPr>
        <w:t>.</w:t>
      </w:r>
    </w:p>
    <w:p>
      <w:pPr>
        <w:spacing w:after="0" w:line="206"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Given the broad scope of the definition of inside information, certain employees of the Company working at its Dutch affiliate may have inside information and thus are prohibited from making a transaction in securities in the Netherlands at a time when they have such inside information. By entering into this Agreement and participating in the Plan, you acknowledge having read and understood the notification above and acknowledge that it is your responsibility to comply with the Dutch insider trading rules, as discussed herein.</w:t>
      </w:r>
    </w:p>
    <w:p>
      <w:pPr>
        <w:spacing w:after="0" w:line="193" w:lineRule="exact"/>
        <w:rPr>
          <w:sz w:val="20"/>
          <w:szCs w:val="20"/>
          <w:color w:val="auto"/>
        </w:rPr>
      </w:pPr>
    </w:p>
    <w:p>
      <w:pPr>
        <w:ind w:right="260"/>
        <w:spacing w:after="0" w:line="261" w:lineRule="auto"/>
        <w:rPr>
          <w:sz w:val="20"/>
          <w:szCs w:val="20"/>
          <w:color w:val="auto"/>
        </w:rPr>
      </w:pPr>
      <w:r>
        <w:rPr>
          <w:rFonts w:ascii="Arial" w:cs="Arial" w:eastAsia="Arial" w:hAnsi="Arial"/>
          <w:sz w:val="19"/>
          <w:szCs w:val="19"/>
          <w:u w:val="single" w:color="auto"/>
          <w:color w:val="auto"/>
        </w:rPr>
        <w:t>Securities Disclaimer</w:t>
      </w:r>
      <w:r>
        <w:rPr>
          <w:rFonts w:ascii="Arial" w:cs="Arial" w:eastAsia="Arial" w:hAnsi="Arial"/>
          <w:sz w:val="19"/>
          <w:szCs w:val="19"/>
          <w:color w:val="auto"/>
        </w:rPr>
        <w:t>. The grant of the Stock Units is exempt or excluded from the requirement to publish a prospectus under the EU Prospectus Directive as implemented in the Netherlands.</w:t>
      </w:r>
    </w:p>
    <w:p>
      <w:pPr>
        <w:spacing w:after="0" w:line="149" w:lineRule="exact"/>
        <w:rPr>
          <w:sz w:val="20"/>
          <w:szCs w:val="20"/>
          <w:color w:val="auto"/>
        </w:rPr>
      </w:pPr>
    </w:p>
    <w:p>
      <w:pPr>
        <w:ind w:left="5680"/>
        <w:spacing w:after="0"/>
        <w:rPr>
          <w:sz w:val="20"/>
          <w:szCs w:val="20"/>
          <w:color w:val="auto"/>
        </w:rPr>
      </w:pPr>
      <w:r>
        <w:rPr>
          <w:rFonts w:ascii="Arial" w:cs="Arial" w:eastAsia="Arial" w:hAnsi="Arial"/>
          <w:sz w:val="19"/>
          <w:szCs w:val="19"/>
          <w:b w:val="1"/>
          <w:bCs w:val="1"/>
          <w:color w:val="auto"/>
        </w:rPr>
        <w:t>SINGAPORE</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Notifications</w:t>
      </w:r>
    </w:p>
    <w:p>
      <w:pPr>
        <w:spacing w:after="0" w:line="224" w:lineRule="exact"/>
        <w:rPr>
          <w:sz w:val="20"/>
          <w:szCs w:val="20"/>
          <w:color w:val="auto"/>
        </w:rPr>
      </w:pPr>
    </w:p>
    <w:p>
      <w:pPr>
        <w:spacing w:after="0" w:line="254"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The grant of the Stock Units is being made pursuant to the “Qualifying Person” exemption under section 273(1)(f) of the Singapore Securities and Futures Act (Chapter 289, 2006 Ed.) (“SFA”). The Plan has not been lodged or registered as a prospectus with the Monetary Authority of Singapore. You should note that the Stock Units are subject to section 257 of the SFA and you will not be able to make any subsequent sale in Singapore of the shares of Common Stock acquired through the vesting of the Stock Units or any offer of such sale in Singapore unless such sale or offer is made pursuant to the exemptions under Part XIII Division (1) Subdivision (4) (other than section 280) of the SFA.</w:t>
      </w:r>
    </w:p>
    <w:p>
      <w:pPr>
        <w:spacing w:after="0" w:line="206"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u w:val="single" w:color="auto"/>
          <w:color w:val="auto"/>
        </w:rPr>
        <w:t>Director Notification Obligation</w:t>
      </w:r>
      <w:r>
        <w:rPr>
          <w:rFonts w:ascii="Arial" w:cs="Arial" w:eastAsia="Arial" w:hAnsi="Arial"/>
          <w:sz w:val="19"/>
          <w:szCs w:val="19"/>
          <w:color w:val="auto"/>
        </w:rPr>
        <w:t>. If you are a director, associate director or shadow director of a Singapore subsidiary, you are subject to certain notification requirements under the Singapore Companies Act. Among these requirements is an obligation to notify the Singapore subsidiary in writing when you receive an interest (</w:t>
      </w:r>
      <w:r>
        <w:rPr>
          <w:rFonts w:ascii="Arial" w:cs="Arial" w:eastAsia="Arial" w:hAnsi="Arial"/>
          <w:sz w:val="19"/>
          <w:szCs w:val="19"/>
          <w:i w:val="1"/>
          <w:iCs w:val="1"/>
          <w:color w:val="auto"/>
        </w:rPr>
        <w:t>e.g</w:t>
      </w:r>
      <w:r>
        <w:rPr>
          <w:rFonts w:ascii="Arial" w:cs="Arial" w:eastAsia="Arial" w:hAnsi="Arial"/>
          <w:sz w:val="19"/>
          <w:szCs w:val="19"/>
          <w:color w:val="auto"/>
        </w:rPr>
        <w:t>., Stock Units or shares of Common Stock) in the Company or any subsidiary. In addition, you must notify the Singapore subsidiary when you sell shares of Common Stock of the Company or any subsidiary (including when you sell shares of Common Stock acquired through the vesting of Stock Units). These notifications must be made within two business days of acquiring or disposing of any interest in the Company or any subsidiary. In addition, a notification must be made of your interests in the Company or any subsidiary within two business days of becoming a director.</w:t>
      </w:r>
    </w:p>
    <w:p>
      <w:pPr>
        <w:spacing w:after="0" w:line="200" w:lineRule="exact"/>
        <w:rPr>
          <w:sz w:val="20"/>
          <w:szCs w:val="20"/>
          <w:color w:val="auto"/>
        </w:rPr>
      </w:pPr>
    </w:p>
    <w:p>
      <w:pPr>
        <w:spacing w:after="0" w:line="3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320" w:top="1076" w:right="239" w:bottom="1440" w:gutter="0" w:footer="0" w:header="0"/>
        </w:sectPr>
      </w:pPr>
    </w:p>
    <w:bookmarkStart w:id="94" w:name="page95"/>
    <w:bookmarkEnd w:id="94"/>
    <w:p>
      <w:pPr>
        <w:ind w:left="5960"/>
        <w:spacing w:after="0"/>
        <w:rPr>
          <w:sz w:val="20"/>
          <w:szCs w:val="20"/>
          <w:color w:val="auto"/>
        </w:rPr>
      </w:pPr>
      <w:r>
        <w:rPr>
          <w:rFonts w:ascii="Arial" w:cs="Arial" w:eastAsia="Arial" w:hAnsi="Arial"/>
          <w:sz w:val="19"/>
          <w:szCs w:val="19"/>
          <w:b w:val="1"/>
          <w:bCs w:val="1"/>
          <w:color w:val="auto"/>
        </w:rPr>
        <w:t>SPAIN</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and Conditions</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Nature of Grant</w:t>
      </w:r>
      <w:r>
        <w:rPr>
          <w:rFonts w:ascii="Arial" w:cs="Arial" w:eastAsia="Arial" w:hAnsi="Arial"/>
          <w:sz w:val="19"/>
          <w:szCs w:val="19"/>
          <w:color w:val="auto"/>
        </w:rPr>
        <w:t>. This provision supplements Section 24 of the Terms: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In accepting the Stock Units, you consent to participate in the Plan and acknowledge that you have received a copy of the Plan.</w:t>
      </w:r>
    </w:p>
    <w:p>
      <w:pPr>
        <w:spacing w:after="0" w:line="227"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You understand that the Company has unilaterally, gratuitously, and in its sole discretion decided to grant Stock Units under the Plan to individuals who may be employees of the Company or one of its Affiliates throughout the world. The decision is a limited decision that is entered into upon the express assumption and condition that any grant will not bind the Company or any Affiliate, other than to the extent set forth in the Agreement and its Terms.</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Consequently, you understand that the grant of Stock Units is made on the assumption and condition that the Stock Units and any shares acquired under the Plan are not part of any employment contract (either with the Company or any Affiliate), and shall not be considered a mandatory benefit, salary for any purposes (including severance compensation) or any other right whatsoever. Further, you understand that the grant of the Stock Units would not be made but for the assumptions and conditions referred to above; thus, you acknowledge and freely accept that, should any or all of the assumptions be mistaken or should any of the conditions not be met for any reason, then any grant of or right to the Stock Units shall be null and void.</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Notifications</w:t>
      </w:r>
    </w:p>
    <w:p>
      <w:pPr>
        <w:spacing w:after="0" w:line="251" w:lineRule="exact"/>
        <w:rPr>
          <w:sz w:val="20"/>
          <w:szCs w:val="20"/>
          <w:color w:val="auto"/>
        </w:rPr>
      </w:pPr>
    </w:p>
    <w:p>
      <w:pPr>
        <w:ind w:right="140"/>
        <w:spacing w:after="0" w:line="252" w:lineRule="auto"/>
        <w:rPr>
          <w:sz w:val="20"/>
          <w:szCs w:val="20"/>
          <w:color w:val="auto"/>
        </w:rPr>
      </w:pPr>
      <w:r>
        <w:rPr>
          <w:rFonts w:ascii="Arial" w:cs="Arial" w:eastAsia="Arial" w:hAnsi="Arial"/>
          <w:sz w:val="19"/>
          <w:szCs w:val="19"/>
          <w:u w:val="single" w:color="auto"/>
          <w:color w:val="auto"/>
        </w:rPr>
        <w:t>Tax Reporting Obligation for Assets Held Abroad</w:t>
      </w:r>
      <w:r>
        <w:rPr>
          <w:rFonts w:ascii="Arial" w:cs="Arial" w:eastAsia="Arial" w:hAnsi="Arial"/>
          <w:sz w:val="19"/>
          <w:szCs w:val="19"/>
          <w:color w:val="auto"/>
        </w:rPr>
        <w:t>. Individuals in Spain are required to report assets and rights located outside of Spain (which would include shares or any funds held in a</w:t>
      </w:r>
    </w:p>
    <w:p>
      <w:pPr>
        <w:spacing w:after="0" w:line="255" w:lineRule="auto"/>
        <w:rPr>
          <w:sz w:val="20"/>
          <w:szCs w:val="20"/>
          <w:color w:val="auto"/>
        </w:rPr>
      </w:pPr>
      <w:r>
        <w:rPr>
          <w:rFonts w:ascii="Arial" w:cs="Arial" w:eastAsia="Arial" w:hAnsi="Arial"/>
          <w:sz w:val="19"/>
          <w:szCs w:val="19"/>
          <w:color w:val="auto"/>
        </w:rPr>
        <w:t>U.S. brokerage account) on Form 720 by March 31st after each calendar year. A report is not required if the value of assets held outside of Spain is EUR 50,000 or less or if the assets held outside of Spain have not increased by more than EUR 20,000 compared to the previous year (assuming that a prior report has been filed reporting these assets). You should consult your personal tax advisor for more information on how to complete the report and the specific information on what types of assets are required to be reported.</w:t>
      </w:r>
    </w:p>
    <w:p>
      <w:pPr>
        <w:spacing w:after="0" w:line="206" w:lineRule="exact"/>
        <w:rPr>
          <w:sz w:val="20"/>
          <w:szCs w:val="20"/>
          <w:color w:val="auto"/>
        </w:rPr>
      </w:pPr>
    </w:p>
    <w:p>
      <w:pPr>
        <w:ind w:right="180"/>
        <w:spacing w:after="0" w:line="254"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You must declare the acquisition of stock in a foreign company (including Shares acquired under the Plan) to the Dirección General de Política Comercial e Inversiones Exteriores (“DGPCIE”) of the Ministerio de Economia for statistical purposes. You must also declare ownership of any stock in a foreign company (including shares acquired under the Plan) with the Directorate of Foreign Transactions each January while the stock is owned. In addition, if you wish to import the share certificates into Spain, you must declare the importation of such securities to the DGPCIE.</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When receiving foreign currency payments derived from the ownership of the shares</w:t>
      </w:r>
    </w:p>
    <w:p>
      <w:pPr>
        <w:ind w:right="80"/>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i.e</w:t>
      </w:r>
      <w:r>
        <w:rPr>
          <w:rFonts w:ascii="Arial" w:cs="Arial" w:eastAsia="Arial" w:hAnsi="Arial"/>
          <w:sz w:val="19"/>
          <w:szCs w:val="19"/>
          <w:color w:val="auto"/>
        </w:rPr>
        <w:t>., dividends or sale proceeds), you must inform the financial institution receiving the payment of the basis upon which such payment is made. You will need to provide the following information: (i) your name, address, and fiscal identification number; (ii) the name and corporate domicile of the Company; (iii) the amount of the payment and the currency used; (iv) the country of origin; (v) the reasons for the payment; and (vi) any further information that may be required.</w:t>
      </w:r>
    </w:p>
    <w:p>
      <w:pPr>
        <w:spacing w:after="0" w:line="200" w:lineRule="exact"/>
        <w:rPr>
          <w:sz w:val="20"/>
          <w:szCs w:val="20"/>
          <w:color w:val="auto"/>
        </w:rPr>
      </w:pPr>
    </w:p>
    <w:p>
      <w:pPr>
        <w:spacing w:after="0" w:line="36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320" w:top="1052" w:right="239" w:bottom="1440" w:gutter="0" w:footer="0" w:header="0"/>
        </w:sectPr>
      </w:pPr>
    </w:p>
    <w:bookmarkStart w:id="95" w:name="page96"/>
    <w:bookmarkEnd w:id="95"/>
    <w:p>
      <w:pPr>
        <w:ind w:right="200"/>
        <w:spacing w:after="0" w:line="246" w:lineRule="auto"/>
        <w:rPr>
          <w:sz w:val="20"/>
          <w:szCs w:val="20"/>
          <w:color w:val="auto"/>
        </w:rPr>
      </w:pPr>
      <w:r>
        <w:rPr>
          <w:rFonts w:ascii="Arial" w:cs="Arial" w:eastAsia="Arial" w:hAnsi="Arial"/>
          <w:sz w:val="19"/>
          <w:szCs w:val="19"/>
          <w:u w:val="single" w:color="auto"/>
          <w:color w:val="auto"/>
        </w:rPr>
        <w:t>Securities Disclaimer</w:t>
      </w:r>
      <w:r>
        <w:rPr>
          <w:rFonts w:ascii="Arial" w:cs="Arial" w:eastAsia="Arial" w:hAnsi="Arial"/>
          <w:sz w:val="19"/>
          <w:szCs w:val="19"/>
          <w:color w:val="auto"/>
        </w:rPr>
        <w:t xml:space="preserve"> . The grant of the Stock Units is exempt or excluded from the requirement to publish a prospectus under the EU Prospectus Directive as implemented in Spain.</w:t>
      </w:r>
    </w:p>
    <w:p>
      <w:pPr>
        <w:spacing w:after="0" w:line="176" w:lineRule="exact"/>
        <w:rPr>
          <w:sz w:val="20"/>
          <w:szCs w:val="20"/>
          <w:color w:val="auto"/>
        </w:rPr>
      </w:pPr>
    </w:p>
    <w:p>
      <w:pPr>
        <w:ind w:left="5820"/>
        <w:spacing w:after="0"/>
        <w:rPr>
          <w:sz w:val="20"/>
          <w:szCs w:val="20"/>
          <w:color w:val="auto"/>
        </w:rPr>
      </w:pPr>
      <w:r>
        <w:rPr>
          <w:rFonts w:ascii="Arial" w:cs="Arial" w:eastAsia="Arial" w:hAnsi="Arial"/>
          <w:sz w:val="19"/>
          <w:szCs w:val="19"/>
          <w:b w:val="1"/>
          <w:bCs w:val="1"/>
          <w:color w:val="auto"/>
        </w:rPr>
        <w:t>SWEDEN</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Notifications</w:t>
      </w:r>
    </w:p>
    <w:p>
      <w:pPr>
        <w:spacing w:after="0" w:line="238" w:lineRule="exact"/>
        <w:rPr>
          <w:sz w:val="20"/>
          <w:szCs w:val="20"/>
          <w:color w:val="auto"/>
        </w:rPr>
      </w:pPr>
    </w:p>
    <w:p>
      <w:pPr>
        <w:ind w:left="40" w:right="440"/>
        <w:spacing w:after="0" w:line="246" w:lineRule="auto"/>
        <w:rPr>
          <w:sz w:val="20"/>
          <w:szCs w:val="20"/>
          <w:color w:val="auto"/>
        </w:rPr>
      </w:pPr>
      <w:r>
        <w:rPr>
          <w:rFonts w:ascii="Arial" w:cs="Arial" w:eastAsia="Arial" w:hAnsi="Arial"/>
          <w:sz w:val="19"/>
          <w:szCs w:val="19"/>
          <w:u w:val="single" w:color="auto"/>
          <w:color w:val="auto"/>
        </w:rPr>
        <w:t>Securities Disclosure</w:t>
      </w:r>
      <w:r>
        <w:rPr>
          <w:rFonts w:ascii="Arial" w:cs="Arial" w:eastAsia="Arial" w:hAnsi="Arial"/>
          <w:sz w:val="19"/>
          <w:szCs w:val="19"/>
          <w:color w:val="auto"/>
        </w:rPr>
        <w:t>. Your participation in the Plan and the grant of the Stock Units are exempt from the requirement to publish a prospectus under the EU Prospectus Directive as implemented in Sweden.</w:t>
      </w:r>
    </w:p>
    <w:p>
      <w:pPr>
        <w:spacing w:after="0" w:line="200" w:lineRule="exact"/>
        <w:rPr>
          <w:sz w:val="20"/>
          <w:szCs w:val="20"/>
          <w:color w:val="auto"/>
        </w:rPr>
      </w:pPr>
    </w:p>
    <w:p>
      <w:pPr>
        <w:spacing w:after="0" w:line="255" w:lineRule="auto"/>
        <w:rPr>
          <w:sz w:val="20"/>
          <w:szCs w:val="20"/>
          <w:color w:val="auto"/>
        </w:rPr>
      </w:pPr>
      <w:r>
        <w:rPr>
          <w:rFonts w:ascii="Arial" w:cs="Arial" w:eastAsia="Arial" w:hAnsi="Arial"/>
          <w:sz w:val="19"/>
          <w:szCs w:val="19"/>
          <w:u w:val="single" w:color="auto"/>
          <w:color w:val="auto"/>
        </w:rPr>
        <w:t>Exchange Control</w:t>
      </w:r>
      <w:r>
        <w:rPr>
          <w:rFonts w:ascii="Arial" w:cs="Arial" w:eastAsia="Arial" w:hAnsi="Arial"/>
          <w:sz w:val="19"/>
          <w:szCs w:val="19"/>
          <w:color w:val="auto"/>
        </w:rPr>
        <w:t>. You understand and agree that foreign and local banks or financial institutions (including brokers) engaged in cross-border transactions generally may be required to report any payments to or from a foreign country exceeding a certain amount to The National Tax Board, which receives the information on behalf of the Swedish Central Bank (Sw.Riksbanken). This requirement may apply even if you have a brokerage account with a foreign broker.</w:t>
      </w:r>
    </w:p>
    <w:p>
      <w:pPr>
        <w:spacing w:after="0" w:line="155" w:lineRule="exact"/>
        <w:rPr>
          <w:sz w:val="20"/>
          <w:szCs w:val="20"/>
          <w:color w:val="auto"/>
        </w:rPr>
      </w:pPr>
    </w:p>
    <w:p>
      <w:pPr>
        <w:ind w:left="5560"/>
        <w:spacing w:after="0"/>
        <w:rPr>
          <w:sz w:val="20"/>
          <w:szCs w:val="20"/>
          <w:color w:val="auto"/>
        </w:rPr>
      </w:pPr>
      <w:r>
        <w:rPr>
          <w:rFonts w:ascii="Arial" w:cs="Arial" w:eastAsia="Arial" w:hAnsi="Arial"/>
          <w:sz w:val="19"/>
          <w:szCs w:val="19"/>
          <w:b w:val="1"/>
          <w:bCs w:val="1"/>
          <w:color w:val="auto"/>
        </w:rPr>
        <w:t>SWITZERLAND</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Notifications</w:t>
      </w:r>
    </w:p>
    <w:p>
      <w:pPr>
        <w:spacing w:after="0" w:line="224" w:lineRule="exact"/>
        <w:rPr>
          <w:sz w:val="20"/>
          <w:szCs w:val="20"/>
          <w:color w:val="auto"/>
        </w:rPr>
      </w:pPr>
    </w:p>
    <w:p>
      <w:pPr>
        <w:ind w:right="100"/>
        <w:spacing w:after="0" w:line="261" w:lineRule="auto"/>
        <w:rPr>
          <w:sz w:val="20"/>
          <w:szCs w:val="20"/>
          <w:color w:val="auto"/>
        </w:rPr>
      </w:pPr>
      <w:r>
        <w:rPr>
          <w:rFonts w:ascii="Arial" w:cs="Arial" w:eastAsia="Arial" w:hAnsi="Arial"/>
          <w:sz w:val="19"/>
          <w:szCs w:val="19"/>
          <w:u w:val="single" w:color="auto"/>
          <w:color w:val="auto"/>
        </w:rPr>
        <w:t>Securities Disclosure</w:t>
      </w:r>
      <w:r>
        <w:rPr>
          <w:rFonts w:ascii="Arial" w:cs="Arial" w:eastAsia="Arial" w:hAnsi="Arial"/>
          <w:sz w:val="19"/>
          <w:szCs w:val="19"/>
          <w:color w:val="auto"/>
        </w:rPr>
        <w:t>. The grant of Stock Units is considered a private offering in Switzerland; therefore, it is not subject to registration in Switzerland.</w:t>
      </w:r>
    </w:p>
    <w:p>
      <w:pPr>
        <w:spacing w:after="0" w:line="176" w:lineRule="exact"/>
        <w:rPr>
          <w:sz w:val="20"/>
          <w:szCs w:val="20"/>
          <w:color w:val="auto"/>
        </w:rPr>
      </w:pPr>
    </w:p>
    <w:p>
      <w:pPr>
        <w:ind w:left="5400"/>
        <w:spacing w:after="0"/>
        <w:rPr>
          <w:sz w:val="20"/>
          <w:szCs w:val="20"/>
          <w:color w:val="auto"/>
        </w:rPr>
      </w:pPr>
      <w:r>
        <w:rPr>
          <w:rFonts w:ascii="Arial" w:cs="Arial" w:eastAsia="Arial" w:hAnsi="Arial"/>
          <w:sz w:val="19"/>
          <w:szCs w:val="19"/>
          <w:b w:val="1"/>
          <w:bCs w:val="1"/>
          <w:color w:val="auto"/>
        </w:rPr>
        <w:t>UNITED KINGDOM</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Tax Reporting and Payment Liability</w:t>
      </w:r>
      <w:r>
        <w:rPr>
          <w:rFonts w:ascii="Arial" w:cs="Arial" w:eastAsia="Arial" w:hAnsi="Arial"/>
          <w:sz w:val="19"/>
          <w:szCs w:val="19"/>
          <w:color w:val="auto"/>
        </w:rPr>
        <w:t>. The following provision supplements Section 7 of the Terms:</w:t>
      </w:r>
    </w:p>
    <w:p>
      <w:pPr>
        <w:spacing w:after="0" w:line="251"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You agree that the Company or your U.K. employer may calculate the any taxes or National Insurance Contributions required to be withheld and accounted for in connection with the Stock Units by reference to the maximum applicable rates, without prejudice to any right you may have to recover any overpayment from relevant U.K. tax authorities. If payment or withholding of any income tax liability arising in connection with your participation in the Plan is not made by you to the U.K. employer within ninety (90) days of the event giving rise to such income tax liability or such other period specified in Section 222(1)(c) of the U.K. Income Tax (Earnings and Pensions) Act 2003 (the “Due Date”), you understand and agree that the amount of any uncollected income tax will constitute a loan owed by you to the U.K. employer, effective on the Due Date. You understand and agree that the loan will bear interest at the then-current official rate of Her Majesty’s Revenue and Customs, it will be immediately due and repayable by you, and the Company and/or your employer may recover it at any time thereafter by any of the means referred to in the Plan and/or this Agreement. Notwithstanding the foregoing, you understand and agree that if you are a director or an executive officer of the Company (within the meaning of such terms for purposes of Section 13(k) of the Exchange Act), you will not be eligible for such a loan to cover the income tax liability. In the event that you are a director or executive officer and the income tax is not collected from or paid by you by the Due Date, you understand that the amount of any uncollected income tax will constitute an additional benefit to</w:t>
      </w: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0"/>
          </w:cols>
          <w:pgMar w:left="320" w:top="1076" w:right="299" w:bottom="1440" w:gutter="0" w:footer="0" w:header="0"/>
        </w:sectPr>
      </w:pPr>
    </w:p>
    <w:bookmarkStart w:id="96" w:name="page97"/>
    <w:bookmarkEnd w:id="96"/>
    <w:p>
      <w:pPr>
        <w:spacing w:after="0" w:line="254" w:lineRule="auto"/>
        <w:rPr>
          <w:sz w:val="20"/>
          <w:szCs w:val="20"/>
          <w:color w:val="auto"/>
        </w:rPr>
      </w:pPr>
      <w:r>
        <w:rPr>
          <w:rFonts w:ascii="Arial" w:cs="Arial" w:eastAsia="Arial" w:hAnsi="Arial"/>
          <w:sz w:val="19"/>
          <w:szCs w:val="19"/>
          <w:color w:val="auto"/>
        </w:rPr>
        <w:t>you on which additional income tax and National Insurance Contributions will be payable. You understand and agree that you will be responsible for reporting and paying any income tax due on this additional benefit directly to Her Majesty’s Revenue and Customs under the self- assessment regime and for reimbursing the Company or the U.K. employer (as appropriate) for the value of any primary national insurance contributions due on this additional benefit that the Company or the U.K. employer may recover from you by any of the means referred to in the Plan and/or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w:t>
      </w:r>
    </w:p>
    <w:p>
      <w:pPr>
        <w:spacing w:after="0" w:line="251" w:lineRule="exact"/>
        <w:rPr>
          <w:sz w:val="20"/>
          <w:szCs w:val="20"/>
          <w:color w:val="auto"/>
        </w:rPr>
      </w:pPr>
    </w:p>
    <w:p>
      <w:pPr>
        <w:ind w:right="380"/>
        <w:spacing w:after="0" w:line="255" w:lineRule="auto"/>
        <w:rPr>
          <w:sz w:val="20"/>
          <w:szCs w:val="20"/>
          <w:color w:val="auto"/>
        </w:rPr>
      </w:pPr>
      <w:r>
        <w:rPr>
          <w:rFonts w:ascii="Arial" w:cs="Arial" w:eastAsia="Arial" w:hAnsi="Arial"/>
          <w:sz w:val="19"/>
          <w:szCs w:val="19"/>
          <w:u w:val="single" w:color="auto"/>
          <w:color w:val="auto"/>
        </w:rPr>
        <w:t>Securities Disclaimer</w:t>
      </w:r>
      <w:r>
        <w:rPr>
          <w:rFonts w:ascii="Arial" w:cs="Arial" w:eastAsia="Arial" w:hAnsi="Arial"/>
          <w:sz w:val="19"/>
          <w:szCs w:val="19"/>
          <w:color w:val="auto"/>
        </w:rPr>
        <w:t>. Neither this Agreement nor this Appendix is an approved prospectus for the purposes of section 85(1) of the Financial Services and Markets Act 2000 (“FSMA”) and no offer of transferable securities to the public (for the purposes of section 102B of FSMA) is being made in connection with the Plan. The Plan and the Stock Units are exclusively available in the U.K. to bona fide employees and former employees of the Company and any other U.K. subsidiary.</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color w:val="auto"/>
        </w:rPr>
        <w:t>End of the Appendix</w:t>
      </w:r>
    </w:p>
    <w:p>
      <w:pPr>
        <w:spacing w:after="0" w:line="180"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end of document</w:t>
      </w:r>
      <w:r>
        <w:rPr>
          <w:rFonts w:ascii="Arial" w:cs="Arial" w:eastAsia="Arial" w:hAnsi="Arial"/>
          <w:sz w:val="19"/>
          <w:szCs w:val="19"/>
          <w:color w:val="auto"/>
        </w:rPr>
        <w:t>}</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80"/>
          </w:cols>
          <w:pgMar w:left="320" w:top="1076" w:right="299" w:bottom="1440" w:gutter="0" w:footer="0" w:header="0"/>
        </w:sectPr>
      </w:pPr>
    </w:p>
    <w:bookmarkStart w:id="97" w:name="page98"/>
    <w:bookmarkEnd w:id="97"/>
    <w:p>
      <w:pPr>
        <w:ind w:left="4040"/>
        <w:spacing w:after="0"/>
        <w:rPr>
          <w:sz w:val="20"/>
          <w:szCs w:val="20"/>
          <w:color w:val="auto"/>
        </w:rPr>
      </w:pPr>
      <w:r>
        <w:rPr>
          <w:rFonts w:ascii="Arial" w:cs="Arial" w:eastAsia="Arial" w:hAnsi="Arial"/>
          <w:sz w:val="18"/>
          <w:szCs w:val="18"/>
          <w:color w:val="auto"/>
        </w:rPr>
        <w:t>EXHIBIT 15</w:t>
      </w:r>
    </w:p>
    <w:p>
      <w:pPr>
        <w:spacing w:after="0" w:line="20" w:lineRule="exact"/>
        <w:rPr>
          <w:sz w:val="20"/>
          <w:szCs w:val="20"/>
          <w:color w:val="auto"/>
        </w:rPr>
      </w:pPr>
      <w:r>
        <w:rPr>
          <w:sz w:val="20"/>
          <w:szCs w:val="20"/>
          <w:color w:val="auto"/>
        </w:rPr>
        <w:br w:type="column"/>
      </w:r>
    </w:p>
    <w:p>
      <w:pPr>
        <w:jc w:val="right"/>
        <w:spacing w:after="0" w:line="262"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5120" w:space="720"/>
            <w:col w:w="5580"/>
          </w:cols>
          <w:pgMar w:left="240" w:top="598"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200" w:lineRule="exact"/>
        <w:rPr>
          <w:sz w:val="20"/>
          <w:szCs w:val="20"/>
          <w:color w:val="auto"/>
        </w:rPr>
      </w:pPr>
    </w:p>
    <w:p>
      <w:pPr>
        <w:spacing w:after="0" w:line="21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 xml:space="preserve">Re: Registration Statements on Form S-8: No. </w:t>
      </w:r>
      <w:r>
        <w:rPr>
          <w:rFonts w:ascii="Arial" w:cs="Arial" w:eastAsia="Arial" w:hAnsi="Arial"/>
          <w:sz w:val="18"/>
          <w:szCs w:val="18"/>
          <w:b w:val="1"/>
          <w:bCs w:val="1"/>
          <w:color w:val="auto"/>
        </w:rPr>
        <w:t>33-7012</w:t>
      </w:r>
      <w:r>
        <w:rPr>
          <w:rFonts w:ascii="Arial" w:cs="Arial" w:eastAsia="Arial" w:hAnsi="Arial"/>
          <w:sz w:val="18"/>
          <w:szCs w:val="18"/>
          <w:color w:val="auto"/>
        </w:rPr>
        <w:t xml:space="preserve">, No. </w:t>
      </w:r>
      <w:r>
        <w:rPr>
          <w:rFonts w:ascii="Arial" w:cs="Arial" w:eastAsia="Arial" w:hAnsi="Arial"/>
          <w:sz w:val="18"/>
          <w:szCs w:val="18"/>
          <w:b w:val="1"/>
          <w:bCs w:val="1"/>
          <w:color w:val="auto"/>
        </w:rPr>
        <w:t>333-59714</w:t>
      </w:r>
      <w:r>
        <w:rPr>
          <w:rFonts w:ascii="Arial" w:cs="Arial" w:eastAsia="Arial" w:hAnsi="Arial"/>
          <w:sz w:val="18"/>
          <w:szCs w:val="18"/>
          <w:color w:val="auto"/>
        </w:rPr>
        <w:t xml:space="preserve">, No. </w:t>
      </w:r>
      <w:r>
        <w:rPr>
          <w:rFonts w:ascii="Arial" w:cs="Arial" w:eastAsia="Arial" w:hAnsi="Arial"/>
          <w:sz w:val="18"/>
          <w:szCs w:val="18"/>
          <w:b w:val="1"/>
          <w:bCs w:val="1"/>
          <w:color w:val="auto"/>
        </w:rPr>
        <w:t>333-120882</w:t>
      </w:r>
      <w:r>
        <w:rPr>
          <w:rFonts w:ascii="Arial" w:cs="Arial" w:eastAsia="Arial" w:hAnsi="Arial"/>
          <w:sz w:val="18"/>
          <w:szCs w:val="18"/>
          <w:color w:val="auto"/>
        </w:rPr>
        <w:t xml:space="preserve">, No. </w:t>
      </w:r>
      <w:r>
        <w:rPr>
          <w:rFonts w:ascii="Arial" w:cs="Arial" w:eastAsia="Arial" w:hAnsi="Arial"/>
          <w:sz w:val="18"/>
          <w:szCs w:val="18"/>
          <w:b w:val="1"/>
          <w:bCs w:val="1"/>
          <w:color w:val="auto"/>
        </w:rPr>
        <w:t>333-120883</w:t>
      </w:r>
      <w:r>
        <w:rPr>
          <w:rFonts w:ascii="Arial" w:cs="Arial" w:eastAsia="Arial" w:hAnsi="Arial"/>
          <w:sz w:val="18"/>
          <w:szCs w:val="18"/>
          <w:color w:val="auto"/>
        </w:rPr>
        <w:t xml:space="preserve">, No. </w:t>
      </w:r>
      <w:r>
        <w:rPr>
          <w:rFonts w:ascii="Arial" w:cs="Arial" w:eastAsia="Arial" w:hAnsi="Arial"/>
          <w:sz w:val="18"/>
          <w:szCs w:val="18"/>
          <w:b w:val="1"/>
          <w:bCs w:val="1"/>
          <w:color w:val="auto"/>
        </w:rPr>
        <w:t>333-142092</w:t>
      </w:r>
      <w:r>
        <w:rPr>
          <w:rFonts w:ascii="Arial" w:cs="Arial" w:eastAsia="Arial" w:hAnsi="Arial"/>
          <w:sz w:val="18"/>
          <w:szCs w:val="18"/>
          <w:color w:val="auto"/>
        </w:rPr>
        <w:t xml:space="preserve">, No. </w:t>
      </w:r>
      <w:r>
        <w:rPr>
          <w:rFonts w:ascii="Arial" w:cs="Arial" w:eastAsia="Arial" w:hAnsi="Arial"/>
          <w:sz w:val="18"/>
          <w:szCs w:val="18"/>
          <w:b w:val="1"/>
          <w:bCs w:val="1"/>
          <w:color w:val="auto"/>
        </w:rPr>
        <w:t>333-167317</w:t>
      </w:r>
      <w:r>
        <w:rPr>
          <w:rFonts w:ascii="Arial" w:cs="Arial" w:eastAsia="Arial" w:hAnsi="Arial"/>
          <w:sz w:val="18"/>
          <w:szCs w:val="18"/>
          <w:color w:val="auto"/>
        </w:rPr>
        <w:t xml:space="preserve">, No. </w:t>
      </w:r>
      <w:r>
        <w:rPr>
          <w:rFonts w:ascii="Arial" w:cs="Arial" w:eastAsia="Arial" w:hAnsi="Arial"/>
          <w:sz w:val="18"/>
          <w:szCs w:val="18"/>
          <w:b w:val="1"/>
          <w:bCs w:val="1"/>
          <w:color w:val="auto"/>
        </w:rPr>
        <w:t>333-180904</w:t>
      </w:r>
      <w:r>
        <w:rPr>
          <w:rFonts w:ascii="Arial" w:cs="Arial" w:eastAsia="Arial" w:hAnsi="Arial"/>
          <w:sz w:val="18"/>
          <w:szCs w:val="18"/>
          <w:color w:val="auto"/>
        </w:rPr>
        <w:t xml:space="preserve">, No. </w:t>
      </w:r>
      <w:r>
        <w:rPr>
          <w:rFonts w:ascii="Arial" w:cs="Arial" w:eastAsia="Arial" w:hAnsi="Arial"/>
          <w:sz w:val="18"/>
          <w:szCs w:val="18"/>
          <w:b w:val="1"/>
          <w:bCs w:val="1"/>
          <w:color w:val="auto"/>
        </w:rPr>
        <w:t>333-199560</w:t>
      </w:r>
      <w:r>
        <w:rPr>
          <w:rFonts w:ascii="Arial" w:cs="Arial" w:eastAsia="Arial" w:hAnsi="Arial"/>
          <w:sz w:val="18"/>
          <w:szCs w:val="18"/>
          <w:color w:val="auto"/>
        </w:rPr>
        <w:t xml:space="preserve">, No. </w:t>
      </w:r>
      <w:r>
        <w:rPr>
          <w:rFonts w:ascii="Arial" w:cs="Arial" w:eastAsia="Arial" w:hAnsi="Arial"/>
          <w:sz w:val="18"/>
          <w:szCs w:val="18"/>
          <w:b w:val="1"/>
          <w:bCs w:val="1"/>
          <w:color w:val="auto"/>
        </w:rPr>
        <w:t>333-212705</w:t>
      </w:r>
      <w:r>
        <w:rPr>
          <w:rFonts w:ascii="Arial" w:cs="Arial" w:eastAsia="Arial" w:hAnsi="Arial"/>
          <w:sz w:val="18"/>
          <w:szCs w:val="18"/>
          <w:color w:val="auto"/>
        </w:rPr>
        <w:t xml:space="preserve"> , and </w:t>
      </w:r>
      <w:r>
        <w:rPr>
          <w:rFonts w:ascii="Arial" w:cs="Arial" w:eastAsia="Arial" w:hAnsi="Arial"/>
          <w:sz w:val="18"/>
          <w:szCs w:val="18"/>
          <w:b w:val="1"/>
          <w:bCs w:val="1"/>
          <w:color w:val="auto"/>
        </w:rPr>
        <w:t>333-217483</w:t>
      </w:r>
      <w:r>
        <w:rPr>
          <w:rFonts w:ascii="Arial" w:cs="Arial" w:eastAsia="Arial" w:hAnsi="Arial"/>
          <w:sz w:val="18"/>
          <w:szCs w:val="18"/>
          <w:color w:val="auto"/>
        </w:rPr>
        <w:t>.</w:t>
      </w:r>
    </w:p>
    <w:p>
      <w:pPr>
        <w:spacing w:after="0" w:line="17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October 25, 2018 related to our review of interim financial information.</w:t>
      </w:r>
    </w:p>
    <w:p>
      <w:pPr>
        <w:spacing w:after="0" w:line="1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ectPr>
          <w:pgSz w:w="11900" w:h="16838" w:orient="portrait"/>
          <w:cols w:equalWidth="0" w:num="1">
            <w:col w:w="11420"/>
          </w:cols>
          <w:pgMar w:left="240" w:top="598" w:right="239" w:bottom="1440" w:gutter="0" w:footer="0" w:header="0"/>
          <w:type w:val="continuous"/>
        </w:sectPr>
      </w:pPr>
    </w:p>
    <w:bookmarkStart w:id="98" w:name="page99"/>
    <w:bookmarkEnd w:id="98"/>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William J. Stromberg, certify that:</w:t>
      </w:r>
    </w:p>
    <w:p>
      <w:pPr>
        <w:spacing w:after="0" w:line="171" w:lineRule="exact"/>
        <w:rPr>
          <w:sz w:val="20"/>
          <w:szCs w:val="20"/>
          <w:color w:val="auto"/>
        </w:rPr>
      </w:pPr>
    </w:p>
    <w:p>
      <w:pPr>
        <w:ind w:left="180" w:hanging="172"/>
        <w:spacing w:after="0"/>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September 30, 2018 of T. Rowe Price Group, Inc.;</w:t>
      </w:r>
    </w:p>
    <w:p>
      <w:pPr>
        <w:spacing w:after="0" w:line="171" w:lineRule="exact"/>
        <w:rPr>
          <w:rFonts w:ascii="Arial" w:cs="Arial" w:eastAsia="Arial" w:hAnsi="Arial"/>
          <w:sz w:val="18"/>
          <w:szCs w:val="18"/>
          <w:color w:val="auto"/>
        </w:rPr>
      </w:pPr>
    </w:p>
    <w:p>
      <w:pPr>
        <w:ind w:left="180" w:right="80" w:hanging="172"/>
        <w:spacing w:after="0" w:line="256" w:lineRule="auto"/>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180" w:right="20" w:hanging="172"/>
        <w:spacing w:after="0" w:line="262" w:lineRule="auto"/>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180" w:right="120" w:hanging="172"/>
        <w:spacing w:after="0" w:line="256" w:lineRule="auto"/>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80" w:right="440" w:firstLine="71"/>
        <w:spacing w:after="0" w:line="256" w:lineRule="auto"/>
        <w:tabs>
          <w:tab w:leader="none" w:pos="531"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80" w:right="100" w:firstLine="71"/>
        <w:spacing w:after="0" w:line="256" w:lineRule="auto"/>
        <w:tabs>
          <w:tab w:leader="none" w:pos="531"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80" w:right="60" w:firstLine="71"/>
        <w:spacing w:after="0" w:line="291" w:lineRule="auto"/>
        <w:tabs>
          <w:tab w:leader="none" w:pos="521" w:val="left"/>
        </w:tabs>
        <w:numPr>
          <w:ilvl w:val="1"/>
          <w:numId w:val="7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7"/>
          <w:szCs w:val="17"/>
          <w:color w:val="auto"/>
        </w:rPr>
      </w:pPr>
    </w:p>
    <w:p>
      <w:pPr>
        <w:ind w:left="180" w:firstLine="71"/>
        <w:spacing w:after="0" w:line="256" w:lineRule="auto"/>
        <w:tabs>
          <w:tab w:leader="none" w:pos="531"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180" w:right="160" w:hanging="172"/>
        <w:spacing w:after="0" w:line="291" w:lineRule="auto"/>
        <w:tabs>
          <w:tab w:leader="none" w:pos="1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180" w:right="540" w:firstLine="71"/>
        <w:spacing w:after="0" w:line="262" w:lineRule="auto"/>
        <w:tabs>
          <w:tab w:leader="none" w:pos="531"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left="180" w:right="120" w:firstLine="71"/>
        <w:spacing w:after="0" w:line="262" w:lineRule="auto"/>
        <w:tabs>
          <w:tab w:leader="none" w:pos="531"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80"/>
          </w:cols>
          <w:pgMar w:left="240" w:top="679" w:right="279" w:bottom="1440" w:gutter="0" w:footer="0" w:header="0"/>
        </w:sectPr>
      </w:pPr>
    </w:p>
    <w:bookmarkStart w:id="99" w:name="page100"/>
    <w:bookmarkEnd w:id="99"/>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Céline S. Dufétel, certify that:</w:t>
      </w:r>
    </w:p>
    <w:p>
      <w:pPr>
        <w:spacing w:after="0" w:line="171" w:lineRule="exact"/>
        <w:rPr>
          <w:sz w:val="20"/>
          <w:szCs w:val="20"/>
          <w:color w:val="auto"/>
        </w:rPr>
      </w:pPr>
    </w:p>
    <w:p>
      <w:pPr>
        <w:ind w:left="180" w:hanging="172"/>
        <w:spacing w:after="0"/>
        <w:tabs>
          <w:tab w:leader="none" w:pos="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September 30, 2018 of T. Rowe Price Group, Inc.;</w:t>
      </w:r>
    </w:p>
    <w:p>
      <w:pPr>
        <w:spacing w:after="0" w:line="171" w:lineRule="exact"/>
        <w:rPr>
          <w:rFonts w:ascii="Arial" w:cs="Arial" w:eastAsia="Arial" w:hAnsi="Arial"/>
          <w:sz w:val="18"/>
          <w:szCs w:val="18"/>
          <w:color w:val="auto"/>
        </w:rPr>
      </w:pPr>
    </w:p>
    <w:p>
      <w:pPr>
        <w:ind w:left="180" w:right="80" w:hanging="172"/>
        <w:spacing w:after="0" w:line="256" w:lineRule="auto"/>
        <w:tabs>
          <w:tab w:leader="none" w:pos="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180" w:right="20" w:hanging="172"/>
        <w:spacing w:after="0" w:line="262" w:lineRule="auto"/>
        <w:tabs>
          <w:tab w:leader="none" w:pos="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180" w:right="120" w:hanging="172"/>
        <w:spacing w:after="0" w:line="256" w:lineRule="auto"/>
        <w:tabs>
          <w:tab w:leader="none" w:pos="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80" w:right="440" w:firstLine="71"/>
        <w:spacing w:after="0" w:line="256" w:lineRule="auto"/>
        <w:tabs>
          <w:tab w:leader="none" w:pos="531"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80" w:right="100" w:firstLine="71"/>
        <w:spacing w:after="0" w:line="256" w:lineRule="auto"/>
        <w:tabs>
          <w:tab w:leader="none" w:pos="531"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80" w:right="60" w:firstLine="71"/>
        <w:spacing w:after="0" w:line="291" w:lineRule="auto"/>
        <w:tabs>
          <w:tab w:leader="none" w:pos="521" w:val="left"/>
        </w:tabs>
        <w:numPr>
          <w:ilvl w:val="1"/>
          <w:numId w:val="7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7"/>
          <w:szCs w:val="17"/>
          <w:color w:val="auto"/>
        </w:rPr>
      </w:pPr>
    </w:p>
    <w:p>
      <w:pPr>
        <w:ind w:left="180" w:firstLine="71"/>
        <w:spacing w:after="0" w:line="256" w:lineRule="auto"/>
        <w:tabs>
          <w:tab w:leader="none" w:pos="531"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180" w:right="160" w:hanging="172"/>
        <w:spacing w:after="0" w:line="291" w:lineRule="auto"/>
        <w:tabs>
          <w:tab w:leader="none" w:pos="1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180" w:right="540" w:firstLine="71"/>
        <w:spacing w:after="0" w:line="262" w:lineRule="auto"/>
        <w:tabs>
          <w:tab w:leader="none" w:pos="531"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left="180" w:right="120" w:firstLine="71"/>
        <w:spacing w:after="0" w:line="262" w:lineRule="auto"/>
        <w:tabs>
          <w:tab w:leader="none" w:pos="531"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79" w:right="279" w:bottom="1440" w:gutter="0" w:footer="0" w:header="0"/>
        </w:sectPr>
      </w:pPr>
    </w:p>
    <w:bookmarkStart w:id="100" w:name="page101"/>
    <w:bookmarkEnd w:id="100"/>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September 30, 2018, of T. Rowe Price Group, Inc., that:</w:t>
      </w:r>
    </w:p>
    <w:p>
      <w:pPr>
        <w:spacing w:after="0" w:line="142" w:lineRule="exact"/>
        <w:rPr>
          <w:sz w:val="20"/>
          <w:szCs w:val="20"/>
          <w:color w:val="auto"/>
        </w:rPr>
      </w:pPr>
    </w:p>
    <w:p>
      <w:pPr>
        <w:ind w:right="20" w:firstLine="8"/>
        <w:spacing w:after="0" w:line="262" w:lineRule="auto"/>
        <w:tabs>
          <w:tab w:leader="none" w:pos="27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Form 10-Q Quarterly Report fully complies with the requirements of Section 13(a) of the Securities Exchange Act of 1934, as amended; and</w:t>
      </w:r>
    </w:p>
    <w:p>
      <w:pPr>
        <w:spacing w:after="0" w:line="142" w:lineRule="exact"/>
        <w:rPr>
          <w:rFonts w:ascii="Arial" w:cs="Arial" w:eastAsia="Arial" w:hAnsi="Arial"/>
          <w:sz w:val="18"/>
          <w:szCs w:val="18"/>
          <w:color w:val="auto"/>
        </w:rPr>
      </w:pPr>
    </w:p>
    <w:p>
      <w:pPr>
        <w:ind w:right="240" w:firstLine="8"/>
        <w:spacing w:after="0" w:line="262" w:lineRule="auto"/>
        <w:tabs>
          <w:tab w:leader="none" w:pos="27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4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420"/>
          </w:cols>
          <w:pgMar w:left="240" w:top="679" w:right="239" w:bottom="1440" w:gutter="0" w:footer="0" w:header="0"/>
        </w:sectPr>
      </w:pPr>
    </w:p>
    <w:bookmarkStart w:id="101" w:name="page102"/>
    <w:bookmarkEnd w:id="101"/>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636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9451340</wp:posOffset>
            </wp:positionV>
            <wp:extent cx="678751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678751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1)"/>
      <w:numFmt w:val="decimal"/>
      <w:start w:val="1"/>
    </w:lvl>
  </w:abstractNum>
  <w:abstractNum w:abstractNumId="1">
    <w:nsid w:val="2D517796"/>
    <w:multiLevelType w:val="hybridMultilevel"/>
    <w:lvl w:ilvl="0">
      <w:lvlJc w:val="left"/>
      <w:lvlText w:val="(%1)"/>
      <w:numFmt w:val="decimal"/>
      <w:start w:val="1"/>
    </w:lvl>
  </w:abstractNum>
  <w:abstractNum w:abstractNumId="2">
    <w:nsid w:val="580BD78F"/>
    <w:multiLevelType w:val="hybridMultilevel"/>
    <w:lvl w:ilvl="0">
      <w:lvlJc w:val="left"/>
      <w:lvlText w:val="(%1)"/>
      <w:numFmt w:val="decimal"/>
      <w:start w:val="1"/>
    </w:lvl>
  </w:abstractNum>
  <w:abstractNum w:abstractNumId="3">
    <w:nsid w:val="153EA438"/>
    <w:multiLevelType w:val="hybridMultilevel"/>
    <w:lvl w:ilvl="0">
      <w:lvlJc w:val="left"/>
      <w:lvlText w:val="(%1)"/>
      <w:numFmt w:val="decimal"/>
      <w:start w:val="1"/>
    </w:lvl>
  </w:abstractNum>
  <w:abstractNum w:abstractNumId="4">
    <w:nsid w:val="3855585C"/>
    <w:multiLevelType w:val="hybridMultilevel"/>
    <w:lvl w:ilvl="0">
      <w:lvlJc w:val="left"/>
      <w:lvlText w:val="(%1)"/>
      <w:numFmt w:val="decimal"/>
      <w:start w:val="1"/>
    </w:lvl>
  </w:abstractNum>
  <w:abstractNum w:abstractNumId="5">
    <w:nsid w:val="70A64E2A"/>
    <w:multiLevelType w:val="hybridMultilevel"/>
    <w:lvl w:ilvl="0">
      <w:lvlJc w:val="left"/>
      <w:lvlText w:val="(%1)"/>
      <w:numFmt w:val="decimal"/>
      <w:start w:val="1"/>
    </w:lvl>
  </w:abstractNum>
  <w:abstractNum w:abstractNumId="6">
    <w:nsid w:val="6A2342EC"/>
    <w:multiLevelType w:val="hybridMultilevel"/>
    <w:lvl w:ilvl="0">
      <w:lvlJc w:val="left"/>
      <w:lvlText w:val="(%1)"/>
      <w:numFmt w:val="decimal"/>
      <w:start w:val="1"/>
    </w:lvl>
  </w:abstractNum>
  <w:abstractNum w:abstractNumId="7">
    <w:nsid w:val="2A487CB0"/>
    <w:multiLevelType w:val="hybridMultilevel"/>
    <w:lvl w:ilvl="0">
      <w:lvlJc w:val="left"/>
      <w:lvlText w:val="(%1)"/>
      <w:numFmt w:val="decimal"/>
      <w:start w:val="1"/>
    </w:lvl>
  </w:abstractNum>
  <w:abstractNum w:abstractNumId="8">
    <w:nsid w:val="1D4ED43B"/>
    <w:multiLevelType w:val="hybridMultilevel"/>
    <w:lvl w:ilvl="0">
      <w:lvlJc w:val="left"/>
      <w:lvlText w:val="(%1)"/>
      <w:numFmt w:val="decimal"/>
      <w:start w:val="1"/>
    </w:lvl>
  </w:abstractNum>
  <w:abstractNum w:abstractNumId="9">
    <w:nsid w:val="725A06FB"/>
    <w:multiLevelType w:val="hybridMultilevel"/>
    <w:lvl w:ilvl="0">
      <w:lvlJc w:val="left"/>
      <w:lvlText w:val="(%1)"/>
      <w:numFmt w:val="decimal"/>
      <w:start w:val="1"/>
    </w:lvl>
  </w:abstractNum>
  <w:abstractNum w:abstractNumId="10">
    <w:nsid w:val="2CD89A32"/>
    <w:multiLevelType w:val="hybridMultilevel"/>
    <w:lvl w:ilvl="0">
      <w:lvlJc w:val="left"/>
      <w:lvlText w:val="(%1)"/>
      <w:numFmt w:val="decimal"/>
      <w:start w:val="1"/>
    </w:lvl>
  </w:abstractNum>
  <w:abstractNum w:abstractNumId="11">
    <w:nsid w:val="57E4CCAF"/>
    <w:multiLevelType w:val="hybridMultilevel"/>
    <w:lvl w:ilvl="0">
      <w:lvlJc w:val="left"/>
      <w:lvlText w:val="(%1)"/>
      <w:numFmt w:val="decimal"/>
      <w:start w:val="1"/>
    </w:lvl>
  </w:abstractNum>
  <w:abstractNum w:abstractNumId="12">
    <w:nsid w:val="7A6D8D3C"/>
    <w:multiLevelType w:val="hybridMultilevel"/>
    <w:lvl w:ilvl="0">
      <w:lvlJc w:val="left"/>
      <w:lvlText w:val="(%1)"/>
      <w:numFmt w:val="decimal"/>
      <w:start w:val="1"/>
    </w:lvl>
  </w:abstractNum>
  <w:abstractNum w:abstractNumId="13">
    <w:nsid w:val="4B588F54"/>
    <w:multiLevelType w:val="hybridMultilevel"/>
    <w:lvl w:ilvl="0">
      <w:lvlJc w:val="left"/>
      <w:lvlText w:val="(%1)"/>
      <w:numFmt w:val="decimal"/>
      <w:start w:val="1"/>
    </w:lvl>
  </w:abstractNum>
  <w:abstractNum w:abstractNumId="14">
    <w:nsid w:val="542289EC"/>
    <w:multiLevelType w:val="hybridMultilevel"/>
    <w:lvl w:ilvl="0">
      <w:lvlJc w:val="left"/>
      <w:lvlText w:val="(%1)"/>
      <w:numFmt w:val="decimal"/>
      <w:start w:val="2"/>
    </w:lvl>
  </w:abstractNum>
  <w:abstractNum w:abstractNumId="15">
    <w:nsid w:val="6DE91B18"/>
    <w:multiLevelType w:val="hybridMultilevel"/>
    <w:lvl w:ilvl="0">
      <w:lvlJc w:val="left"/>
      <w:lvlText w:val="(%1)"/>
      <w:numFmt w:val="decimal"/>
      <w:start w:val="3"/>
    </w:lvl>
  </w:abstractNum>
  <w:abstractNum w:abstractNumId="16">
    <w:nsid w:val="38437FDB"/>
    <w:multiLevelType w:val="hybridMultilevel"/>
    <w:lvl w:ilvl="0">
      <w:lvlJc w:val="left"/>
      <w:lvlText w:val="(%1)"/>
      <w:numFmt w:val="decimal"/>
      <w:start w:val="4"/>
    </w:lvl>
  </w:abstractNum>
  <w:abstractNum w:abstractNumId="17">
    <w:nsid w:val="7644A45C"/>
    <w:multiLevelType w:val="hybridMultilevel"/>
    <w:lvl w:ilvl="0">
      <w:lvlJc w:val="left"/>
      <w:lvlText w:val="(%1)"/>
      <w:numFmt w:val="decimal"/>
      <w:start w:val="6"/>
    </w:lvl>
  </w:abstractNum>
  <w:abstractNum w:abstractNumId="18">
    <w:nsid w:val="32FFF902"/>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9">
    <w:nsid w:val="684A481A"/>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
    </w:lvl>
  </w:abstractNum>
  <w:abstractNum w:abstractNumId="20">
    <w:nsid w:val="579478FE"/>
    <w:multiLevelType w:val="hybridMultilevel"/>
    <w:lvl w:ilvl="0">
      <w:lvlJc w:val="left"/>
      <w:lvlText w:val="(%1)"/>
      <w:numFmt w:val="lowerRoman"/>
      <w:start w:val="1"/>
    </w:lvl>
    <w:lvl w:ilvl="1">
      <w:lvlJc w:val="left"/>
      <w:lvlText w:val="(%2)"/>
      <w:numFmt w:val="lowerLetter"/>
      <w:start w:val="35"/>
    </w:lvl>
    <w:lvl w:ilvl="2">
      <w:lvlJc w:val="left"/>
      <w:lvlText w:val="%3"/>
      <w:numFmt w:val="lowerLetter"/>
      <w:start w:val="1"/>
    </w:lvl>
  </w:abstractNum>
  <w:abstractNum w:abstractNumId="21">
    <w:nsid w:val="749ABB43"/>
    <w:multiLevelType w:val="hybridMultilevel"/>
    <w:lvl w:ilvl="0">
      <w:lvlJc w:val="left"/>
      <w:lvlText w:val="%1"/>
      <w:numFmt w:val="lowerLetter"/>
      <w:start w:val="1"/>
    </w:lvl>
    <w:lvl w:ilvl="1">
      <w:lvlJc w:val="left"/>
      <w:lvlText w:val="(%2)"/>
      <w:numFmt w:val="lowerLetter"/>
      <w:start w:val="35"/>
    </w:lvl>
  </w:abstractNum>
  <w:abstractNum w:abstractNumId="22">
    <w:nsid w:val="3DC240FB"/>
    <w:multiLevelType w:val="hybridMultilevel"/>
    <w:lvl w:ilvl="0">
      <w:lvlJc w:val="left"/>
      <w:lvlText w:val="(%1)"/>
      <w:numFmt w:val="lowerLetter"/>
      <w:start w:val="4"/>
    </w:lvl>
    <w:lvl w:ilvl="1">
      <w:lvlJc w:val="left"/>
      <w:lvlText w:val="%2"/>
      <w:numFmt w:val="lowerLetter"/>
      <w:start w:val="1"/>
    </w:lvl>
  </w:abstractNum>
  <w:abstractNum w:abstractNumId="23">
    <w:nsid w:val="1BA026FA"/>
    <w:multiLevelType w:val="hybridMultilevel"/>
    <w:lvl w:ilvl="0">
      <w:lvlJc w:val="left"/>
      <w:lvlText w:val="%1"/>
      <w:numFmt w:val="decimal"/>
      <w:start w:val="1"/>
    </w:lvl>
    <w:lvl w:ilvl="1">
      <w:lvlJc w:val="left"/>
      <w:lvlText w:val="(%2)"/>
      <w:numFmt w:val="lowerLetter"/>
      <w:start w:val="5"/>
    </w:lvl>
  </w:abstractNum>
  <w:abstractNum w:abstractNumId="24">
    <w:nsid w:val="79A1DEAA"/>
    <w:multiLevelType w:val="hybridMultilevel"/>
    <w:lvl w:ilvl="0">
      <w:lvlJc w:val="left"/>
      <w:lvlText w:val="%1."/>
      <w:numFmt w:val="decimal"/>
      <w:start w:val="3"/>
    </w:lvl>
    <w:lvl w:ilvl="1">
      <w:lvlJc w:val="left"/>
      <w:lvlText w:val="%2"/>
      <w:numFmt w:val="lowerLetter"/>
      <w:start w:val="1"/>
    </w:lvl>
  </w:abstractNum>
  <w:abstractNum w:abstractNumId="25">
    <w:nsid w:val="75C6C33A"/>
    <w:multiLevelType w:val="hybridMultilevel"/>
    <w:lvl w:ilvl="0">
      <w:lvlJc w:val="left"/>
      <w:lvlText w:val="%1"/>
      <w:numFmt w:val="decimal"/>
      <w:start w:val="1"/>
    </w:lvl>
    <w:lvl w:ilvl="1">
      <w:lvlJc w:val="left"/>
      <w:lvlText w:val="(%2)"/>
      <w:numFmt w:val="lowerLetter"/>
      <w:start w:val="2"/>
    </w:lvl>
  </w:abstractNum>
  <w:abstractNum w:abstractNumId="26">
    <w:nsid w:val="12E685FB"/>
    <w:multiLevelType w:val="hybridMultilevel"/>
    <w:lvl w:ilvl="0">
      <w:lvlJc w:val="left"/>
      <w:lvlText w:val="%1."/>
      <w:numFmt w:val="decimal"/>
      <w:start w:val="4"/>
    </w:lvl>
    <w:lvl w:ilvl="1">
      <w:lvlJc w:val="left"/>
      <w:lvlText w:val="%2"/>
      <w:numFmt w:val="lowerLetter"/>
      <w:start w:val="1"/>
    </w:lvl>
  </w:abstractNum>
  <w:abstractNum w:abstractNumId="27">
    <w:nsid w:val="70C6A529"/>
    <w:multiLevelType w:val="hybridMultilevel"/>
    <w:lvl w:ilvl="0">
      <w:lvlJc w:val="left"/>
      <w:lvlText w:val="%1."/>
      <w:numFmt w:val="decimal"/>
      <w:start w:val="7"/>
    </w:lvl>
    <w:lvl w:ilvl="1">
      <w:lvlJc w:val="left"/>
      <w:lvlText w:val="(%2)"/>
      <w:numFmt w:val="lowerLetter"/>
      <w:start w:val="1"/>
    </w:lvl>
  </w:abstractNum>
  <w:abstractNum w:abstractNumId="28">
    <w:nsid w:val="520EEDD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9">
    <w:nsid w:val="374A3FE6"/>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6"/>
    </w:lvl>
  </w:abstractNum>
  <w:abstractNum w:abstractNumId="30">
    <w:nsid w:val="4F4EF00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31">
    <w:nsid w:val="23F9C13C"/>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32">
    <w:nsid w:val="649BB77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3">
    <w:nsid w:val="275AC794"/>
    <w:multiLevelType w:val="hybridMultilevel"/>
    <w:lvl w:ilvl="0">
      <w:lvlJc w:val="left"/>
      <w:lvlText w:val="%1."/>
      <w:numFmt w:val="decimal"/>
      <w:start w:val="10"/>
    </w:lvl>
    <w:lvl w:ilvl="1">
      <w:lvlJc w:val="left"/>
      <w:lvlText w:val="%2."/>
      <w:numFmt w:val="decimal"/>
      <w:start w:val="14"/>
    </w:lvl>
    <w:lvl w:ilvl="2">
      <w:lvlJc w:val="left"/>
      <w:lvlText w:val="(%3)"/>
      <w:numFmt w:val="lowerLetter"/>
      <w:start w:val="1"/>
    </w:lvl>
  </w:abstractNum>
  <w:abstractNum w:abstractNumId="34">
    <w:nsid w:val="39386575"/>
    <w:multiLevelType w:val="hybridMultilevel"/>
    <w:lvl w:ilvl="0">
      <w:lvlJc w:val="left"/>
      <w:lvlText w:val="%1."/>
      <w:numFmt w:val="decimal"/>
      <w:start w:val="15"/>
    </w:lvl>
  </w:abstractNum>
  <w:abstractNum w:abstractNumId="35">
    <w:nsid w:val="1CF10FD8"/>
    <w:multiLevelType w:val="hybridMultilevel"/>
    <w:lvl w:ilvl="0">
      <w:lvlJc w:val="left"/>
      <w:lvlText w:val="%1"/>
      <w:numFmt w:val="lowerRoman"/>
      <w:start w:val="1"/>
    </w:lvl>
    <w:lvl w:ilvl="1">
      <w:lvlJc w:val="left"/>
      <w:lvlText w:val="%2."/>
      <w:numFmt w:val="decimal"/>
      <w:start w:val="21"/>
    </w:lvl>
  </w:abstractNum>
  <w:abstractNum w:abstractNumId="36">
    <w:nsid w:val="180115BE"/>
    <w:multiLevelType w:val="hybridMultilevel"/>
    <w:lvl w:ilvl="0">
      <w:lvlJc w:val="left"/>
      <w:lvlText w:val="(%1)"/>
      <w:numFmt w:val="lowerRoman"/>
      <w:start w:val="5"/>
    </w:lvl>
    <w:lvl w:ilvl="1">
      <w:lvlJc w:val="left"/>
      <w:lvlText w:val="%2"/>
      <w:numFmt w:val="decimal"/>
      <w:start w:val="1"/>
    </w:lvl>
  </w:abstractNum>
  <w:abstractNum w:abstractNumId="37">
    <w:nsid w:val="235BA861"/>
    <w:multiLevelType w:val="hybridMultilevel"/>
    <w:lvl w:ilvl="0">
      <w:lvlJc w:val="left"/>
      <w:lvlText w:val="%1."/>
      <w:numFmt w:val="decimal"/>
      <w:start w:val="25"/>
    </w:lvl>
  </w:abstractNum>
  <w:abstractNum w:abstractNumId="38">
    <w:nsid w:val="47398C89"/>
    <w:multiLevelType w:val="hybridMultilevel"/>
    <w:lvl w:ilvl="0">
      <w:lvlJc w:val="left"/>
      <w:lvlText w:val="%1."/>
      <w:numFmt w:val="decimal"/>
      <w:start w:val="26"/>
    </w:lvl>
  </w:abstractNum>
  <w:abstractNum w:abstractNumId="39">
    <w:nsid w:val="354FE9F9"/>
    <w:multiLevelType w:val="hybridMultilevel"/>
    <w:lvl w:ilvl="0">
      <w:lvlJc w:val="left"/>
      <w:lvlText w:val="(%1)"/>
      <w:numFmt w:val="lowerLetter"/>
      <w:start w:val="1"/>
    </w:lvl>
  </w:abstractNum>
  <w:abstractNum w:abstractNumId="40">
    <w:nsid w:val="15B5AF5C"/>
    <w:multiLevelType w:val="hybridMultilevel"/>
    <w:lvl w:ilvl="0">
      <w:lvlJc w:val="left"/>
      <w:lvlText w:val="%1"/>
      <w:numFmt w:val="upperLetter"/>
      <w:start w:val="1"/>
    </w:lvl>
    <w:lvl w:ilvl="1">
      <w:lvlJc w:val="left"/>
      <w:lvlText w:val="(%2)"/>
      <w:numFmt w:val="lowerLetter"/>
      <w:start w:val="3"/>
    </w:lvl>
  </w:abstractNum>
  <w:abstractNum w:abstractNumId="41">
    <w:nsid w:val="741226BB"/>
    <w:multiLevelType w:val="hybridMultilevel"/>
    <w:lvl w:ilvl="0">
      <w:lvlJc w:val="left"/>
      <w:lvlText w:val="(%1)"/>
      <w:numFmt w:val="upperLetter"/>
      <w:start w:val="2"/>
    </w:lvl>
    <w:lvl w:ilvl="1">
      <w:lvlJc w:val="left"/>
      <w:lvlText w:val="(%2)"/>
      <w:numFmt w:val="lowerLetter"/>
      <w:start w:val="4"/>
    </w:lvl>
  </w:abstractNum>
  <w:abstractNum w:abstractNumId="42">
    <w:nsid w:val="D34B6A8"/>
    <w:multiLevelType w:val="hybridMultilevel"/>
    <w:lvl w:ilvl="0">
      <w:lvlJc w:val="left"/>
      <w:lvlText w:val="(%1)"/>
      <w:numFmt w:val="lowerLetter"/>
      <w:start w:val="9"/>
    </w:lvl>
    <w:lvl w:ilvl="1">
      <w:lvlJc w:val="left"/>
      <w:lvlText w:val="(%2)"/>
      <w:numFmt w:val="lowerRoman"/>
      <w:start w:val="1"/>
    </w:lvl>
  </w:abstractNum>
  <w:abstractNum w:abstractNumId="43">
    <w:nsid w:val="10233C99"/>
    <w:multiLevelType w:val="hybridMultilevel"/>
    <w:lvl w:ilvl="0">
      <w:lvlJc w:val="left"/>
      <w:lvlText w:val="(%1)"/>
      <w:numFmt w:val="lowerLetter"/>
      <w:start w:val="12"/>
    </w:lvl>
  </w:abstractNum>
  <w:abstractNum w:abstractNumId="44">
    <w:nsid w:val="3F6AB60F"/>
    <w:multiLevelType w:val="hybridMultilevel"/>
    <w:lvl w:ilvl="0">
      <w:lvlJc w:val="left"/>
      <w:lvlText w:val="(%1)"/>
      <w:numFmt w:val="lowerLetter"/>
      <w:start w:val="13"/>
    </w:lvl>
  </w:abstractNum>
  <w:abstractNum w:abstractNumId="45">
    <w:nsid w:val="61574095"/>
    <w:multiLevelType w:val="hybridMultilevel"/>
    <w:lvl w:ilvl="0">
      <w:lvlJc w:val="left"/>
      <w:lvlText w:val="%1"/>
      <w:numFmt w:val="lowerLetter"/>
      <w:start w:val="1"/>
    </w:lvl>
    <w:lvl w:ilvl="1">
      <w:lvlJc w:val="left"/>
      <w:lvlText w:val="(%2)"/>
      <w:numFmt w:val="lowerRoman"/>
      <w:start w:val="1"/>
    </w:lvl>
  </w:abstractNum>
  <w:abstractNum w:abstractNumId="46">
    <w:nsid w:val="7E0C57B1"/>
    <w:multiLevelType w:val="hybridMultilevel"/>
    <w:lvl w:ilvl="0">
      <w:lvlJc w:val="left"/>
      <w:lvlText w:val="(%1)"/>
      <w:numFmt w:val="lowerLetter"/>
      <w:start w:val="15"/>
    </w:lvl>
    <w:lvl w:ilvl="1">
      <w:lvlJc w:val="left"/>
      <w:lvlText w:val="%2"/>
      <w:numFmt w:val="lowerRoman"/>
      <w:start w:val="1"/>
    </w:lvl>
  </w:abstractNum>
  <w:abstractNum w:abstractNumId="47">
    <w:nsid w:val="77AE35EB"/>
    <w:multiLevelType w:val="hybridMultilevel"/>
    <w:lvl w:ilvl="0">
      <w:lvlJc w:val="left"/>
      <w:lvlText w:val="(%1)"/>
      <w:numFmt w:val="lowerLetter"/>
      <w:start w:val="17"/>
    </w:lvl>
  </w:abstractNum>
  <w:abstractNum w:abstractNumId="48">
    <w:nsid w:val="579BE4F1"/>
    <w:multiLevelType w:val="hybridMultilevel"/>
    <w:lvl w:ilvl="0">
      <w:lvlJc w:val="left"/>
      <w:lvlText w:val="%1"/>
      <w:numFmt w:val="lowerLetter"/>
      <w:start w:val="1"/>
    </w:lvl>
    <w:lvl w:ilvl="1">
      <w:lvlJc w:val="left"/>
      <w:lvlText w:val="(%2)"/>
      <w:numFmt w:val="lowerLetter"/>
      <w:start w:val="20"/>
    </w:lvl>
  </w:abstractNum>
  <w:abstractNum w:abstractNumId="49">
    <w:nsid w:val="310C50B3"/>
    <w:multiLevelType w:val="hybridMultilevel"/>
    <w:lvl w:ilvl="0">
      <w:lvlJc w:val="left"/>
      <w:lvlText w:val="(%1)"/>
      <w:numFmt w:val="lowerLetter"/>
      <w:start w:val="35"/>
    </w:lvl>
    <w:lvl w:ilvl="1">
      <w:lvlJc w:val="left"/>
      <w:lvlText w:val="(%2)"/>
      <w:numFmt w:val="lowerLetter"/>
      <w:start w:val="24"/>
    </w:lvl>
  </w:abstractNum>
  <w:abstractNum w:abstractNumId="50">
    <w:nsid w:val="5FF87E05"/>
    <w:multiLevelType w:val="hybridMultilevel"/>
    <w:lvl w:ilvl="0">
      <w:lvlJc w:val="left"/>
      <w:lvlText w:val="%1."/>
      <w:numFmt w:val="decimal"/>
      <w:start w:val="1"/>
    </w:lvl>
    <w:lvl w:ilvl="1">
      <w:lvlJc w:val="left"/>
      <w:lvlText w:val="(%2)"/>
      <w:numFmt w:val="lowerLetter"/>
      <w:start w:val="1"/>
    </w:lvl>
  </w:abstractNum>
  <w:abstractNum w:abstractNumId="51">
    <w:nsid w:val="2F305DEF"/>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
    </w:lvl>
  </w:abstractNum>
  <w:abstractNum w:abstractNumId="52">
    <w:nsid w:val="25A70BF7"/>
    <w:multiLevelType w:val="hybridMultilevel"/>
    <w:lvl w:ilvl="0">
      <w:lvlJc w:val="left"/>
      <w:lvlText w:val="(%1)"/>
      <w:numFmt w:val="lowerLetter"/>
      <w:start w:val="9"/>
    </w:lvl>
    <w:lvl w:ilvl="1">
      <w:lvlJc w:val="left"/>
      <w:lvlText w:val="(%2)"/>
      <w:numFmt w:val="upperLetter"/>
      <w:start w:val="2"/>
    </w:lvl>
    <w:lvl w:ilvl="2">
      <w:lvlJc w:val="left"/>
      <w:lvlText w:val="%3"/>
      <w:numFmt w:val="lowerLetter"/>
      <w:start w:val="1"/>
    </w:lvl>
  </w:abstractNum>
  <w:abstractNum w:abstractNumId="53">
    <w:nsid w:val="1DBABF0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54">
    <w:nsid w:val="4AD084E9"/>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lvl w:ilvl="3">
      <w:lvlJc w:val="left"/>
      <w:lvlText w:val="%4"/>
      <w:numFmt w:val="lowerLetter"/>
      <w:start w:val="1"/>
    </w:lvl>
  </w:abstractNum>
  <w:abstractNum w:abstractNumId="55">
    <w:nsid w:val="1F48EAA1"/>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Letter"/>
      <w:start w:val="1"/>
    </w:lvl>
  </w:abstractNum>
  <w:abstractNum w:abstractNumId="56">
    <w:nsid w:val="1381823A"/>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57">
    <w:nsid w:val="5DB70AE5"/>
    <w:multiLevelType w:val="hybridMultilevel"/>
    <w:lvl w:ilvl="0">
      <w:lvlJc w:val="left"/>
      <w:lvlText w:val="%1."/>
      <w:numFmt w:val="decimal"/>
      <w:start w:val="6"/>
    </w:lvl>
    <w:lvl w:ilvl="1">
      <w:lvlJc w:val="left"/>
      <w:lvlText w:val="(%2)"/>
      <w:numFmt w:val="lowerLetter"/>
      <w:start w:val="1"/>
    </w:lvl>
  </w:abstractNum>
  <w:abstractNum w:abstractNumId="58">
    <w:nsid w:val="100F8FCA"/>
    <w:multiLevelType w:val="hybridMultilevel"/>
    <w:lvl w:ilvl="0">
      <w:lvlJc w:val="left"/>
      <w:lvlText w:val="%1"/>
      <w:numFmt w:val="upperLetter"/>
      <w:start w:val="1"/>
    </w:lvl>
    <w:lvl w:ilvl="1">
      <w:lvlJc w:val="left"/>
      <w:lvlText w:val="(%2)"/>
      <w:numFmt w:val="lowerRoman"/>
      <w:start w:val="1"/>
    </w:lvl>
  </w:abstractNum>
  <w:abstractNum w:abstractNumId="59">
    <w:nsid w:val="6590700B"/>
    <w:multiLevelType w:val="hybridMultilevel"/>
    <w:lvl w:ilvl="0">
      <w:lvlJc w:val="left"/>
      <w:lvlText w:val="(%1)"/>
      <w:numFmt w:val="upperLetter"/>
      <w:start w:val="2"/>
    </w:lvl>
    <w:lvl w:ilvl="1">
      <w:lvlJc w:val="left"/>
      <w:lvlText w:val="(%2)"/>
      <w:numFmt w:val="lowerRoman"/>
      <w:start w:val="6"/>
    </w:lvl>
  </w:abstractNum>
  <w:abstractNum w:abstractNumId="60">
    <w:nsid w:val="15014ACB"/>
    <w:multiLevelType w:val="hybridMultilevel"/>
    <w:lvl w:ilvl="0">
      <w:lvlJc w:val="left"/>
      <w:lvlText w:val="%1"/>
      <w:numFmt w:val="decimal"/>
      <w:start w:val="1"/>
    </w:lvl>
    <w:lvl w:ilvl="1">
      <w:lvlJc w:val="left"/>
      <w:lvlText w:val="(%2)"/>
      <w:numFmt w:val="lowerLetter"/>
      <w:start w:val="3"/>
    </w:lvl>
  </w:abstractNum>
  <w:abstractNum w:abstractNumId="61">
    <w:nsid w:val="5F5E7FD0"/>
    <w:multiLevelType w:val="hybridMultilevel"/>
    <w:lvl w:ilvl="0">
      <w:lvlJc w:val="left"/>
      <w:lvlText w:val="%1."/>
      <w:numFmt w:val="decimal"/>
      <w:start w:val="9"/>
    </w:lvl>
    <w:lvl w:ilvl="1">
      <w:lvlJc w:val="left"/>
      <w:lvlText w:val="(%2)"/>
      <w:numFmt w:val="lowerLetter"/>
      <w:start w:val="1"/>
    </w:lvl>
  </w:abstractNum>
  <w:abstractNum w:abstractNumId="62">
    <w:nsid w:val="98A3148"/>
    <w:multiLevelType w:val="hybridMultilevel"/>
    <w:lvl w:ilvl="0">
      <w:lvlJc w:val="left"/>
      <w:lvlText w:val="(%1)"/>
      <w:numFmt w:val="lowerLetter"/>
      <w:start w:val="35"/>
    </w:lvl>
    <w:lvl w:ilvl="1">
      <w:lvlJc w:val="left"/>
      <w:lvlText w:val="%2."/>
      <w:numFmt w:val="decimal"/>
      <w:start w:val="10"/>
    </w:lvl>
    <w:lvl w:ilvl="2">
      <w:lvlJc w:val="left"/>
      <w:lvlText w:val="%3."/>
      <w:numFmt w:val="decimal"/>
      <w:start w:val="14"/>
    </w:lvl>
    <w:lvl w:ilvl="3">
      <w:lvlJc w:val="left"/>
      <w:lvlText w:val="(%4)"/>
      <w:numFmt w:val="lowerLetter"/>
      <w:start w:val="1"/>
    </w:lvl>
  </w:abstractNum>
  <w:abstractNum w:abstractNumId="63">
    <w:nsid w:val="799D0247"/>
    <w:multiLevelType w:val="hybridMultilevel"/>
    <w:lvl w:ilvl="0">
      <w:lvlJc w:val="left"/>
      <w:lvlText w:val="%1."/>
      <w:numFmt w:val="decimal"/>
      <w:start w:val="15"/>
    </w:lvl>
  </w:abstractNum>
  <w:abstractNum w:abstractNumId="64">
    <w:nsid w:val="6B94764"/>
    <w:multiLevelType w:val="hybridMultilevel"/>
    <w:lvl w:ilvl="0">
      <w:lvlJc w:val="left"/>
      <w:lvlText w:val="%1."/>
      <w:numFmt w:val="decimal"/>
      <w:start w:val="21"/>
    </w:lvl>
  </w:abstractNum>
  <w:abstractNum w:abstractNumId="65">
    <w:nsid w:val="42C296BD"/>
    <w:multiLevelType w:val="hybridMultilevel"/>
    <w:lvl w:ilvl="0">
      <w:lvlJc w:val="left"/>
      <w:lvlText w:val="(%1)"/>
      <w:numFmt w:val="lowerRoman"/>
      <w:start w:val="5"/>
    </w:lvl>
    <w:lvl w:ilvl="1">
      <w:lvlJc w:val="left"/>
      <w:lvlText w:val="%2."/>
      <w:numFmt w:val="decimal"/>
      <w:start w:val="25"/>
    </w:lvl>
  </w:abstractNum>
  <w:abstractNum w:abstractNumId="66">
    <w:nsid w:val="168E121F"/>
    <w:multiLevelType w:val="hybridMultilevel"/>
    <w:lvl w:ilvl="0">
      <w:lvlJc w:val="left"/>
      <w:lvlText w:val="%1."/>
      <w:numFmt w:val="decimal"/>
      <w:start w:val="26"/>
    </w:lvl>
  </w:abstractNum>
  <w:abstractNum w:abstractNumId="67">
    <w:nsid w:val="1EBA5D23"/>
    <w:multiLevelType w:val="hybridMultilevel"/>
    <w:lvl w:ilvl="0">
      <w:lvlJc w:val="left"/>
      <w:lvlText w:val="(%1)"/>
      <w:numFmt w:val="lowerLetter"/>
      <w:start w:val="1"/>
    </w:lvl>
  </w:abstractNum>
  <w:abstractNum w:abstractNumId="68">
    <w:nsid w:val="661E3F1E"/>
    <w:multiLevelType w:val="hybridMultilevel"/>
    <w:lvl w:ilvl="0">
      <w:lvlJc w:val="left"/>
      <w:lvlText w:val="%1"/>
      <w:numFmt w:val="upperLetter"/>
      <w:start w:val="1"/>
    </w:lvl>
    <w:lvl w:ilvl="1">
      <w:lvlJc w:val="left"/>
      <w:lvlText w:val="(%2)"/>
      <w:numFmt w:val="lowerLetter"/>
      <w:start w:val="3"/>
    </w:lvl>
  </w:abstractNum>
  <w:abstractNum w:abstractNumId="69">
    <w:nsid w:val="5DC79EA8"/>
    <w:multiLevelType w:val="hybridMultilevel"/>
    <w:lvl w:ilvl="0">
      <w:lvlJc w:val="left"/>
      <w:lvlText w:val="(%1)"/>
      <w:numFmt w:val="upperLetter"/>
      <w:start w:val="2"/>
    </w:lvl>
    <w:lvl w:ilvl="1">
      <w:lvlJc w:val="left"/>
      <w:lvlText w:val="%2"/>
      <w:numFmt w:val="lowerLetter"/>
      <w:start w:val="1"/>
    </w:lvl>
  </w:abstractNum>
  <w:abstractNum w:abstractNumId="70">
    <w:nsid w:val="540A471C"/>
    <w:multiLevelType w:val="hybridMultilevel"/>
    <w:lvl w:ilvl="0">
      <w:lvlJc w:val="left"/>
      <w:lvlText w:val="(%1)"/>
      <w:numFmt w:val="lowerLetter"/>
      <w:start w:val="4"/>
    </w:lvl>
  </w:abstractNum>
  <w:abstractNum w:abstractNumId="71">
    <w:nsid w:val="7BD3EE7B"/>
    <w:multiLevelType w:val="hybridMultilevel"/>
    <w:lvl w:ilvl="0">
      <w:lvlJc w:val="left"/>
      <w:lvlText w:val="(%1)"/>
      <w:numFmt w:val="lowerLetter"/>
      <w:start w:val="9"/>
    </w:lvl>
    <w:lvl w:ilvl="1">
      <w:lvlJc w:val="left"/>
      <w:lvlText w:val="(%2)"/>
      <w:numFmt w:val="lowerRoman"/>
      <w:start w:val="1"/>
    </w:lvl>
  </w:abstractNum>
  <w:abstractNum w:abstractNumId="72">
    <w:nsid w:val="51D9C564"/>
    <w:multiLevelType w:val="hybridMultilevel"/>
    <w:lvl w:ilvl="0">
      <w:lvlJc w:val="left"/>
      <w:lvlText w:val="(%1)"/>
      <w:numFmt w:val="lowerLetter"/>
      <w:start w:val="14"/>
    </w:lvl>
    <w:lvl w:ilvl="1">
      <w:lvlJc w:val="left"/>
      <w:lvlText w:val="(%2)"/>
      <w:numFmt w:val="lowerLetter"/>
      <w:start w:val="18"/>
    </w:lvl>
    <w:lvl w:ilvl="2">
      <w:lvlJc w:val="left"/>
      <w:lvlText w:val="(%3)"/>
      <w:numFmt w:val="lowerRoman"/>
      <w:start w:val="1"/>
    </w:lvl>
  </w:abstractNum>
  <w:abstractNum w:abstractNumId="73">
    <w:nsid w:val="613EFDC5"/>
    <w:multiLevelType w:val="hybridMultilevel"/>
    <w:lvl w:ilvl="0">
      <w:lvlJc w:val="left"/>
      <w:lvlText w:val="%1"/>
      <w:numFmt w:val="lowerLetter"/>
      <w:start w:val="1"/>
    </w:lvl>
    <w:lvl w:ilvl="1">
      <w:lvlJc w:val="left"/>
      <w:lvlText w:val="(%2)"/>
      <w:numFmt w:val="lowerLetter"/>
      <w:start w:val="20"/>
    </w:lvl>
  </w:abstractNum>
  <w:abstractNum w:abstractNumId="74">
    <w:nsid w:val="BF72B14"/>
    <w:multiLevelType w:val="hybridMultilevel"/>
    <w:lvl w:ilvl="0">
      <w:lvlJc w:val="left"/>
      <w:lvlText w:val="(%1)"/>
      <w:numFmt w:val="lowerLetter"/>
      <w:start w:val="35"/>
    </w:lvl>
    <w:lvl w:ilvl="1">
      <w:lvlJc w:val="left"/>
      <w:lvlText w:val="(%2)"/>
      <w:numFmt w:val="lowerLetter"/>
      <w:start w:val="25"/>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36" Type="http://schemas.openxmlformats.org/officeDocument/2006/relationships/hyperlink" Target="http://www.sec.gov/Archives/edgar/data/1113169/000111316918000018/articlesofrestatementfin.htm" TargetMode="External"/><Relationship Id="rId37" Type="http://schemas.openxmlformats.org/officeDocument/2006/relationships/hyperlink" Target="http://www.sec.gov/Archives/edgar/data/1113169/000111316915000029/trow-amendedandrestatedbyl.htm" TargetMode="External"/><Relationship Id="rId38" Type="http://schemas.openxmlformats.org/officeDocument/2006/relationships/hyperlink" Target="http://www.sec.gov/Archives/edgar/data/902259/000090225918000003/c2018transferagencyagr-20182.htm" TargetMode="External"/><Relationship Id="rId39" Type="http://schemas.openxmlformats.org/officeDocument/2006/relationships/hyperlink" Target="http://www.sec.gov/Archives/edgar/data/902259/000090225918000003/c2018rpsagmt-20183.htm" TargetMode="External"/><Relationship Id="rId40" Type="http://schemas.openxmlformats.org/officeDocument/2006/relationships/hyperlink" Target="http://www.sec.gov/Archives/edgar/data/819930/000081993017000005/retainedfaagmtre-foraugtoaug.htm" TargetMode="External"/><Relationship Id="rId41" Type="http://schemas.openxmlformats.org/officeDocument/2006/relationships/hyperlink" Target="http://www.sec.gov/Archives/edgar/data/1113169/000111316918000010/a2018aicppool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2019-12-28T19:07:29Z</dcterms:created>
  <dcterms:modified xsi:type="dcterms:W3CDTF">2019-12-28T19:07:29Z</dcterms:modified>
</cp:coreProperties>
</file>