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620395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534670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5"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1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ind w:left="120" w:right="120"/>
        <w:spacing w:after="0" w:line="288"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9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 ROWE PRICE 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1004" w:right="239" w:bottom="1440" w:gutter="0" w:footer="0" w:header="0"/>
        </w:sectPr>
      </w:pPr>
    </w:p>
    <w:p>
      <w:pPr>
        <w:spacing w:after="0" w:line="149"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70" w:lineRule="exact"/>
        <w:rPr>
          <w:sz w:val="24"/>
          <w:szCs w:val="24"/>
          <w:color w:val="auto"/>
        </w:rPr>
      </w:pPr>
    </w:p>
    <w:p>
      <w:pPr>
        <w:sectPr>
          <w:pgSz w:w="11900" w:h="16838" w:orient="portrait"/>
          <w:cols w:equalWidth="0" w:num="2">
            <w:col w:w="7340" w:space="720"/>
            <w:col w:w="3360"/>
          </w:cols>
          <w:pgMar w:left="240" w:top="1004" w:right="239" w:bottom="1440" w:gutter="0" w:footer="0" w:header="0"/>
          <w:type w:val="continuous"/>
        </w:sectPr>
      </w:pPr>
    </w:p>
    <w:p>
      <w:pPr>
        <w:ind w:left="19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2">
            <w:col w:w="6640" w:space="720"/>
            <w:col w:w="4060"/>
          </w:cols>
          <w:pgMar w:left="240" w:top="1004"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100 East Pratt Street, Baltimore, Maryland 21202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(410) 345-2000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3"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w:t>
      </w:r>
    </w:p>
    <w:p>
      <w:pPr>
        <w:sectPr>
          <w:pgSz w:w="11900" w:h="16838" w:orient="portrait"/>
          <w:cols w:equalWidth="0" w:num="1">
            <w:col w:w="11420"/>
          </w:cols>
          <w:pgMar w:left="240" w:top="1004" w:right="239" w:bottom="1440" w:gutter="0" w:footer="0" w:header="0"/>
          <w:type w:val="continuous"/>
        </w:sectPr>
      </w:pPr>
    </w:p>
    <w:p>
      <w:pPr>
        <w:spacing w:after="0" w:line="63" w:lineRule="exact"/>
        <w:rPr>
          <w:sz w:val="24"/>
          <w:szCs w:val="24"/>
          <w:color w:val="auto"/>
        </w:rPr>
      </w:pPr>
    </w:p>
    <w:p>
      <w:pPr>
        <w:ind w:right="12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2"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2" w:lineRule="exact"/>
        <w:rPr>
          <w:sz w:val="24"/>
          <w:szCs w:val="24"/>
          <w:color w:val="auto"/>
        </w:rPr>
      </w:pPr>
    </w:p>
    <w:p>
      <w:pPr>
        <w:ind w:right="2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004" w:right="239" w:bottom="1440" w:gutter="0" w:footer="0" w:header="0"/>
          <w:type w:val="continuous"/>
        </w:sectPr>
      </w:pPr>
    </w:p>
    <w:p>
      <w:pPr>
        <w:spacing w:after="0" w:line="134" w:lineRule="exact"/>
        <w:rPr>
          <w:sz w:val="24"/>
          <w:szCs w:val="24"/>
          <w:color w:val="auto"/>
        </w:rPr>
      </w:pPr>
    </w:p>
    <w:p>
      <w:pPr>
        <w:ind w:left="40"/>
        <w:spacing w:after="0"/>
        <w:rPr>
          <w:sz w:val="20"/>
          <w:szCs w:val="20"/>
          <w:color w:val="auto"/>
        </w:rPr>
      </w:pPr>
      <w:r>
        <w:rPr>
          <w:rFonts w:ascii="Arial" w:cs="Arial" w:eastAsia="Arial" w:hAnsi="Arial"/>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jc w:val="center"/>
        <w:ind w:right="400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2">
            <w:col w:w="5200" w:space="720"/>
            <w:col w:w="5500"/>
          </w:cols>
          <w:pgMar w:left="240" w:top="1004" w:right="239" w:bottom="1440" w:gutter="0" w:footer="0" w:header="0"/>
          <w:type w:val="continuous"/>
        </w:sectPr>
      </w:pPr>
    </w:p>
    <w:p>
      <w:pPr>
        <w:ind w:left="5920"/>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ectPr>
          <w:pgSz w:w="11900" w:h="16838" w:orient="portrait"/>
          <w:cols w:equalWidth="0" w:num="1">
            <w:col w:w="11420"/>
          </w:cols>
          <w:pgMar w:left="240" w:top="1004" w:right="239" w:bottom="1440" w:gutter="0" w:footer="0" w:header="0"/>
          <w:type w:val="continuous"/>
        </w:sectPr>
      </w:pPr>
    </w:p>
    <w:p>
      <w:pPr>
        <w:spacing w:after="0" w:line="75"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400" w:space="520"/>
            <w:col w:w="5500"/>
          </w:cols>
          <w:pgMar w:left="240" w:top="1004" w:right="239" w:bottom="1440" w:gutter="0" w:footer="0" w:header="0"/>
          <w:type w:val="continuous"/>
        </w:sectPr>
      </w:pPr>
    </w:p>
    <w:p>
      <w:pPr>
        <w:spacing w:after="0" w:line="43"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978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8"/>
          <w:szCs w:val="18"/>
          <w:color w:val="auto"/>
        </w:rPr>
        <w:t>x No</w:t>
      </w:r>
    </w:p>
    <w:p>
      <w:pPr>
        <w:spacing w:after="0" w:line="217" w:lineRule="exact"/>
        <w:rPr>
          <w:sz w:val="24"/>
          <w:szCs w:val="24"/>
          <w:color w:val="auto"/>
        </w:rPr>
      </w:pPr>
    </w:p>
    <w:p>
      <w:pPr>
        <w:ind w:right="1000"/>
        <w:spacing w:after="0" w:line="262" w:lineRule="auto"/>
        <w:rPr>
          <w:sz w:val="20"/>
          <w:szCs w:val="20"/>
          <w:color w:val="auto"/>
        </w:rPr>
      </w:pPr>
      <w:r>
        <w:rPr>
          <w:rFonts w:ascii="Arial" w:cs="Arial" w:eastAsia="Arial" w:hAnsi="Arial"/>
          <w:sz w:val="18"/>
          <w:szCs w:val="18"/>
          <w:color w:val="auto"/>
        </w:rPr>
        <w:t>The number of shares outstanding of the issuer’s common stock ($.20 par value), as of the latest practicable date, July 23, 2018, is 243,190,703.</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100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6/30/2018</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1,484.4</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564.4</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1,477.3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2,459.5</w:t>
            </w:r>
          </w:p>
        </w:tc>
      </w:tr>
      <w:tr>
        <w:trPr>
          <w:trHeight w:val="229"/>
        </w:trPr>
        <w:tc>
          <w:tcPr>
            <w:tcW w:w="8560" w:type="dxa"/>
            <w:vAlign w:val="bottom"/>
          </w:tcPr>
          <w:p>
            <w:pPr>
              <w:ind w:left="40"/>
              <w:spacing w:after="0"/>
              <w:rPr>
                <w:sz w:val="20"/>
                <w:szCs w:val="20"/>
                <w:color w:val="auto"/>
              </w:rPr>
            </w:pPr>
            <w:r>
              <w:rPr>
                <w:rFonts w:ascii="Arial" w:cs="Arial" w:eastAsia="Arial" w:hAnsi="Arial"/>
                <w:sz w:val="18"/>
                <w:szCs w:val="18"/>
                <w:color w:val="auto"/>
              </w:rPr>
              <w:t>Assets of consolidated T. Rowe Price investment products ($1,839.6 million at December 31,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8560" w:type="dxa"/>
            <w:vAlign w:val="bottom"/>
          </w:tcPr>
          <w:p>
            <w:pPr>
              <w:ind w:left="40"/>
              <w:spacing w:after="0"/>
              <w:rPr>
                <w:sz w:val="20"/>
                <w:szCs w:val="20"/>
                <w:color w:val="auto"/>
              </w:rPr>
            </w:pPr>
            <w:r>
              <w:rPr>
                <w:rFonts w:ascii="Arial" w:cs="Arial" w:eastAsia="Arial" w:hAnsi="Arial"/>
                <w:sz w:val="18"/>
                <w:szCs w:val="18"/>
                <w:color w:val="auto"/>
              </w:rPr>
              <w:t>2017 and $1,467.0 million at June 30, 2018, related to variable interest entities)</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1,857.0</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655.2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r>
        <w:trPr>
          <w:trHeight w:val="297"/>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7,535.4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7,882.2</w:t>
            </w:r>
          </w:p>
        </w:tc>
      </w:tr>
      <w:tr>
        <w:trPr>
          <w:trHeight w:val="305"/>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r>
      <w:tr>
        <w:trPr>
          <w:trHeight w:val="229"/>
        </w:trPr>
        <w:tc>
          <w:tcPr>
            <w:tcW w:w="8560" w:type="dxa"/>
            <w:vAlign w:val="bottom"/>
          </w:tcPr>
          <w:p>
            <w:pPr>
              <w:ind w:left="180"/>
              <w:spacing w:after="0"/>
              <w:rPr>
                <w:sz w:val="20"/>
                <w:szCs w:val="20"/>
                <w:color w:val="auto"/>
              </w:rPr>
            </w:pPr>
            <w:r>
              <w:rPr>
                <w:rFonts w:ascii="Arial" w:cs="Arial" w:eastAsia="Arial" w:hAnsi="Arial"/>
                <w:sz w:val="18"/>
                <w:szCs w:val="18"/>
                <w:color w:val="auto"/>
              </w:rPr>
              <w:t>Liabilities of consolidated T. Rowe Price investment products ($39.5 million at December 31,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8560" w:type="dxa"/>
            <w:vAlign w:val="bottom"/>
          </w:tcPr>
          <w:p>
            <w:pPr>
              <w:ind w:left="180"/>
              <w:spacing w:after="0"/>
              <w:rPr>
                <w:sz w:val="20"/>
                <w:szCs w:val="20"/>
                <w:color w:val="auto"/>
              </w:rPr>
            </w:pPr>
            <w:r>
              <w:rPr>
                <w:rFonts w:ascii="Arial" w:cs="Arial" w:eastAsia="Arial" w:hAnsi="Arial"/>
                <w:sz w:val="18"/>
                <w:szCs w:val="18"/>
                <w:color w:val="auto"/>
              </w:rPr>
              <w:t>2017, and $51.6 million at June 30, 2018, related to variable interest entities)</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114.6</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349.6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287.8</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r>
      <w:tr>
        <w:trPr>
          <w:trHeight w:val="250"/>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1,028.4</w:t>
            </w:r>
          </w:p>
        </w:tc>
      </w:tr>
      <w:tr>
        <w:trPr>
          <w:trHeight w:val="324"/>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31"/>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739.2</w:t>
            </w:r>
          </w:p>
        </w:tc>
      </w:tr>
      <w:tr>
        <w:trPr>
          <w:trHeight w:val="324"/>
        </w:trPr>
        <w:tc>
          <w:tcPr>
            <w:tcW w:w="8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245,111,000 shares at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8560" w:type="dxa"/>
            <w:vAlign w:val="bottom"/>
          </w:tcPr>
          <w:p>
            <w:pPr>
              <w:ind w:left="180"/>
              <w:spacing w:after="0"/>
              <w:rPr>
                <w:sz w:val="20"/>
                <w:szCs w:val="20"/>
                <w:color w:val="auto"/>
              </w:rPr>
            </w:pPr>
            <w:r>
              <w:rPr>
                <w:rFonts w:ascii="Arial" w:cs="Arial" w:eastAsia="Arial" w:hAnsi="Arial"/>
                <w:sz w:val="18"/>
                <w:szCs w:val="18"/>
                <w:color w:val="auto"/>
              </w:rPr>
              <w:t>December 31, 2017, and 243,180,000 at June 30, 2018</w:t>
            </w:r>
          </w:p>
        </w:tc>
        <w:tc>
          <w:tcPr>
            <w:tcW w:w="22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48.6</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654.6</w:t>
            </w: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4,932.9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5,435.1</w:t>
            </w: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50"/>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permanent stockholders’ equity</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5,824.4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6,114.6</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7,535.4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7,882.2</w:t>
            </w: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76" w:right="239" w:bottom="1440" w:gutter="0" w:footer="0" w:header="0"/>
        </w:sectPr>
      </w:pPr>
    </w:p>
    <w:bookmarkStart w:id="2" w:name="page3"/>
    <w:bookmarkEnd w:id="2"/>
    <w:p>
      <w:pPr>
        <w:ind w:right="5360"/>
        <w:spacing w:after="0" w:line="287"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20" w:type="dxa"/>
            <w:vAlign w:val="bottom"/>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4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1,046.0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1,214.4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2,038.7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2,403.6</w:t>
            </w:r>
          </w:p>
        </w:tc>
      </w:tr>
      <w:tr>
        <w:trPr>
          <w:trHeight w:val="27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distribution, and servicing fees</w:t>
            </w:r>
          </w:p>
        </w:tc>
        <w:tc>
          <w:tcPr>
            <w:tcW w:w="1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25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2,318.6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2,673.0</w:t>
            </w:r>
          </w:p>
        </w:tc>
      </w:tr>
      <w:tr>
        <w:trPr>
          <w:trHeight w:val="324"/>
        </w:trPr>
        <w:tc>
          <w:tcPr>
            <w:tcW w:w="5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897.4</w:t>
            </w: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Distribution and servicing</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141.9</w:t>
            </w:r>
          </w:p>
        </w:tc>
      </w:tr>
      <w:tr>
        <w:trPr>
          <w:trHeight w:val="27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Product-related costs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79.2</w:t>
            </w:r>
          </w:p>
        </w:tc>
      </w:tr>
      <w:tr>
        <w:trPr>
          <w:trHeight w:val="27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occupancy, and facility costs</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187.3</w:t>
            </w: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General, administrative, and other</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145.1</w:t>
            </w:r>
          </w:p>
        </w:tc>
      </w:tr>
      <w:tr>
        <w:trPr>
          <w:trHeight w:val="235"/>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Nonrecurring insurance recoveries related to Dell appraisal rights</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matter</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678.4</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750.3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1,494.5</w:t>
            </w:r>
          </w:p>
        </w:tc>
      </w:tr>
      <w:tr>
        <w:trPr>
          <w:trHeight w:val="324"/>
        </w:trPr>
        <w:tc>
          <w:tcPr>
            <w:tcW w:w="5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0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1,178.5</w:t>
            </w:r>
          </w:p>
        </w:tc>
      </w:tr>
      <w:tr>
        <w:trPr>
          <w:trHeight w:val="331"/>
        </w:trPr>
        <w:tc>
          <w:tcPr>
            <w:tcW w:w="5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0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investments</w:t>
            </w: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63"/>
        </w:trPr>
        <w:tc>
          <w:tcPr>
            <w:tcW w:w="5400" w:type="dxa"/>
            <w:vAlign w:val="bottom"/>
          </w:tcPr>
          <w:p>
            <w:pPr>
              <w:ind w:left="180"/>
              <w:spacing w:after="0"/>
              <w:rPr>
                <w:sz w:val="20"/>
                <w:szCs w:val="20"/>
                <w:color w:val="auto"/>
              </w:rPr>
            </w:pPr>
            <w:r>
              <w:rPr>
                <w:rFonts w:ascii="Arial" w:cs="Arial" w:eastAsia="Arial" w:hAnsi="Arial"/>
                <w:sz w:val="18"/>
                <w:szCs w:val="18"/>
                <w:color w:val="auto"/>
              </w:rPr>
              <w:t>Net gains on consolidated investment products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(loss)</w:t>
            </w:r>
          </w:p>
        </w:tc>
        <w:tc>
          <w:tcPr>
            <w:tcW w:w="1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non-operating income</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50.2</w:t>
            </w:r>
          </w:p>
        </w:tc>
      </w:tr>
      <w:tr>
        <w:trPr>
          <w:trHeight w:val="324"/>
        </w:trPr>
        <w:tc>
          <w:tcPr>
            <w:tcW w:w="54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3"/>
        </w:trPr>
        <w:tc>
          <w:tcPr>
            <w:tcW w:w="54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1,228.7</w:t>
            </w: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313.6</w:t>
            </w:r>
          </w:p>
        </w:tc>
      </w:tr>
      <w:tr>
        <w:trPr>
          <w:trHeight w:val="250"/>
        </w:trPr>
        <w:tc>
          <w:tcPr>
            <w:tcW w:w="5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915.1</w:t>
            </w:r>
          </w:p>
        </w:tc>
      </w:tr>
      <w:tr>
        <w:trPr>
          <w:trHeight w:val="235"/>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97"/>
        </w:trPr>
        <w:tc>
          <w:tcPr>
            <w:tcW w:w="540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902.6</w:t>
            </w:r>
          </w:p>
        </w:tc>
      </w:tr>
      <w:tr>
        <w:trPr>
          <w:trHeight w:val="305"/>
        </w:trPr>
        <w:tc>
          <w:tcPr>
            <w:tcW w:w="54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63"/>
        </w:trPr>
        <w:tc>
          <w:tcPr>
            <w:tcW w:w="5400" w:type="dxa"/>
            <w:vAlign w:val="bottom"/>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7"/>
        </w:trPr>
        <w:tc>
          <w:tcPr>
            <w:tcW w:w="5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3.55</w:t>
            </w:r>
          </w:p>
        </w:tc>
      </w:tr>
      <w:tr>
        <w:trPr>
          <w:trHeight w:val="305"/>
        </w:trPr>
        <w:tc>
          <w:tcPr>
            <w:tcW w:w="54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18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r>
      <w:tr>
        <w:trPr>
          <w:trHeight w:val="20"/>
        </w:trPr>
        <w:tc>
          <w:tcPr>
            <w:tcW w:w="558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56"/>
        </w:trPr>
        <w:tc>
          <w:tcPr>
            <w:tcW w:w="8560" w:type="dxa"/>
            <w:vAlign w:val="bottom"/>
            <w:gridSpan w:val="8"/>
          </w:tcPr>
          <w:p>
            <w:pPr>
              <w:jc w:val="center"/>
              <w:ind w:left="2790"/>
              <w:spacing w:after="0"/>
              <w:rPr>
                <w:sz w:val="20"/>
                <w:szCs w:val="20"/>
                <w:color w:val="auto"/>
              </w:rPr>
            </w:pPr>
            <w:r>
              <w:rPr>
                <w:rFonts w:ascii="Arial" w:cs="Arial" w:eastAsia="Arial" w:hAnsi="Arial"/>
                <w:sz w:val="18"/>
                <w:szCs w:val="18"/>
                <w:color w:val="auto"/>
                <w:w w:val="99"/>
              </w:rPr>
              <w:t>The accompanying notes are an integral part of these statements.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400" w:type="dxa"/>
            <w:vAlign w:val="bottom"/>
          </w:tcPr>
          <w:p>
            <w:pPr>
              <w:spacing w:after="0"/>
              <w:rPr>
                <w:sz w:val="24"/>
                <w:szCs w:val="24"/>
                <w:color w:val="auto"/>
              </w:rPr>
            </w:pPr>
          </w:p>
        </w:tc>
        <w:tc>
          <w:tcPr>
            <w:tcW w:w="1680" w:type="dxa"/>
            <w:vAlign w:val="bottom"/>
            <w:gridSpan w:val="4"/>
          </w:tcPr>
          <w:p>
            <w:pPr>
              <w:jc w:val="center"/>
              <w:ind w:right="1060"/>
              <w:spacing w:after="0"/>
              <w:rPr>
                <w:sz w:val="20"/>
                <w:szCs w:val="20"/>
                <w:color w:val="auto"/>
              </w:rPr>
            </w:pPr>
            <w:r>
              <w:rPr>
                <w:rFonts w:ascii="Arial" w:cs="Arial" w:eastAsia="Arial" w:hAnsi="Arial"/>
                <w:sz w:val="18"/>
                <w:szCs w:val="18"/>
                <w:color w:val="auto"/>
              </w:rPr>
              <w:t>Page 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ind w:right="3740"/>
        <w:spacing w:after="0" w:line="287"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620" w:type="dxa"/>
            <w:vAlign w:val="bottom"/>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6/30/2018</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790.4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915.1</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on available-for-sale investments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580" w:type="dxa"/>
            <w:vAlign w:val="bottom"/>
          </w:tcPr>
          <w:p>
            <w:pPr>
              <w:ind w:left="180"/>
              <w:spacing w:after="0"/>
              <w:rPr>
                <w:sz w:val="20"/>
                <w:szCs w:val="20"/>
                <w:color w:val="auto"/>
              </w:rPr>
            </w:pPr>
            <w:r>
              <w:rPr>
                <w:rFonts w:ascii="Arial" w:cs="Arial" w:eastAsia="Arial" w:hAnsi="Arial"/>
                <w:sz w:val="18"/>
                <w:szCs w:val="18"/>
                <w:color w:val="auto"/>
              </w:rPr>
              <w:t>Reclassification gains (losses) recognized in non-operating income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upon dispositions, determined using average cost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unrealized gains (losses) recognized upon the transfer to</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trading investments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Pr>
          <w:p>
            <w:pPr>
              <w:ind w:left="18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29"/>
        </w:trPr>
        <w:tc>
          <w:tcPr>
            <w:tcW w:w="5580" w:type="dxa"/>
            <w:vAlign w:val="bottom"/>
          </w:tcPr>
          <w:p>
            <w:pPr>
              <w:ind w:left="280"/>
              <w:spacing w:after="0"/>
              <w:rPr>
                <w:sz w:val="20"/>
                <w:szCs w:val="20"/>
                <w:color w:val="auto"/>
              </w:rPr>
            </w:pPr>
            <w:r>
              <w:rPr>
                <w:rFonts w:ascii="Arial" w:cs="Arial" w:eastAsia="Arial" w:hAnsi="Arial"/>
                <w:sz w:val="18"/>
                <w:szCs w:val="18"/>
                <w:color w:val="auto"/>
              </w:rPr>
              <w:t>Consolidated T. Rowe Price investment products - variable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5580" w:type="dxa"/>
            <w:vAlign w:val="bottom"/>
          </w:tcPr>
          <w:p>
            <w:pPr>
              <w:ind w:left="280"/>
              <w:spacing w:after="0"/>
              <w:rPr>
                <w:sz w:val="20"/>
                <w:szCs w:val="20"/>
                <w:color w:val="auto"/>
              </w:rPr>
            </w:pPr>
            <w:r>
              <w:rPr>
                <w:rFonts w:ascii="Arial" w:cs="Arial" w:eastAsia="Arial" w:hAnsi="Arial"/>
                <w:sz w:val="18"/>
                <w:szCs w:val="18"/>
                <w:color w:val="auto"/>
              </w:rPr>
              <w:t>interest entities</w:t>
            </w:r>
          </w:p>
        </w:tc>
        <w:tc>
          <w:tcPr>
            <w:tcW w:w="2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35"/>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Reclassification gains (losses) recognized in non-operating</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3"/>
        </w:trPr>
        <w:tc>
          <w:tcPr>
            <w:tcW w:w="55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income upon deconsolidation of certain T. Rowe Price investment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9"/>
        </w:trPr>
        <w:tc>
          <w:tcPr>
            <w:tcW w:w="5580" w:type="dxa"/>
            <w:vAlign w:val="bottom"/>
          </w:tcPr>
          <w:p>
            <w:pPr>
              <w:ind w:left="260"/>
              <w:spacing w:after="0"/>
              <w:rPr>
                <w:sz w:val="20"/>
                <w:szCs w:val="20"/>
                <w:color w:val="auto"/>
              </w:rPr>
            </w:pPr>
            <w:r>
              <w:rPr>
                <w:rFonts w:ascii="Arial" w:cs="Arial" w:eastAsia="Arial" w:hAnsi="Arial"/>
                <w:sz w:val="18"/>
                <w:szCs w:val="18"/>
                <w:color w:val="auto"/>
                <w:w w:val="99"/>
              </w:rPr>
              <w:t>Consolidated T. Rowe Price investment products - variable interest</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5580" w:type="dxa"/>
            <w:vAlign w:val="bottom"/>
          </w:tcPr>
          <w:p>
            <w:pPr>
              <w:ind w:left="260"/>
              <w:spacing w:after="0"/>
              <w:rPr>
                <w:sz w:val="20"/>
                <w:szCs w:val="20"/>
                <w:color w:val="auto"/>
              </w:rPr>
            </w:pPr>
            <w:r>
              <w:rPr>
                <w:rFonts w:ascii="Arial" w:cs="Arial" w:eastAsia="Arial" w:hAnsi="Arial"/>
                <w:sz w:val="18"/>
                <w:szCs w:val="18"/>
                <w:color w:val="auto"/>
              </w:rPr>
              <w:t>entities, net</w:t>
            </w:r>
          </w:p>
        </w:tc>
        <w:tc>
          <w:tcPr>
            <w:tcW w:w="2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0"/>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5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891.7</w:t>
            </w:r>
          </w:p>
        </w:tc>
      </w:tr>
      <w:tr>
        <w:trPr>
          <w:trHeight w:val="23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redeemable non-</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892.7</w:t>
            </w: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CONDENSED CONSOLIDATED STATEMENTS OF CASH FLOWS</w:t>
      </w:r>
      <w:r>
        <w:rPr>
          <w:rFonts w:ascii="Arial" w:cs="Arial" w:eastAsia="Arial" w:hAnsi="Arial"/>
          <w:sz w:val="21"/>
          <w:szCs w:val="21"/>
          <w:b w:val="1"/>
          <w:bCs w:val="1"/>
          <w:color w:val="auto"/>
          <w:vertAlign w:val="superscript"/>
        </w:rPr>
        <w:t>(1)</w:t>
      </w:r>
    </w:p>
    <w:p>
      <w:pPr>
        <w:spacing w:after="0"/>
        <w:rPr>
          <w:sz w:val="20"/>
          <w:szCs w:val="20"/>
          <w:color w:val="auto"/>
        </w:rPr>
      </w:pPr>
      <w:r>
        <w:rPr>
          <w:rFonts w:ascii="Arial" w:cs="Arial" w:eastAsia="Arial" w:hAnsi="Arial"/>
          <w:sz w:val="18"/>
          <w:szCs w:val="18"/>
          <w:b w:val="1"/>
          <w:bCs w:val="1"/>
          <w:color w:val="auto"/>
        </w:rPr>
        <w:t>(in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0"/>
        </w:trPr>
        <w:tc>
          <w:tcPr>
            <w:tcW w:w="8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6/30/2018</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790.4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Realized gains on dispositions of available-for-sale T. Rowe Price investment products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recognized upon transfer of an investment in a T. Rowe Price mutual fund from available-for-</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to held as trading</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investments in T. Rowe Price investment products to economically hedge supplemental savings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liability</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63"/>
        </w:trPr>
        <w:tc>
          <w:tcPr>
            <w:tcW w:w="8520" w:type="dxa"/>
            <w:vAlign w:val="bottom"/>
          </w:tcPr>
          <w:p>
            <w:pPr>
              <w:ind w:left="340"/>
              <w:spacing w:after="0"/>
              <w:rPr>
                <w:sz w:val="20"/>
                <w:szCs w:val="20"/>
                <w:color w:val="auto"/>
              </w:rPr>
            </w:pPr>
            <w:r>
              <w:rPr>
                <w:rFonts w:ascii="Arial" w:cs="Arial" w:eastAsia="Arial" w:hAnsi="Arial"/>
                <w:sz w:val="18"/>
                <w:szCs w:val="18"/>
                <w:color w:val="auto"/>
              </w:rPr>
              <w:t>Net change in securities held by consolidated T. Rowe Price investment products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T. Rowe Price investment products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Dispositions T. Rowe Price investment products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324"/>
        </w:trPr>
        <w:tc>
          <w:tcPr>
            <w:tcW w:w="8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5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7"/>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717.7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50"/>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of consolidated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8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6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1,270.5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15"/>
        </w:trPr>
        <w:tc>
          <w:tcPr>
            <w:tcW w:w="8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 including $73.7 million at June 30, 2017, and $111.9 million</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1,615.9</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1,596.3</w:t>
            </w:r>
          </w:p>
        </w:tc>
        <w:tc>
          <w:tcPr>
            <w:tcW w:w="0" w:type="dxa"/>
            <w:vAlign w:val="bottom"/>
          </w:tcPr>
          <w:p>
            <w:pPr>
              <w:spacing w:after="0"/>
              <w:rPr>
                <w:sz w:val="1"/>
                <w:szCs w:val="1"/>
                <w:color w:val="auto"/>
              </w:rPr>
            </w:pPr>
          </w:p>
        </w:tc>
      </w:tr>
      <w:tr>
        <w:trPr>
          <w:trHeight w:val="21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June 30, 2018, held by consolidated T. Rowe Price investment products)</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8890</wp:posOffset>
            </wp:positionV>
            <wp:extent cx="1818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5" w:lineRule="exact"/>
        <w:rPr>
          <w:sz w:val="20"/>
          <w:szCs w:val="20"/>
          <w:color w:val="auto"/>
        </w:rPr>
      </w:pPr>
    </w:p>
    <w:p>
      <w:pPr>
        <w:ind w:left="140" w:hanging="132"/>
        <w:spacing w:after="0"/>
        <w:tabs>
          <w:tab w:leader="none" w:pos="140" w:val="left"/>
        </w:tabs>
        <w:numPr>
          <w:ilvl w:val="0"/>
          <w:numId w:val="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note 12 for supplementary consolidating cash flow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72" w:right="259" w:bottom="1440" w:gutter="0" w:footer="0" w:header="0"/>
        </w:sectPr>
      </w:pPr>
    </w:p>
    <w:bookmarkStart w:id="5" w:name="page6"/>
    <w:bookmarkEnd w:id="5"/>
    <w:p>
      <w:pPr>
        <w:ind w:right="3920"/>
        <w:spacing w:after="0" w:line="287"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Redeemable</w:t>
            </w:r>
          </w:p>
        </w:tc>
      </w:tr>
      <w:tr>
        <w:trPr>
          <w:trHeight w:val="162"/>
        </w:trPr>
        <w:tc>
          <w:tcPr>
            <w:tcW w:w="39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capital in</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7"/>
              </w:rPr>
              <w:t>other</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non-</w:t>
            </w:r>
          </w:p>
        </w:tc>
      </w:tr>
      <w:tr>
        <w:trPr>
          <w:trHeight w:val="162"/>
        </w:trPr>
        <w:tc>
          <w:tcPr>
            <w:tcW w:w="39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excess of</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controlling</w:t>
            </w:r>
          </w:p>
        </w:tc>
      </w:tr>
      <w:tr>
        <w:trPr>
          <w:trHeight w:val="196"/>
        </w:trPr>
        <w:tc>
          <w:tcPr>
            <w:tcW w:w="39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outstanding</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par value</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2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income (loss)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right="53"/>
              <w:spacing w:after="0"/>
              <w:rPr>
                <w:sz w:val="20"/>
                <w:szCs w:val="20"/>
                <w:color w:val="auto"/>
              </w:rPr>
            </w:pPr>
            <w:r>
              <w:rPr>
                <w:rFonts w:ascii="Arial" w:cs="Arial" w:eastAsia="Arial" w:hAnsi="Arial"/>
                <w:sz w:val="14"/>
                <w:szCs w:val="14"/>
                <w:b w:val="1"/>
                <w:bCs w:val="1"/>
                <w:color w:val="auto"/>
              </w:rPr>
              <w:t>interests</w:t>
            </w:r>
          </w:p>
        </w:tc>
      </w:tr>
      <w:tr>
        <w:trPr>
          <w:trHeight w:val="249"/>
        </w:trPr>
        <w:tc>
          <w:tcPr>
            <w:tcW w:w="3940" w:type="dxa"/>
            <w:vAlign w:val="bottom"/>
          </w:tcPr>
          <w:p>
            <w:pPr>
              <w:ind w:left="40"/>
              <w:spacing w:after="0"/>
              <w:rPr>
                <w:sz w:val="20"/>
                <w:szCs w:val="20"/>
                <w:color w:val="auto"/>
              </w:rPr>
            </w:pPr>
            <w:r>
              <w:rPr>
                <w:rFonts w:ascii="Arial" w:cs="Arial" w:eastAsia="Arial" w:hAnsi="Arial"/>
                <w:sz w:val="18"/>
                <w:szCs w:val="18"/>
                <w:color w:val="auto"/>
              </w:rPr>
              <w:t>Balances at December 31, 2017</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245,111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846.1</w:t>
            </w:r>
          </w:p>
        </w:tc>
        <w:tc>
          <w:tcPr>
            <w:tcW w:w="120" w:type="dxa"/>
            <w:vAlign w:val="bottom"/>
          </w:tcPr>
          <w:p>
            <w:pPr>
              <w:spacing w:after="0"/>
              <w:rPr>
                <w:sz w:val="21"/>
                <w:szCs w:val="21"/>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$4,932.9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6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5,824.4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992.8</w:t>
            </w:r>
          </w:p>
        </w:tc>
      </w:tr>
      <w:tr>
        <w:trPr>
          <w:trHeight w:val="235"/>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effect adjustment upon adoption of</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3"/>
        </w:trPr>
        <w:tc>
          <w:tcPr>
            <w:tcW w:w="3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new financial instruments and accumulated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0"/>
        </w:trPr>
        <w:tc>
          <w:tcPr>
            <w:tcW w:w="394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other comprehensive income guidance on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3"/>
        </w:trPr>
        <w:tc>
          <w:tcPr>
            <w:tcW w:w="39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January 1, 2018</w:t>
            </w:r>
            <w:r>
              <w:rPr>
                <w:rFonts w:ascii="Arial" w:cs="Arial" w:eastAsia="Arial" w:hAnsi="Arial"/>
                <w:sz w:val="21"/>
                <w:szCs w:val="21"/>
                <w:color w:val="auto"/>
                <w:vertAlign w:val="superscript"/>
              </w:rPr>
              <w:t>(1)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rPr>
              <w:t>Reclassification adjustment of stranded tax</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3"/>
        </w:trPr>
        <w:tc>
          <w:tcPr>
            <w:tcW w:w="3940" w:type="dxa"/>
            <w:vAlign w:val="bottom"/>
          </w:tcPr>
          <w:p>
            <w:pPr>
              <w:ind w:left="40"/>
              <w:spacing w:after="0" w:line="202" w:lineRule="exact"/>
              <w:rPr>
                <w:sz w:val="20"/>
                <w:szCs w:val="20"/>
                <w:color w:val="auto"/>
              </w:rPr>
            </w:pPr>
            <w:r>
              <w:rPr>
                <w:rFonts w:ascii="Arial" w:cs="Arial" w:eastAsia="Arial" w:hAnsi="Arial"/>
                <w:sz w:val="18"/>
                <w:szCs w:val="18"/>
                <w:color w:val="auto"/>
              </w:rPr>
              <w:t>benefits on currency translation adjustments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940" w:type="dxa"/>
            <w:vAlign w:val="bottom"/>
          </w:tcPr>
          <w:p>
            <w:pPr>
              <w:ind w:left="40"/>
              <w:spacing w:after="0" w:line="202" w:lineRule="exact"/>
              <w:rPr>
                <w:sz w:val="20"/>
                <w:szCs w:val="20"/>
                <w:color w:val="auto"/>
              </w:rPr>
            </w:pPr>
            <w:r>
              <w:rPr>
                <w:rFonts w:ascii="Arial" w:cs="Arial" w:eastAsia="Arial" w:hAnsi="Arial"/>
                <w:sz w:val="18"/>
                <w:szCs w:val="18"/>
                <w:color w:val="auto"/>
              </w:rPr>
              <w:t>upon adoption of new accumulated other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940" w:type="dxa"/>
            <w:vAlign w:val="bottom"/>
          </w:tcPr>
          <w:p>
            <w:pPr>
              <w:ind w:left="40"/>
              <w:spacing w:after="0" w:line="202" w:lineRule="exact"/>
              <w:rPr>
                <w:sz w:val="20"/>
                <w:szCs w:val="20"/>
                <w:color w:val="auto"/>
              </w:rPr>
            </w:pPr>
            <w:r>
              <w:rPr>
                <w:rFonts w:ascii="Arial" w:cs="Arial" w:eastAsia="Arial" w:hAnsi="Arial"/>
                <w:sz w:val="18"/>
                <w:szCs w:val="18"/>
                <w:color w:val="auto"/>
              </w:rPr>
              <w:t>comprehensive income guidance on January 1,</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4"/>
        </w:trPr>
        <w:tc>
          <w:tcPr>
            <w:tcW w:w="3940" w:type="dxa"/>
            <w:vAlign w:val="bottom"/>
          </w:tcPr>
          <w:p>
            <w:pPr>
              <w:ind w:left="40"/>
              <w:spacing w:after="0"/>
              <w:rPr>
                <w:sz w:val="20"/>
                <w:szCs w:val="20"/>
                <w:color w:val="auto"/>
              </w:rPr>
            </w:pPr>
            <w:r>
              <w:rPr>
                <w:rFonts w:ascii="Arial" w:cs="Arial" w:eastAsia="Arial" w:hAnsi="Arial"/>
                <w:sz w:val="18"/>
                <w:szCs w:val="18"/>
                <w:color w:val="auto"/>
              </w:rPr>
              <w:t>2018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January 1, 2018</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245,111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846.1</w:t>
            </w: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4,957.6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5,838.9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992.8</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12.5</w:t>
            </w:r>
          </w:p>
        </w:tc>
      </w:tr>
      <w:tr>
        <w:trPr>
          <w:trHeight w:val="277"/>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stock-based compensation plans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activity</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3"/>
        </w:trPr>
        <w:tc>
          <w:tcPr>
            <w:tcW w:w="3940" w:type="dxa"/>
            <w:vAlign w:val="bottom"/>
          </w:tcPr>
          <w:p>
            <w:pPr>
              <w:ind w:left="180"/>
              <w:spacing w:after="0"/>
              <w:rPr>
                <w:sz w:val="20"/>
                <w:szCs w:val="20"/>
                <w:color w:val="auto"/>
              </w:rPr>
            </w:pPr>
            <w:r>
              <w:rPr>
                <w:rFonts w:ascii="Arial" w:cs="Arial" w:eastAsia="Arial" w:hAnsi="Arial"/>
                <w:sz w:val="18"/>
                <w:szCs w:val="18"/>
                <w:color w:val="auto"/>
              </w:rPr>
              <w:t>Shares issued upon option exercises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withheld for taxes</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Shares issued upon vesting of restricted stock</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940" w:type="dxa"/>
            <w:vAlign w:val="bottom"/>
          </w:tcPr>
          <w:p>
            <w:pPr>
              <w:ind w:left="180"/>
              <w:spacing w:after="0"/>
              <w:rPr>
                <w:sz w:val="20"/>
                <w:szCs w:val="20"/>
                <w:color w:val="auto"/>
              </w:rPr>
            </w:pPr>
            <w:r>
              <w:rPr>
                <w:rFonts w:ascii="Arial" w:cs="Arial" w:eastAsia="Arial" w:hAnsi="Arial"/>
                <w:sz w:val="18"/>
                <w:szCs w:val="18"/>
                <w:color w:val="auto"/>
              </w:rPr>
              <w:t>units, net of shares withheld for taxes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 of restricted awards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39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issued as dividend</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63"/>
        </w:trPr>
        <w:tc>
          <w:tcPr>
            <w:tcW w:w="394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35"/>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322.6</w:t>
            </w:r>
          </w:p>
        </w:tc>
      </w:tr>
      <w:tr>
        <w:trPr>
          <w:trHeight w:val="229"/>
        </w:trPr>
        <w:tc>
          <w:tcPr>
            <w:tcW w:w="3940" w:type="dxa"/>
            <w:vAlign w:val="bottom"/>
          </w:tcPr>
          <w:p>
            <w:pPr>
              <w:ind w:left="40"/>
              <w:spacing w:after="0"/>
              <w:rPr>
                <w:sz w:val="20"/>
                <w:szCs w:val="20"/>
                <w:color w:val="auto"/>
              </w:rPr>
            </w:pPr>
            <w:r>
              <w:rPr>
                <w:rFonts w:ascii="Arial" w:cs="Arial" w:eastAsia="Arial" w:hAnsi="Arial"/>
                <w:sz w:val="18"/>
                <w:szCs w:val="18"/>
                <w:color w:val="auto"/>
              </w:rPr>
              <w:t>Net deconsolidations of T. Rowe Price</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4"/>
        </w:trPr>
        <w:tc>
          <w:tcPr>
            <w:tcW w:w="3940" w:type="dxa"/>
            <w:vAlign w:val="bottom"/>
          </w:tcPr>
          <w:p>
            <w:pPr>
              <w:ind w:left="40"/>
              <w:spacing w:after="0"/>
              <w:rPr>
                <w:sz w:val="20"/>
                <w:szCs w:val="20"/>
                <w:color w:val="auto"/>
              </w:rPr>
            </w:pPr>
            <w:r>
              <w:rPr>
                <w:rFonts w:ascii="Arial" w:cs="Arial" w:eastAsia="Arial" w:hAnsi="Arial"/>
                <w:sz w:val="18"/>
                <w:szCs w:val="18"/>
                <w:color w:val="auto"/>
              </w:rPr>
              <w:t>investment products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(575.2)</w:t>
            </w:r>
          </w:p>
        </w:tc>
      </w:tr>
      <w:tr>
        <w:trPr>
          <w:trHeight w:val="257"/>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June 30, 2018</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243,180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$5,435.1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6,114.6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8890</wp:posOffset>
            </wp:positionV>
            <wp:extent cx="4751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5" w:lineRule="exact"/>
        <w:rPr>
          <w:sz w:val="20"/>
          <w:szCs w:val="20"/>
          <w:color w:val="auto"/>
        </w:rPr>
      </w:pPr>
    </w:p>
    <w:p>
      <w:pPr>
        <w:ind w:right="40" w:firstLine="8"/>
        <w:spacing w:after="0" w:line="295" w:lineRule="auto"/>
        <w:tabs>
          <w:tab w:leader="none" w:pos="172" w:val="left"/>
        </w:tabs>
        <w:numPr>
          <w:ilvl w:val="0"/>
          <w:numId w:val="2"/>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NOTE 1 – THE COMPANY AND BASIS OF PREPARATION.</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T. Rowe Price U.S. mutual funds (U.S. mutual funds) and other investment products, including separately managed accounts, subadvised funds, and other T. Rowe Price investment products.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2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order to increase transparency of operating expenses and better align expenses that have similar cost drivers, we have changed, as of January 1, 2018, the presentation of certain line items of our income statement. In doing so, we have reclassified certain prior year amounts to conform to the 2018 presentation. These reclassifications are shown along with the impact of the new revenue recognition accounting standard adopted on January 1, 2018, in the </w:t>
      </w:r>
      <w:r>
        <w:rPr>
          <w:rFonts w:ascii="Arial" w:cs="Arial" w:eastAsia="Arial" w:hAnsi="Arial"/>
          <w:sz w:val="18"/>
          <w:szCs w:val="18"/>
          <w:i w:val="1"/>
          <w:iCs w:val="1"/>
          <w:color w:val="auto"/>
        </w:rPr>
        <w:t>New Accounting Guidance</w:t>
      </w:r>
      <w:r>
        <w:rPr>
          <w:rFonts w:ascii="Arial" w:cs="Arial" w:eastAsia="Arial" w:hAnsi="Arial"/>
          <w:sz w:val="18"/>
          <w:szCs w:val="18"/>
          <w:color w:val="auto"/>
        </w:rPr>
        <w:t xml:space="preserve"> section below.</w:t>
      </w:r>
    </w:p>
    <w:p>
      <w:pPr>
        <w:spacing w:after="0" w:line="2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2017 Annual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adopted Accounting Standards Codification Topic 606: Revenue from Contracts with Customers (ASC 606), on January 1, 2018, using the retrospective method which required adjustments to be reflected as of January 1, 2016. In connection with the adoption of this guidance, we reevaluated all of our revenue contracts and determined that the new guidance does not change the timing of when we recognize revenue. However, we did conclude that certain fees earned from the U.S. mutual funds associated with our mutual fund transfer agent, accounting, shareholder servicing, and participant recordkeeping activities could no longer be reported net of the expenses paid to third parties that perform such services as we are deemed, under the guidance, to have control over the services before they are transferred to the U.S. mutual funds. No transition-related practical expedients were applied. Certain immaterial balance sheet reclassifications were made to conform to the 2018 presentation and all related note disclosures have been recast. Updates to our revenue recognition disclosures are included in </w:t>
      </w:r>
      <w:r>
        <w:rPr>
          <w:rFonts w:ascii="Arial" w:cs="Arial" w:eastAsia="Arial" w:hAnsi="Arial"/>
          <w:sz w:val="18"/>
          <w:szCs w:val="18"/>
          <w:i w:val="1"/>
          <w:iCs w:val="1"/>
          <w:color w:val="auto"/>
        </w:rPr>
        <w:t>Note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about Receivables, Revenues, and Services </w:t>
      </w:r>
      <w:r>
        <w:rPr>
          <w:rFonts w:ascii="Arial" w:cs="Arial" w:eastAsia="Arial" w:hAnsi="Arial"/>
          <w:sz w:val="18"/>
          <w:szCs w:val="18"/>
          <w:color w:val="auto"/>
        </w:rPr>
        <w:t>and our updated revenue recognition accounting policy is included in the</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section below.</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576" w:right="259" w:bottom="1440" w:gutter="0" w:footer="0" w:header="0"/>
        </w:sectPr>
      </w:pPr>
    </w:p>
    <w:bookmarkStart w:id="7" w:name="page8"/>
    <w:bookmarkEnd w:id="7"/>
    <w:p>
      <w:pPr>
        <w:ind w:right="60"/>
        <w:spacing w:after="0" w:line="317" w:lineRule="auto"/>
        <w:rPr>
          <w:sz w:val="20"/>
          <w:szCs w:val="20"/>
          <w:color w:val="auto"/>
        </w:rPr>
      </w:pPr>
      <w:r>
        <w:rPr>
          <w:rFonts w:ascii="Arial" w:cs="Arial" w:eastAsia="Arial" w:hAnsi="Arial"/>
          <w:sz w:val="15"/>
          <w:szCs w:val="15"/>
          <w:color w:val="auto"/>
        </w:rPr>
        <w:t>The impact of ASC 606 and other income statement reclassifications, as described above, on the condensed consolidated statements of income for each quarter of 2017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9"/>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3/31/2017</w:t>
            </w:r>
          </w:p>
        </w:tc>
        <w:tc>
          <w:tcPr>
            <w:tcW w:w="66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gridSpan w:val="9"/>
            <w:shd w:val="clear" w:color="auto" w:fill="CCEEFF"/>
          </w:tcPr>
          <w:p>
            <w:pPr>
              <w:jc w:val="right"/>
              <w:ind w:right="1"/>
              <w:spacing w:after="0"/>
              <w:rPr>
                <w:sz w:val="20"/>
                <w:szCs w:val="20"/>
                <w:color w:val="auto"/>
              </w:rPr>
            </w:pPr>
            <w:r>
              <w:rPr>
                <w:rFonts w:ascii="Arial" w:cs="Arial" w:eastAsia="Arial" w:hAnsi="Arial"/>
                <w:sz w:val="14"/>
                <w:szCs w:val="14"/>
                <w:b w:val="1"/>
                <w:bCs w:val="1"/>
                <w:color w:val="auto"/>
              </w:rPr>
              <w:t>Three months ended 6/30/2017</w:t>
            </w:r>
          </w:p>
        </w:tc>
        <w:tc>
          <w:tcPr>
            <w:tcW w:w="660" w:type="dxa"/>
            <w:vAlign w:val="bottom"/>
            <w:tcBorders>
              <w:bottom w:val="single" w:sz="8" w:color="auto"/>
            </w:tcBorders>
            <w:shd w:val="clear" w:color="auto" w:fill="CCEEFF"/>
          </w:tcPr>
          <w:p>
            <w:pPr>
              <w:spacing w:after="0"/>
              <w:rPr>
                <w:sz w:val="22"/>
                <w:szCs w:val="22"/>
                <w:color w:val="auto"/>
              </w:rPr>
            </w:pPr>
          </w:p>
        </w:tc>
      </w:tr>
      <w:tr>
        <w:trPr>
          <w:trHeight w:val="175"/>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Impact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rPr>
              <w:t>As</w:t>
            </w:r>
          </w:p>
        </w:tc>
      </w:tr>
      <w:tr>
        <w:trPr>
          <w:trHeight w:val="162"/>
        </w:trPr>
        <w:tc>
          <w:tcPr>
            <w:tcW w:w="38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previously</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in</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of ASC</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previously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in</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Impact of</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reported</w:t>
            </w:r>
          </w:p>
        </w:tc>
      </w:tr>
      <w:tr>
        <w:trPr>
          <w:trHeight w:val="196"/>
        </w:trPr>
        <w:tc>
          <w:tcPr>
            <w:tcW w:w="38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Presentation</w:t>
            </w:r>
          </w:p>
        </w:tc>
        <w:tc>
          <w:tcPr>
            <w:tcW w:w="160" w:type="dxa"/>
            <w:vAlign w:val="bottom"/>
          </w:tcPr>
          <w:p>
            <w:pPr>
              <w:spacing w:after="0"/>
              <w:rPr>
                <w:sz w:val="17"/>
                <w:szCs w:val="17"/>
                <w:color w:val="auto"/>
              </w:rPr>
            </w:pPr>
          </w:p>
        </w:tc>
        <w:tc>
          <w:tcPr>
            <w:tcW w:w="500" w:type="dxa"/>
            <w:vAlign w:val="bottom"/>
          </w:tcPr>
          <w:p>
            <w:pPr>
              <w:jc w:val="center"/>
              <w:ind w:right="60"/>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Recast</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Presentation</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ASC 606</w:t>
            </w:r>
          </w:p>
        </w:tc>
        <w:tc>
          <w:tcPr>
            <w:tcW w:w="120" w:type="dxa"/>
            <w:vAlign w:val="bottom"/>
          </w:tcPr>
          <w:p>
            <w:pPr>
              <w:spacing w:after="0"/>
              <w:rPr>
                <w:sz w:val="17"/>
                <w:szCs w:val="17"/>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w w:val="99"/>
              </w:rPr>
              <w:t>herein</w:t>
            </w:r>
          </w:p>
        </w:tc>
      </w:tr>
      <w:tr>
        <w:trPr>
          <w:trHeight w:val="270"/>
        </w:trPr>
        <w:tc>
          <w:tcPr>
            <w:tcW w:w="3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0"/>
        </w:trPr>
        <w:tc>
          <w:tcPr>
            <w:tcW w:w="3840" w:type="dxa"/>
            <w:vAlign w:val="bottom"/>
          </w:tcPr>
          <w:p>
            <w:pPr>
              <w:ind w:left="180"/>
              <w:spacing w:after="0"/>
              <w:rPr>
                <w:sz w:val="20"/>
                <w:szCs w:val="20"/>
                <w:color w:val="auto"/>
              </w:rPr>
            </w:pPr>
            <w:r>
              <w:rPr>
                <w:rFonts w:ascii="Arial" w:cs="Arial" w:eastAsia="Arial" w:hAnsi="Arial"/>
                <w:sz w:val="16"/>
                <w:szCs w:val="16"/>
                <w:color w:val="auto"/>
              </w:rPr>
              <w:t>Investment advisory fees</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991.1</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992.7</w:t>
            </w: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$1,043.9</w:t>
            </w:r>
          </w:p>
        </w:tc>
        <w:tc>
          <w:tcPr>
            <w:tcW w:w="42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1,046.0</w:t>
            </w:r>
          </w:p>
        </w:tc>
      </w:tr>
      <w:tr>
        <w:trPr>
          <w:trHeight w:val="28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Administrative, distribution, and servicing fees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139.9</w:t>
            </w:r>
          </w:p>
        </w:tc>
        <w:tc>
          <w:tcPr>
            <w:tcW w:w="2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r>
      <w:tr>
        <w:trPr>
          <w:trHeight w:val="244"/>
        </w:trPr>
        <w:tc>
          <w:tcPr>
            <w:tcW w:w="3840" w:type="dxa"/>
            <w:vAlign w:val="bottom"/>
          </w:tcPr>
          <w:p>
            <w:pPr>
              <w:ind w:left="18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1,113.6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97"/>
              </w:rPr>
              <w:t>1,132.6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1,171.6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1,186.0</w:t>
            </w:r>
          </w:p>
        </w:tc>
      </w:tr>
      <w:tr>
        <w:trPr>
          <w:trHeight w:val="122"/>
        </w:trPr>
        <w:tc>
          <w:tcPr>
            <w:tcW w:w="38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r>
      <w:tr>
        <w:trPr>
          <w:trHeight w:val="260"/>
        </w:trPr>
        <w:tc>
          <w:tcPr>
            <w:tcW w:w="38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8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and related costs</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397.4</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403.8</w:t>
            </w:r>
          </w:p>
        </w:tc>
      </w:tr>
      <w:tr>
        <w:trPr>
          <w:trHeight w:val="260"/>
        </w:trPr>
        <w:tc>
          <w:tcPr>
            <w:tcW w:w="3840" w:type="dxa"/>
            <w:vAlign w:val="bottom"/>
          </w:tcPr>
          <w:p>
            <w:pPr>
              <w:ind w:left="180"/>
              <w:spacing w:after="0"/>
              <w:rPr>
                <w:sz w:val="20"/>
                <w:szCs w:val="20"/>
                <w:color w:val="auto"/>
              </w:rPr>
            </w:pPr>
            <w:r>
              <w:rPr>
                <w:rFonts w:ascii="Arial" w:cs="Arial" w:eastAsia="Arial" w:hAnsi="Arial"/>
                <w:sz w:val="16"/>
                <w:szCs w:val="16"/>
                <w:color w:val="auto"/>
              </w:rPr>
              <w:t>Distribution and servicing</w:t>
            </w: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59.8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64.8</w:t>
            </w:r>
          </w:p>
        </w:tc>
      </w:tr>
      <w:tr>
        <w:trPr>
          <w:trHeight w:val="28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 and promotion</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25.7</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r>
      <w:tr>
        <w:trPr>
          <w:trHeight w:val="260"/>
        </w:trPr>
        <w:tc>
          <w:tcPr>
            <w:tcW w:w="3840" w:type="dxa"/>
            <w:vAlign w:val="bottom"/>
          </w:tcPr>
          <w:p>
            <w:pPr>
              <w:ind w:left="180"/>
              <w:spacing w:after="0"/>
              <w:rPr>
                <w:sz w:val="20"/>
                <w:szCs w:val="20"/>
                <w:color w:val="auto"/>
              </w:rPr>
            </w:pPr>
            <w:r>
              <w:rPr>
                <w:rFonts w:ascii="Arial" w:cs="Arial" w:eastAsia="Arial" w:hAnsi="Arial"/>
                <w:sz w:val="16"/>
                <w:szCs w:val="16"/>
                <w:color w:val="auto"/>
              </w:rPr>
              <w:t>Product-related costs</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38.6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34.4</w:t>
            </w:r>
          </w:p>
        </w:tc>
      </w:tr>
      <w:tr>
        <w:trPr>
          <w:trHeight w:val="28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Technology, occupancy, and facility costs</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85.6</w:t>
            </w:r>
          </w:p>
        </w:tc>
      </w:tr>
      <w:tr>
        <w:trPr>
          <w:trHeight w:val="260"/>
        </w:trPr>
        <w:tc>
          <w:tcPr>
            <w:tcW w:w="3840" w:type="dxa"/>
            <w:vAlign w:val="bottom"/>
          </w:tcPr>
          <w:p>
            <w:pPr>
              <w:ind w:left="18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56.6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71.1</w:t>
            </w:r>
          </w:p>
        </w:tc>
      </w:tr>
      <w:tr>
        <w:trPr>
          <w:trHeight w:val="228"/>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Nonrecurring insurance recoveries related to Dell</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08"/>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appraisal rights matter</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591.9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610.9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678.4</w:t>
            </w:r>
          </w:p>
        </w:tc>
      </w:tr>
      <w:tr>
        <w:trPr>
          <w:trHeight w:val="24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income</w:t>
            </w: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521.7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521.7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507.6</w:t>
            </w: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9"/>
        </w:trPr>
        <w:tc>
          <w:tcPr>
            <w:tcW w:w="38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264"/>
        </w:trPr>
        <w:tc>
          <w:tcPr>
            <w:tcW w:w="38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700" w:type="dxa"/>
            <w:vAlign w:val="bottom"/>
            <w:tcBorders>
              <w:bottom w:val="single" w:sz="8" w:color="auto"/>
            </w:tcBorders>
            <w:gridSpan w:val="9"/>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9/30/2017</w:t>
            </w:r>
          </w:p>
        </w:tc>
        <w:tc>
          <w:tcPr>
            <w:tcW w:w="66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800" w:type="dxa"/>
            <w:vAlign w:val="bottom"/>
            <w:tcBorders>
              <w:bottom w:val="single" w:sz="8" w:color="auto"/>
            </w:tcBorders>
            <w:gridSpan w:val="10"/>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12/31/2017</w:t>
            </w:r>
          </w:p>
        </w:tc>
        <w:tc>
          <w:tcPr>
            <w:tcW w:w="660" w:type="dxa"/>
            <w:vAlign w:val="bottom"/>
            <w:tcBorders>
              <w:bottom w:val="single" w:sz="8" w:color="auto"/>
            </w:tcBorders>
            <w:shd w:val="clear" w:color="auto" w:fill="CCEEFF"/>
          </w:tcPr>
          <w:p>
            <w:pPr>
              <w:spacing w:after="0"/>
              <w:rPr>
                <w:sz w:val="22"/>
                <w:szCs w:val="22"/>
                <w:color w:val="auto"/>
              </w:rPr>
            </w:pPr>
          </w:p>
        </w:tc>
      </w:tr>
      <w:tr>
        <w:trPr>
          <w:trHeight w:val="175"/>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Impact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As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62"/>
        </w:trPr>
        <w:tc>
          <w:tcPr>
            <w:tcW w:w="38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previously</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in</w:t>
            </w: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of ASC</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previously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in</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Impact of</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38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Presentation</w:t>
            </w:r>
          </w:p>
        </w:tc>
        <w:tc>
          <w:tcPr>
            <w:tcW w:w="160" w:type="dxa"/>
            <w:vAlign w:val="bottom"/>
          </w:tcPr>
          <w:p>
            <w:pPr>
              <w:spacing w:after="0"/>
              <w:rPr>
                <w:sz w:val="17"/>
                <w:szCs w:val="17"/>
                <w:color w:val="auto"/>
              </w:rPr>
            </w:pPr>
          </w:p>
        </w:tc>
        <w:tc>
          <w:tcPr>
            <w:tcW w:w="500" w:type="dxa"/>
            <w:vAlign w:val="bottom"/>
          </w:tcPr>
          <w:p>
            <w:pPr>
              <w:jc w:val="center"/>
              <w:ind w:right="60"/>
              <w:spacing w:after="0"/>
              <w:rPr>
                <w:sz w:val="20"/>
                <w:szCs w:val="20"/>
                <w:color w:val="auto"/>
              </w:rPr>
            </w:pPr>
            <w:r>
              <w:rPr>
                <w:rFonts w:ascii="Arial" w:cs="Arial" w:eastAsia="Arial" w:hAnsi="Arial"/>
                <w:sz w:val="14"/>
                <w:szCs w:val="14"/>
                <w:b w:val="1"/>
                <w:bCs w:val="1"/>
                <w:color w:val="auto"/>
              </w:rPr>
              <w:t>606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Recast</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reported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Presentation</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ASC 606</w:t>
            </w:r>
          </w:p>
        </w:tc>
        <w:tc>
          <w:tcPr>
            <w:tcW w:w="120" w:type="dxa"/>
            <w:vAlign w:val="bottom"/>
          </w:tcPr>
          <w:p>
            <w:pPr>
              <w:spacing w:after="0"/>
              <w:rPr>
                <w:sz w:val="17"/>
                <w:szCs w:val="17"/>
                <w:color w:val="auto"/>
              </w:rPr>
            </w:pPr>
          </w:p>
        </w:tc>
        <w:tc>
          <w:tcPr>
            <w:tcW w:w="660" w:type="dxa"/>
            <w:vAlign w:val="bottom"/>
          </w:tcPr>
          <w:p>
            <w:pPr>
              <w:jc w:val="center"/>
              <w:ind w:right="40"/>
              <w:spacing w:after="0"/>
              <w:rPr>
                <w:sz w:val="20"/>
                <w:szCs w:val="20"/>
                <w:color w:val="auto"/>
              </w:rPr>
            </w:pPr>
            <w:r>
              <w:rPr>
                <w:rFonts w:ascii="Arial" w:cs="Arial" w:eastAsia="Arial" w:hAnsi="Arial"/>
                <w:sz w:val="14"/>
                <w:szCs w:val="14"/>
                <w:b w:val="1"/>
                <w:bCs w:val="1"/>
                <w:color w:val="auto"/>
              </w:rPr>
              <w:t>Recast</w:t>
            </w:r>
          </w:p>
        </w:tc>
      </w:tr>
      <w:tr>
        <w:trPr>
          <w:trHeight w:val="270"/>
        </w:trPr>
        <w:tc>
          <w:tcPr>
            <w:tcW w:w="3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0"/>
        </w:trPr>
        <w:tc>
          <w:tcPr>
            <w:tcW w:w="3840" w:type="dxa"/>
            <w:vAlign w:val="bottom"/>
          </w:tcPr>
          <w:p>
            <w:pPr>
              <w:ind w:left="40"/>
              <w:spacing w:after="0"/>
              <w:rPr>
                <w:sz w:val="20"/>
                <w:szCs w:val="20"/>
                <w:color w:val="auto"/>
              </w:rPr>
            </w:pPr>
            <w:r>
              <w:rPr>
                <w:rFonts w:ascii="Arial" w:cs="Arial" w:eastAsia="Arial" w:hAnsi="Arial"/>
                <w:sz w:val="16"/>
                <w:szCs w:val="16"/>
                <w:color w:val="auto"/>
              </w:rPr>
              <w:t>Investment advisory fees</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$1,096.7</w:t>
            </w:r>
          </w:p>
        </w:tc>
        <w:tc>
          <w:tcPr>
            <w:tcW w:w="12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97"/>
              </w:rPr>
              <w:t>1,098.9</w:t>
            </w:r>
          </w:p>
        </w:tc>
        <w:tc>
          <w:tcPr>
            <w:tcW w:w="22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$1,156.0</w:t>
            </w:r>
          </w:p>
        </w:tc>
        <w:tc>
          <w:tcPr>
            <w:tcW w:w="42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1,158.2</w:t>
            </w:r>
          </w:p>
        </w:tc>
      </w:tr>
      <w:tr>
        <w:trPr>
          <w:trHeight w:val="280"/>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Administrative, distribution, and servicing fees</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139.8</w:t>
            </w:r>
          </w:p>
        </w:tc>
        <w:tc>
          <w:tcPr>
            <w:tcW w:w="2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139.4</w:t>
            </w:r>
          </w:p>
        </w:tc>
      </w:tr>
      <w:tr>
        <w:trPr>
          <w:trHeight w:val="244"/>
        </w:trPr>
        <w:tc>
          <w:tcPr>
            <w:tcW w:w="384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1,221.7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w w:val="97"/>
              </w:rPr>
              <w:t>1,238.7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1,286.1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1,297.6</w:t>
            </w:r>
          </w:p>
        </w:tc>
      </w:tr>
      <w:tr>
        <w:trPr>
          <w:trHeight w:val="122"/>
        </w:trPr>
        <w:tc>
          <w:tcPr>
            <w:tcW w:w="38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r>
      <w:tr>
        <w:trPr>
          <w:trHeight w:val="260"/>
        </w:trPr>
        <w:tc>
          <w:tcPr>
            <w:tcW w:w="38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80"/>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and related costs</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417.4</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446.3</w:t>
            </w:r>
          </w:p>
        </w:tc>
      </w:tr>
      <w:tr>
        <w:trPr>
          <w:trHeight w:val="260"/>
        </w:trPr>
        <w:tc>
          <w:tcPr>
            <w:tcW w:w="3840" w:type="dxa"/>
            <w:vAlign w:val="bottom"/>
          </w:tcPr>
          <w:p>
            <w:pPr>
              <w:ind w:left="40"/>
              <w:spacing w:after="0"/>
              <w:rPr>
                <w:sz w:val="20"/>
                <w:szCs w:val="20"/>
                <w:color w:val="auto"/>
              </w:rPr>
            </w:pPr>
            <w:r>
              <w:rPr>
                <w:rFonts w:ascii="Arial" w:cs="Arial" w:eastAsia="Arial" w:hAnsi="Arial"/>
                <w:sz w:val="16"/>
                <w:szCs w:val="16"/>
                <w:color w:val="auto"/>
              </w:rPr>
              <w:t>Distribution and servicing</w:t>
            </w: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67.4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70.6</w:t>
            </w:r>
          </w:p>
        </w:tc>
      </w:tr>
      <w:tr>
        <w:trPr>
          <w:trHeight w:val="280"/>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Advertising and promotion</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34.0</w:t>
            </w:r>
          </w:p>
        </w:tc>
      </w:tr>
      <w:tr>
        <w:trPr>
          <w:trHeight w:val="260"/>
        </w:trPr>
        <w:tc>
          <w:tcPr>
            <w:tcW w:w="3840" w:type="dxa"/>
            <w:vAlign w:val="bottom"/>
          </w:tcPr>
          <w:p>
            <w:pPr>
              <w:ind w:left="40"/>
              <w:spacing w:after="0"/>
              <w:rPr>
                <w:sz w:val="20"/>
                <w:szCs w:val="20"/>
                <w:color w:val="auto"/>
              </w:rPr>
            </w:pPr>
            <w:r>
              <w:rPr>
                <w:rFonts w:ascii="Arial" w:cs="Arial" w:eastAsia="Arial" w:hAnsi="Arial"/>
                <w:sz w:val="16"/>
                <w:szCs w:val="16"/>
                <w:color w:val="auto"/>
              </w:rPr>
              <w:t>Product-related costs</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35.1</w:t>
            </w:r>
          </w:p>
        </w:tc>
      </w:tr>
      <w:tr>
        <w:trPr>
          <w:trHeight w:val="280"/>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occupancy, and facility costs</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86.3</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95.8</w:t>
            </w: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administrative, and other</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67.2</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84.8</w:t>
            </w:r>
          </w:p>
        </w:tc>
      </w:tr>
      <w:tr>
        <w:trPr>
          <w:trHeight w:val="250"/>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673.2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690.2</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766.6</w:t>
            </w:r>
          </w:p>
        </w:tc>
      </w:tr>
      <w:tr>
        <w:trPr>
          <w:trHeight w:val="240"/>
        </w:trPr>
        <w:tc>
          <w:tcPr>
            <w:tcW w:w="3840" w:type="dxa"/>
            <w:vAlign w:val="bottom"/>
          </w:tcPr>
          <w:p>
            <w:pPr>
              <w:ind w:left="40"/>
              <w:spacing w:after="0"/>
              <w:rPr>
                <w:sz w:val="20"/>
                <w:szCs w:val="20"/>
                <w:color w:val="auto"/>
              </w:rPr>
            </w:pPr>
            <w:r>
              <w:rPr>
                <w:rFonts w:ascii="Arial" w:cs="Arial" w:eastAsia="Arial" w:hAnsi="Arial"/>
                <w:sz w:val="16"/>
                <w:szCs w:val="16"/>
                <w:color w:val="auto"/>
              </w:rPr>
              <w:t>Net operating income</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548.5</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548.5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531.0</w:t>
            </w:r>
          </w:p>
        </w:tc>
        <w:tc>
          <w:tcPr>
            <w:tcW w:w="42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531.0</w:t>
            </w:r>
          </w:p>
        </w:tc>
      </w:tr>
      <w:tr>
        <w:trPr>
          <w:trHeight w:val="20"/>
        </w:trPr>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previously reported column aggregates the administrative fees and distribution and servicing fees lines presented in the income statement in prior year.</w:t>
      </w:r>
    </w:p>
    <w:p>
      <w:pPr>
        <w:ind w:right="300" w:firstLine="8"/>
        <w:spacing w:after="0"/>
        <w:tabs>
          <w:tab w:leader="none" w:pos="135" w:val="left"/>
        </w:tabs>
        <w:numPr>
          <w:ilvl w:val="0"/>
          <w:numId w:val="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previously reported column aggregates the depreciation and amortization of property and equipment and occupancy and facility costs lines presented in the income statement in prior year.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120"/>
          </w:cols>
          <w:pgMar w:left="240" w:top="460" w:right="5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We adopted Accounting Standards Update No. 2016-01 — Financial Instruments — Overall (Subtopic 825-10): Recognition and Measurement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Financial Assets and Financial Liabilities on January 1, 2018. This standard update addresses certain aspects of recognition, measurement,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presentation, and disclosure of financial instruments. After January 1, 2018, the guidance requires substantially all equity investments in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entities to be measured at fair value with changes recognized in earnings, except for those accounted for using the equity method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accounting. As such, the guidance eliminated the available-for-sale investment category for equity securities, which required unrealized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holding gains to be recognized in accumulated other comprehensive income. Upon adoption, we reclassified net unrealized holding gain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 million, net of taxes, related to our $597.1 million available-for-sale investment portfolio from accumulated other comprehensive income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 Additionally, certain investments that do not have readily available market prices or quotations will be measured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new guidance, as we elected to use their calculated and reported net asset value (NAV) per share as a practical expedient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measuring their fair value in accordance with ASC 946. As such, we recognized a cumulative adjustment to retained earnings of $14.5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adjust investments previously accounted for as cost method investments to fair value on January 1, 2018. The corresponding increase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 carrying value and related deferred taxes was $19.5 million and $5.0 million, respectively. Our updated investments policy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included in the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section below.</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We adopted Accounting Standards Update No. 2018-02 — Reclassification of certain tax effects from accumulated other comprehensive income on January 1, 2018. This guidance permits tax effects stranded in accumulated other comprehensive income primarily resulting from the enactment of U.S. tax reform bill originally known as the Tax Cuts and Jobs Act of 2017 to be reclassified to retained earnings either on January 1, 2018, or retrospectively. We elected to adopt the guidance on January 1, 2018, and reclassified $2.3 million of stranded tax benefits related to currency translation adjustments to retained earnings. The stranded income taxes related to our available-for-sale investment portfolio at December 31, 2017, were reclassified to retained earnings with the adoption of Accounting Standards Update No. 2016-01 on January 1, 2018. Our updated comprehensive income policy is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section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2016, the FASB issued Accounting Standards Update No. 2016-02 — Leases (Topic 842). The standard update seeks to increase transparency and comparability among organizations by recognizing lease assets and lease liabilities on the balance sheet and disclosing key information about leasing arrangements. The standards update is effective for fiscal years beginning after December 15, 2018, including interim periods within those fiscal years. Early adoption is permitted, and certain practical expedients are available. While we continue evaluating the full impact this standard will have on our financial position and results of operations, we currently expect the most significant impact will be the recognition of a right of use asset and lease liability on our consolidated balance sheets for each real-estate operating lease. We plan to adopt the standard on its effective date, January 1, 2019.</w:t>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 TAX REFORM AND NEWLY ENACTED MARYLAND TAX LEGISLATION.</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income tax provision for the second quarter of 2018 includes an additional nonrecurring charge of $20.8 million related to the enactment of U.S. tax reform as the firm adjusted its deferred tax asset and liability re-measurement estimates recorded at December 31, 2017. We also recognized in the second quarter of 2018 a nonrecurring charge of $ 7.9 million for the re-measurement of our deferred tax assets and liabilities to reflect the effect of Maryland state tax legislation enacted on April 24, 2018. This new state tax legislation, effective in 2018, adopted a five-year phase-in of the single sales factor method of apportionment for calculating income tax for multi -state companies doing business in Maryland and is expected to result in a net benefit over time. We continue to evaluate the impact of U.S. tax reform and the Maryland state tax legislation on our estimates and expectations due to changes in our interpretations of the law, assumptions used in applying the law, and additional guidance concerning the law that may be issued.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38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revenue is earned from investment advisory, administrative, and distribution services we provide to our clients. Each distinct service we promise in our agreements is considered a performance obligation and is the basis for determining when we recognize revenue. The fees are allocated to each distinct performance obligation and we recognize revenue when, or as, we satisfy our promises. The consideration for our services is generally variable and included in net revenues, when it is improbable that a significant reversal could occur in the future. For certain client agreements, we have the discretion to hire a third party to provide services to our clients. In these circumstances, we are generally deemed to control the services before transferring them to our clients, and accordingly present the revenues gross of the related third-party costs. The timing of when we bill our clients and related payment terms vary in accordance with agreed-upon contractual terms. For the majority of our agreements, billing occurs after we have recognized revenue which results in accounts receivable and accrued revenue. For an insignificant portion of our contracts, billing occurs in advance of providing services which results in deferred revenue within the accounts payable and accrued expenses line of our condensed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fees.</w:t>
      </w:r>
    </w:p>
    <w:p>
      <w:pPr>
        <w:spacing w:after="0" w:line="18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majority of our investment advisory agreements, including those with the U.S. mutual funds, have a single performance obligation as the promised services are not separately identifiable from other promises in the agreements and, therefore, are not distinct. Substantially all performance obligations for providing advisory services are satisfied over time and revenue is recognized as time passes.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Investment advisory agreements with T. Rowe Price investment products regulated outside the U.S. generally have two performance obligations; one for investment management and one for distribution. For these agreements, we allocate the management fee to each performance obligation using our best estimate of the standalone fee of each of these services. The performance obligation for providing investment management services, like our other advisory contracts, is satisfied over time and revenue is recognized as time passes. The performance obligation for distribution is satisfied at the point in time when an investor makes an investment into the product. Accordingly, a portion of the investment advisory fees earned from these products relate to distribution performance obligations that were satisfied during prior periods. These distribution fees are reported within the investment advisory fees line of our condensed consolidated statements of income.</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management fee for our investment advisory agreements are based on our assets under management, which change based on fluctuations in financial markets, and represent variable consideration. Therefore, investment advisory fees are generally constrained, and excluded from revenue, until the asset values on which our client is billed are no longer subject to financial market volatility. Investment advisory fees for investment products are presented net of fees waived pursuant to the contractual expense limitations of the product. Our assets under management are valued in accordance with valuation and pricing processes for each major type of investment.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provide all services to the U.S. mutual funds under contracts that are subject to periodic review and approval by the funds’ Boards.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distribution, and servicing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fees.</w:t>
      </w:r>
    </w:p>
    <w:p>
      <w:pPr>
        <w:spacing w:after="0" w:line="27"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The administrative services we provide include distribution, mutual fund transfer agent, accounting and shareholder services; participant recordkeeping and transfer agent services for defined contribution retirement plans; brokerage, and trust services.</w:t>
      </w:r>
    </w:p>
    <w:p>
      <w:pPr>
        <w:spacing w:after="0" w:line="196"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administrative service agreements with the U.S. mutual funds for accounting oversight, transfer agency, and recordkeeping services generally have one performance obligation as the promised services in each agreement are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382" w:right="259" w:bottom="1440" w:gutter="0" w:footer="0" w:header="0"/>
        </w:sectPr>
      </w:pPr>
    </w:p>
    <w:bookmarkStart w:id="10" w:name="page11"/>
    <w:bookmarkEnd w:id="10"/>
    <w:p>
      <w:pPr>
        <w:ind w:right="100"/>
        <w:spacing w:after="0" w:line="256" w:lineRule="auto"/>
        <w:rPr>
          <w:sz w:val="20"/>
          <w:szCs w:val="20"/>
          <w:color w:val="auto"/>
        </w:rPr>
      </w:pPr>
      <w:r>
        <w:rPr>
          <w:rFonts w:ascii="Arial" w:cs="Arial" w:eastAsia="Arial" w:hAnsi="Arial"/>
          <w:sz w:val="18"/>
          <w:szCs w:val="18"/>
          <w:color w:val="auto"/>
        </w:rPr>
        <w:t>not separately identifiable from other promises in the agreement and, therefore, are not distinct. The fees for performing these services are generally equal to the costs incurred and represent variable consideration. The fees are generally constrained, and are recognized as revenue when costs are incurred to perform the services. These fees are generally offset by the costs incurred to provide such services.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administrative service agreements for participant recordkeeping and transfer agent services for defined contribution retirement plans; brokerage services, and trust services generally have one performance obligation as the promised services in each agreement are not separately identifiable from other performance obligations in the contract and, therefore, are not distinct. Our performance obligation in each agreement is satisfied over time and revenue is recognized as time passes. The fees for these services vary by contract and are both fixed and variable.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and servicing fees.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The agreements for distribution and servicing fees earned from 12b-1 plans of the Advisor Class, R Class, and Variable Annuity II Class shares of the U.S. mutual funds have one performance obligation, as distribution services are not separately identifiable from shareholder servicing promises in the agreements and, therefore, are not distinct. Our performance obligation is satisfied at the point in time when an investor makes an investment into these share classes of the U.S. mutual funds. The fees for these distribution and servicing agreements are based on the assets under management in these shares classes, which change based on fluctuations in financial markets, and represent variable consideration. These fees are generally constrained, and excluded from revenue, until the asset values on which our client is billed are not subject to financial market volatility. Accordingly, the majority of the distribution and servicing revenue disclosed in </w:t>
      </w:r>
      <w:r>
        <w:rPr>
          <w:rFonts w:ascii="Arial" w:cs="Arial" w:eastAsia="Arial" w:hAnsi="Arial"/>
          <w:sz w:val="17"/>
          <w:szCs w:val="17"/>
          <w:i w:val="1"/>
          <w:iCs w:val="1"/>
          <w:color w:val="auto"/>
        </w:rPr>
        <w:t>Note 2 - information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receivables, revenues and services </w:t>
      </w:r>
      <w:r>
        <w:rPr>
          <w:rFonts w:ascii="Arial" w:cs="Arial" w:eastAsia="Arial" w:hAnsi="Arial"/>
          <w:sz w:val="17"/>
          <w:szCs w:val="17"/>
          <w:color w:val="auto"/>
        </w:rPr>
        <w:t>relates to distribution and servicing obligations that were satisfied during prior periods. These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offset entirely by the distribution and servicing costs paid to third-party financial intermediaries that source the assets of these share classes.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held at fair value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Investments in T. Rowe Price investment products have been made for both general corporate investment purposes and to provide seed capital for newly formed products. Those investments that we do not consolidate are carried at fair value using the quoted closing NAV per share of each fund as of the balance sheet date. The underlying investments held by our consolidated T. Rowe Price investment products retain investment company specialized accounting in consolidation, are considered trading securities for cash flow reporting purposes, and are valued in accordance with the valuation and pricing policy used to value our assets under management which is further described in the Revenue Recognition policy above.</w:t>
      </w:r>
    </w:p>
    <w:p>
      <w:pPr>
        <w:spacing w:after="0" w:line="20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elected to value our interest in investment partnerships for which market prices or quotations are not readily available, at fair value using the NAV per share as practical expedient for measuring fair value.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values of all these investments are reflected in non-operating income in our condensed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the change in our currency translation adjustments, and prior to 2018, the change in net unrealized security holding gains (losses) on investments classified as available-for-sale.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382" w:right="239" w:bottom="1440" w:gutter="0" w:footer="0" w:header="0"/>
        </w:sectPr>
      </w:pPr>
    </w:p>
    <w:bookmarkStart w:id="11" w:name="page12"/>
    <w:bookmarkEnd w:id="11"/>
    <w:p>
      <w:pPr>
        <w:ind w:right="140"/>
        <w:spacing w:after="0" w:line="256" w:lineRule="auto"/>
        <w:rPr>
          <w:sz w:val="20"/>
          <w:szCs w:val="20"/>
          <w:color w:val="auto"/>
        </w:rPr>
      </w:pPr>
      <w:r>
        <w:rPr>
          <w:rFonts w:ascii="Arial" w:cs="Arial" w:eastAsia="Arial" w:hAnsi="Arial"/>
          <w:sz w:val="18"/>
          <w:szCs w:val="18"/>
          <w:color w:val="auto"/>
        </w:rPr>
        <w:t>The currency translation adjustments result from translating our proportionate share of the financial statements of UTI, our equity method investment, and certain consolidated T. Rowe Price investment products into U.S. dollars. Assets and liabilities are translated into U.S. dollars using year-end exchange rates, and revenues and expenses are translated using weighted-average exchange rates for the period.</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to which the significant reclassifications were recognized.</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reclassify income tax effects relating to currency translation adjustments to tax expense when there is a reduction in our ownership interest in the related investment. The amount of the reclassification depends on the investment’s accounting treatment before and after the change in ownership percentage. Prior to 2018, tax effects relating to each available-for-sale investment’s unrealized holding gain or loss, were reclassified upon the sale of the investment.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during the second quarter of 2017 and 2018 under agreements with clients include: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Three months ended 6/30/2017</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Three months ended 6/30/2018</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63"/>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2"/>
        </w:trPr>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63"/>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9"/>
        </w:trPr>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756.4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876.4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846.9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956.8</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289.6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367.5</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20.7</w:t>
            </w: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1,046.0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103.6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1,186.0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1,214.4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95.1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1,345.0</w:t>
            </w: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1"/>
        </w:trPr>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64"/>
        </w:trPr>
        <w:tc>
          <w:tcPr>
            <w:tcW w:w="19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rPr>
              <w:t>Six months ended 6/30/2017</w:t>
            </w:r>
          </w:p>
        </w:tc>
        <w:tc>
          <w:tcPr>
            <w:tcW w:w="2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gridSpan w:val="5"/>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Six months ended 6/30/2018</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r>
      <w:tr>
        <w:trPr>
          <w:trHeight w:val="163"/>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rPr>
              <w:t>Administrative, distribution, and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2"/>
        </w:trPr>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3"/>
                <w:szCs w:val="13"/>
                <w:b w:val="1"/>
                <w:bCs w:val="1"/>
                <w:color w:val="auto"/>
              </w:rPr>
              <w:t>servicing fees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r>
      <w:tr>
        <w:trPr>
          <w:trHeight w:val="163"/>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Distribution</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Distribution</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49"/>
        </w:trPr>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Administrative</w:t>
            </w:r>
          </w:p>
        </w:tc>
        <w:tc>
          <w:tcPr>
            <w:tcW w:w="11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rPr>
              <w:t>and servicing</w:t>
            </w: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rPr>
              <w:t>Investment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Administrative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and servicing</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82"/>
        </w:trPr>
        <w:tc>
          <w:tcPr>
            <w:tcW w:w="1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9"/>
              </w:rPr>
              <w:t>fees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b w:val="1"/>
                <w:bCs w:val="1"/>
                <w:color w:val="auto"/>
                <w:w w:val="99"/>
              </w:rPr>
              <w:t>fees</w:t>
            </w:r>
          </w:p>
        </w:tc>
        <w:tc>
          <w:tcPr>
            <w:tcW w:w="1140" w:type="dxa"/>
            <w:vAlign w:val="bottom"/>
            <w:gridSpan w:val="3"/>
            <w:shd w:val="clear" w:color="auto" w:fill="CCEEFF"/>
          </w:tcPr>
          <w:p>
            <w:pPr>
              <w:ind w:left="100"/>
              <w:spacing w:after="0"/>
              <w:rPr>
                <w:sz w:val="20"/>
                <w:szCs w:val="20"/>
                <w:color w:val="auto"/>
              </w:rPr>
            </w:pPr>
            <w:r>
              <w:rPr>
                <w:rFonts w:ascii="Arial" w:cs="Arial" w:eastAsia="Arial" w:hAnsi="Arial"/>
                <w:sz w:val="13"/>
                <w:szCs w:val="13"/>
                <w:b w:val="1"/>
                <w:bCs w:val="1"/>
                <w:color w:val="auto"/>
              </w:rPr>
              <w:t>Net revenues</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rPr>
              <w:t>advisory fees</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9"/>
              </w:rPr>
              <w:t>fees</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Net revenues</w:t>
            </w:r>
          </w:p>
        </w:tc>
      </w:tr>
      <w:tr>
        <w:trPr>
          <w:trHeight w:val="246"/>
        </w:trPr>
        <w:tc>
          <w:tcPr>
            <w:tcW w:w="1960" w:type="dxa"/>
            <w:vAlign w:val="bottom"/>
          </w:tcPr>
          <w:p>
            <w:pPr>
              <w:ind w:left="40"/>
              <w:spacing w:after="0"/>
              <w:rPr>
                <w:sz w:val="20"/>
                <w:szCs w:val="20"/>
                <w:color w:val="auto"/>
              </w:rPr>
            </w:pPr>
            <w:r>
              <w:rPr>
                <w:rFonts w:ascii="Arial" w:cs="Arial" w:eastAsia="Arial" w:hAnsi="Arial"/>
                <w:sz w:val="16"/>
                <w:szCs w:val="16"/>
                <w:color w:val="auto"/>
              </w:rPr>
              <w:t>U.S. mutual funds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1,473.8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1,715.3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1,679.8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6"/>
                <w:szCs w:val="16"/>
                <w:color w:val="auto"/>
              </w:rPr>
              <w:t>156.2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1,908.1</w:t>
            </w:r>
          </w:p>
        </w:tc>
      </w:tr>
      <w:tr>
        <w:trPr>
          <w:trHeight w:val="22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Subadvised and separate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8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and other</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4"/>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products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564.9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723.8</w:t>
            </w: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41.1</w:t>
            </w:r>
          </w:p>
        </w:tc>
      </w:tr>
      <w:tr>
        <w:trPr>
          <w:trHeight w:val="237"/>
        </w:trPr>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2,038.7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208.3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71.6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2,403.6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6"/>
                <w:szCs w:val="16"/>
                <w:color w:val="auto"/>
              </w:rPr>
              <w:t>197.3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2,673.0</w:t>
            </w: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382"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details the investment advisory fees earned from clients by their underlying asset class.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40" w:type="dxa"/>
            <w:vAlign w:val="bottom"/>
            <w:gridSpan w:val="5"/>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2"/>
                <w:szCs w:val="22"/>
                <w:color w:val="auto"/>
              </w:rPr>
            </w:pPr>
          </w:p>
        </w:tc>
        <w:tc>
          <w:tcPr>
            <w:tcW w:w="2020" w:type="dxa"/>
            <w:vAlign w:val="bottom"/>
            <w:gridSpan w:val="4"/>
            <w:shd w:val="clear" w:color="auto" w:fill="CCEEFF"/>
          </w:tcPr>
          <w:p>
            <w:pPr>
              <w:jc w:val="right"/>
              <w:ind w:right="3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6/30/2018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mutual funds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718.0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1,423.5</w:t>
            </w: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w:t>
            </w: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756.4</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846.9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1,473.8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1,679.8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Subadvised and separate accounts and other investment products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Equity and blended assets</w:t>
            </w: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605.0</w:t>
            </w:r>
          </w:p>
        </w:tc>
      </w:tr>
      <w:tr>
        <w:trPr>
          <w:trHeight w:val="277"/>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Fixed income, including money market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r>
      <w:tr>
        <w:trPr>
          <w:trHeight w:val="244"/>
        </w:trPr>
        <w:tc>
          <w:tcPr>
            <w:tcW w:w="69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564.9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723.8</w:t>
            </w: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2,403.6</w:t>
            </w: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investment portfolios and assets under management on which we earn investment advisory fees.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20" w:type="dxa"/>
            <w:vAlign w:val="bottom"/>
            <w:gridSpan w:val="5"/>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Average during</w:t>
            </w:r>
          </w:p>
        </w:tc>
        <w:tc>
          <w:tcPr>
            <w:tcW w:w="160" w:type="dxa"/>
            <w:vAlign w:val="bottom"/>
            <w:shd w:val="clear" w:color="auto" w:fill="CCEEFF"/>
          </w:tcPr>
          <w:p>
            <w:pPr>
              <w:spacing w:after="0"/>
              <w:rPr>
                <w:sz w:val="23"/>
                <w:szCs w:val="23"/>
                <w:color w:val="auto"/>
              </w:rPr>
            </w:pPr>
          </w:p>
        </w:tc>
        <w:tc>
          <w:tcPr>
            <w:tcW w:w="2140" w:type="dxa"/>
            <w:vAlign w:val="bottom"/>
            <w:gridSpan w:val="5"/>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Average during</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4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860" w:type="dxa"/>
            <w:vAlign w:val="bottom"/>
          </w:tcPr>
          <w:p>
            <w:pPr>
              <w:spacing w:after="0"/>
              <w:rPr>
                <w:sz w:val="22"/>
                <w:szCs w:val="22"/>
                <w:color w:val="auto"/>
              </w:rPr>
            </w:pPr>
          </w:p>
        </w:tc>
      </w:tr>
      <w:tr>
        <w:trPr>
          <w:trHeight w:val="270"/>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6/30/2018</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U.S. mutual funds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497.5</w:t>
            </w:r>
          </w:p>
        </w:tc>
      </w:tr>
      <w:tr>
        <w:trPr>
          <w:trHeight w:val="26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128.6</w:t>
            </w:r>
          </w:p>
        </w:tc>
      </w:tr>
      <w:tr>
        <w:trPr>
          <w:trHeight w:val="257"/>
        </w:trPr>
        <w:tc>
          <w:tcPr>
            <w:tcW w:w="46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560.2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548.4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606.3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626.1</w:t>
            </w:r>
          </w:p>
        </w:tc>
      </w:tr>
      <w:tr>
        <w:trPr>
          <w:trHeight w:val="209"/>
        </w:trPr>
        <w:tc>
          <w:tcPr>
            <w:tcW w:w="4620" w:type="dxa"/>
            <w:vAlign w:val="bottom"/>
          </w:tcPr>
          <w:p>
            <w:pPr>
              <w:ind w:left="40"/>
              <w:spacing w:after="0"/>
              <w:rPr>
                <w:sz w:val="20"/>
                <w:szCs w:val="20"/>
                <w:color w:val="auto"/>
              </w:rPr>
            </w:pPr>
            <w:r>
              <w:rPr>
                <w:rFonts w:ascii="Arial" w:cs="Arial" w:eastAsia="Arial" w:hAnsi="Arial"/>
                <w:sz w:val="18"/>
                <w:szCs w:val="18"/>
                <w:color w:val="auto"/>
              </w:rPr>
              <w:t>Subadvised and separate accounts and other investment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4"/>
        </w:trPr>
        <w:tc>
          <w:tcPr>
            <w:tcW w:w="4620" w:type="dxa"/>
            <w:vAlign w:val="bottom"/>
          </w:tcPr>
          <w:p>
            <w:pPr>
              <w:ind w:left="4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Equity and blended assets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320.1</w:t>
            </w:r>
          </w:p>
        </w:tc>
      </w:tr>
      <w:tr>
        <w:trPr>
          <w:trHeight w:val="26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Fixed income, including money market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97.9</w:t>
            </w:r>
          </w:p>
        </w:tc>
      </w:tr>
      <w:tr>
        <w:trPr>
          <w:trHeight w:val="250"/>
        </w:trPr>
        <w:tc>
          <w:tcPr>
            <w:tcW w:w="46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325.7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411.9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418.0</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885.9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1,036.5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865.6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1,044.1</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5.8% and 6.1% of our assets under management at December 31, 2017, and June 30, 2018, respectively.</w:t>
      </w:r>
    </w:p>
    <w:p>
      <w:pPr>
        <w:spacing w:after="0" w:line="19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Total net revenues earned from T. Rowe Price investment products aggregate $985.0 million and $1,114.8 for the second quarter of 2017 and 2018, respectively. Fees earned during the six months ended June 30, 2017 and 2018 total $1,930.0 million and $2,215.4 million respectively. Accounts receivable from these products aggregates $371.9 million at December 31, 2017, and $376.6 million at June 30, 2018.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9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 3 –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we do not consolidate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12/31/2017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6/30/2018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 Rowe Price investment products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1,398.2</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T. Rowe Price investment products designated as an economic hedge of supplemental savings plan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288.3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93.9</w:t>
            </w: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508.8</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164.6</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1,477.3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8890</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 w:lineRule="exact"/>
        <w:rPr>
          <w:sz w:val="20"/>
          <w:szCs w:val="20"/>
          <w:color w:val="auto"/>
        </w:rPr>
      </w:pPr>
    </w:p>
    <w:p>
      <w:pPr>
        <w:ind w:left="180" w:right="700" w:hanging="172"/>
        <w:spacing w:after="0" w:line="264" w:lineRule="auto"/>
        <w:tabs>
          <w:tab w:leader="none" w:pos="177" w:val="left"/>
        </w:tabs>
        <w:numPr>
          <w:ilvl w:val="0"/>
          <w:numId w:val="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 sale investments prior to the adoption of the new financial instruments guidance on January 1, 2018. Refer to Note 1 for more information.</w:t>
      </w:r>
    </w:p>
    <w:p>
      <w:pPr>
        <w:ind w:left="180" w:right="180" w:hanging="172"/>
        <w:spacing w:after="0" w:line="227" w:lineRule="auto"/>
        <w:tabs>
          <w:tab w:leader="none" w:pos="168" w:val="left"/>
        </w:tabs>
        <w:numPr>
          <w:ilvl w:val="0"/>
          <w:numId w:val="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These investments at December 31, 2017, were carried at cost. Upon adoption of new financial guidance on January 1, 2018, these investments are carried at fair value using NAV per share as a practical expedient. Refer to Note 1 for more information.</w:t>
      </w:r>
    </w:p>
    <w:p>
      <w:pPr>
        <w:spacing w:after="0" w:line="14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investment partnerships are carried at fair value using NAV per share as a practical expedient. Our interests in these partnerships are generally not redeemable and are subject to significant restrictions on transferability.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gains on investments during the second quarter and first six months of 2018 includes $8.0 million and $6.1 million, respectively, of net unrealized gains recognized on investments held at fair value that were still held at June 30, 2018. For the second quarter and first six months of 2017, the majority of unrealized gains or losses on investments held at fair value are included and presented with other comprehensive income.</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first six months of 2017 and 2018,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an equity method investment or an investment held at fair value. Additionally, during the first six months of 2017 and 2018 certain T. Rowe Price investment products that were being accounted for as equity method investments were consolidated, as we regained a controlling interest. The net impact of these changes on our condensed consolidated balance sheets and income statements as of the dates the portfolios were deconsolidated or reconsolidated is detailed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gridSpan w:val="4"/>
            <w:shd w:val="clear" w:color="auto" w:fill="CCEEFF"/>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258"/>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6/30/2018</w:t>
            </w:r>
          </w:p>
        </w:tc>
      </w:tr>
      <w:tr>
        <w:trPr>
          <w:trHeight w:val="21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assets of consolidated T. Rowe Price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Net increase (decrease) in liabilities of consolidated T. Rowe Price</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investment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w:t>
            </w:r>
          </w:p>
        </w:tc>
      </w:tr>
      <w:tr>
        <w:trPr>
          <w:trHeight w:val="284"/>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(losses)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bl>
    <w:p>
      <w:pPr>
        <w:spacing w:after="0" w:line="8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gains or losses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148"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On July 9, 2018, we signed a letter of intent to sell our 10% holding in Daiwa SB Investments Ltd. We expect the sale to close in the third-quarter of 2018 and will recognize the realized gain as part of non-operating income.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9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VARIABLE INTEREST ENTITIES.</w:t>
      </w:r>
    </w:p>
    <w:p>
      <w:pPr>
        <w:spacing w:after="0" w:line="30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investments at December 31, 2017 and June 30, 2018, include interests in variable interest entities that we do not consolidate as we are not deemed the primary beneficiary. Our maximum risk of loss related to our involvement with these entities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12/31/2017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6/30/2018</w:t>
            </w:r>
          </w:p>
        </w:tc>
      </w:tr>
      <w:tr>
        <w:trPr>
          <w:trHeight w:val="249"/>
        </w:trPr>
        <w:tc>
          <w:tcPr>
            <w:tcW w:w="878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175.9</w:t>
            </w:r>
          </w:p>
        </w:tc>
      </w:tr>
      <w:tr>
        <w:trPr>
          <w:trHeight w:val="27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221.7</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unfunded capital commitments totaling $38.8 million and $35.0 million at December 31, 2017 and June 30, 2018, respectively, relate primarily to the investment partnerships in which we have an existing investment. In addition to such amounts, a percentage of prior distributions may be called under certain circumstances.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FAIR VALUE MEASUREMENTS.</w:t>
      </w:r>
    </w:p>
    <w:p>
      <w:pPr>
        <w:spacing w:after="0" w:line="22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9" w:lineRule="exact"/>
        <w:rPr>
          <w:sz w:val="20"/>
          <w:szCs w:val="20"/>
          <w:color w:val="auto"/>
        </w:rPr>
      </w:pPr>
    </w:p>
    <w:p>
      <w:pPr>
        <w:ind w:left="740" w:right="2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obtained from independent sources.</w:t>
      </w:r>
    </w:p>
    <w:p>
      <w:pPr>
        <w:spacing w:after="0" w:line="9" w:lineRule="exact"/>
        <w:rPr>
          <w:sz w:val="20"/>
          <w:szCs w:val="20"/>
          <w:color w:val="auto"/>
        </w:rPr>
      </w:pPr>
    </w:p>
    <w:p>
      <w:pPr>
        <w:ind w:left="1460" w:right="2380" w:hanging="145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that are recognized in our condensed consolidated balance sheets using fair value measurements determined based on the differing levels of inputs. This table excludes investments held by consolidated T. Rowe Price investment products which are presented separately on our condensed consolidated balance sheets and are detailed in Note 5.</w:t>
      </w:r>
    </w:p>
    <w:p>
      <w:pPr>
        <w:spacing w:after="0" w:line="124"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3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12/31/17</w:t>
            </w: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6/30/18</w:t>
            </w:r>
          </w:p>
        </w:tc>
        <w:tc>
          <w:tcPr>
            <w:tcW w:w="880" w:type="dxa"/>
            <w:vAlign w:val="bottom"/>
            <w:tcBorders>
              <w:bottom w:val="single" w:sz="8" w:color="auto"/>
            </w:tcBorders>
            <w:shd w:val="clear" w:color="auto" w:fill="CCEEFF"/>
          </w:tcPr>
          <w:p>
            <w:pPr>
              <w:spacing w:after="0"/>
              <w:rPr>
                <w:sz w:val="22"/>
                <w:szCs w:val="22"/>
                <w:color w:val="auto"/>
              </w:rPr>
            </w:pPr>
          </w:p>
        </w:tc>
      </w:tr>
      <w:tr>
        <w:trPr>
          <w:trHeight w:val="264"/>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Level 2</w:t>
            </w:r>
          </w:p>
        </w:tc>
      </w:tr>
      <w:tr>
        <w:trPr>
          <w:trHeight w:val="25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 held in T. Rowe Price money market funds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 Rowe Price investment products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942.9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1,668.9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17.6</w:t>
            </w: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2,669.3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8890</wp:posOffset>
            </wp:positionV>
            <wp:extent cx="308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5" w:lineRule="exact"/>
        <w:rPr>
          <w:sz w:val="20"/>
          <w:szCs w:val="20"/>
          <w:color w:val="auto"/>
        </w:rPr>
      </w:pPr>
    </w:p>
    <w:p>
      <w:pPr>
        <w:ind w:left="180" w:right="200" w:hanging="172"/>
        <w:spacing w:after="0" w:line="291" w:lineRule="auto"/>
        <w:tabs>
          <w:tab w:leader="none" w:pos="177" w:val="left"/>
        </w:tabs>
        <w:numPr>
          <w:ilvl w:val="0"/>
          <w:numId w:val="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$597.1 million of investments at December 31, 2017 that were previously reported as available-for sale investments prior to the adoption of new financial instruments guidance on January 1, 2018. Refer to Note 1 for more information.</w:t>
      </w:r>
    </w:p>
    <w:p>
      <w:pPr>
        <w:spacing w:after="0" w:line="18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At June 30, 2018, the reported investments held at fair value in Note 3 include $ 93.9 million of investments that are carried at fair value using the NAV per share as a practical expedient. These investments are not required to be included in the fair value hierarchy levels above.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NOTE 5 – CONSOLIDATED T. ROWE PRICE INVESTMENT PRODUCTS.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T. Rowe Price investment products that we consolidate in our condensed consolidated financial statements are generally those products we provided initial seed capital at the time of their formation and have a controlling interest. Our U.S. mutual funds are considered voting interest entities, while those regulated outside the U.S. are considered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67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rPr>
              <w:t>12/31/2017</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r>
      <w:tr>
        <w:trPr>
          <w:trHeight w:val="175"/>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Voting</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62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85.8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111.9</w:t>
            </w:r>
          </w:p>
        </w:tc>
      </w:tr>
      <w:tr>
        <w:trPr>
          <w:trHeight w:val="270"/>
        </w:trPr>
        <w:tc>
          <w:tcPr>
            <w:tcW w:w="4620" w:type="dxa"/>
            <w:vAlign w:val="bottom"/>
          </w:tcPr>
          <w:p>
            <w:pPr>
              <w:ind w:left="40"/>
              <w:spacing w:after="0"/>
              <w:rPr>
                <w:sz w:val="20"/>
                <w:szCs w:val="20"/>
                <w:color w:val="auto"/>
              </w:rPr>
            </w:pPr>
            <w:r>
              <w:rPr>
                <w:rFonts w:ascii="Arial" w:cs="Arial" w:eastAsia="Arial" w:hAnsi="Arial"/>
                <w:sz w:val="18"/>
                <w:szCs w:val="18"/>
                <w:color w:val="auto"/>
              </w:rPr>
              <w:t>Investments</w:t>
            </w:r>
            <w:r>
              <w:rPr>
                <w:rFonts w:ascii="Arial" w:cs="Arial" w:eastAsia="Arial" w:hAnsi="Arial"/>
                <w:sz w:val="21"/>
                <w:szCs w:val="21"/>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1,725.7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1,914.5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1,347.5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1,660.6</w:t>
            </w:r>
          </w:p>
        </w:tc>
      </w:tr>
      <w:tr>
        <w:trPr>
          <w:trHeight w:val="26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84.5</w:t>
            </w:r>
          </w:p>
        </w:tc>
      </w:tr>
      <w:tr>
        <w:trPr>
          <w:trHeight w:val="250"/>
        </w:trPr>
        <w:tc>
          <w:tcPr>
            <w:tcW w:w="46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1,857.0</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114.6</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192.4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1,800.1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1,992.5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1,415.4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1,742.4</w:t>
            </w:r>
          </w:p>
        </w:tc>
      </w:tr>
      <w:tr>
        <w:trPr>
          <w:trHeight w:val="305"/>
        </w:trPr>
        <w:tc>
          <w:tcPr>
            <w:tcW w:w="4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783.6</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1,003.2</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932.0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992.8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631.8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739.2</w:t>
            </w:r>
          </w:p>
        </w:tc>
      </w:tr>
      <w:tr>
        <w:trPr>
          <w:trHeight w:val="243"/>
        </w:trPr>
        <w:tc>
          <w:tcPr>
            <w:tcW w:w="46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1,800.1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1,992.5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1,415.4</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8890</wp:posOffset>
            </wp:positionV>
            <wp:extent cx="43053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25" w:lineRule="exact"/>
        <w:rPr>
          <w:sz w:val="20"/>
          <w:szCs w:val="20"/>
          <w:color w:val="auto"/>
        </w:rPr>
      </w:pPr>
    </w:p>
    <w:p>
      <w:pPr>
        <w:ind w:left="180" w:right="40" w:hanging="172"/>
        <w:spacing w:after="0" w:line="227" w:lineRule="auto"/>
        <w:tabs>
          <w:tab w:leader="none" w:pos="153" w:val="left"/>
        </w:tabs>
        <w:numPr>
          <w:ilvl w:val="0"/>
          <w:numId w:val="6"/>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Cash and cash equivalents includes $6.2 million and $24.3 million at December 31, 2017 and June 30, 2018, respectively, of investments in T. Rowe Price money market mutual funds.</w:t>
      </w:r>
    </w:p>
    <w:p>
      <w:pPr>
        <w:ind w:left="140" w:hanging="132"/>
        <w:spacing w:after="0" w:line="224" w:lineRule="auto"/>
        <w:tabs>
          <w:tab w:leader="none" w:pos="140"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Investments include $15.0 million and $46.2 million at December 31, 2017 and June 30, 2018, respectively, of T. Rowe Price investment products.</w:t>
      </w:r>
    </w:p>
    <w:p>
      <w:pPr>
        <w:spacing w:after="0" w:line="20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Although we can redeem our net interest in these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202"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Since third 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condensed consolidated statements of income, and disclose the portion attributable to third party investors as net income attributable to redeemable non-controlling interests.</w:t>
      </w:r>
    </w:p>
    <w:p>
      <w:pPr>
        <w:spacing w:after="0" w:line="2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operating results of the consolidated T. Rowe Price investment products for the three- and six- months ended June 30, 2017 and 2018 are reflected in our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210820</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80"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4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w:t>
            </w:r>
          </w:p>
        </w:tc>
      </w:tr>
      <w:tr>
        <w:trPr>
          <w:trHeight w:val="305"/>
        </w:trPr>
        <w:tc>
          <w:tcPr>
            <w:tcW w:w="4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5.3</w:t>
            </w: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10.7</w:t>
            </w:r>
          </w:p>
        </w:tc>
      </w:tr>
      <w:tr>
        <w:trPr>
          <w:trHeight w:val="250"/>
        </w:trPr>
        <w:tc>
          <w:tcPr>
            <w:tcW w:w="46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16.0</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98" w:right="239" w:bottom="1440" w:gutter="0" w:footer="0" w:header="0"/>
        </w:sectPr>
      </w:pPr>
    </w:p>
    <w:bookmarkStart w:id="16" w:name="page17"/>
    <w:bookmarkEnd w:id="16"/>
    <w:p>
      <w:pPr>
        <w:ind w:left="7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166370</wp:posOffset>
            </wp:positionH>
            <wp:positionV relativeFrom="page">
              <wp:posOffset>517525</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60325</wp:posOffset>
            </wp:positionV>
            <wp:extent cx="4305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4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49"/>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19.9</w:t>
            </w:r>
          </w:p>
        </w:tc>
      </w:tr>
      <w:tr>
        <w:trPr>
          <w:trHeight w:val="297"/>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w:t>
            </w:r>
          </w:p>
        </w:tc>
      </w:tr>
      <w:tr>
        <w:trPr>
          <w:trHeight w:val="359"/>
        </w:trPr>
        <w:tc>
          <w:tcPr>
            <w:tcW w:w="4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462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w:t>
            </w: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r>
      <w:tr>
        <w:trPr>
          <w:trHeight w:val="250"/>
        </w:trPr>
        <w:tc>
          <w:tcPr>
            <w:tcW w:w="46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14.3</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operating expenses of these consolidated products are reflected in other operating expenses. In preparing our condensed consolidated financial statements, we eliminated operating expenses of $1.0 million and $ 1.4 million for the three months ended June 30, 2017 and 2018, respectively, against the investment advisory and administrative fees earned from these portfolios. Operating expenses eliminated for the six months ended June 30, 2017 and 2018, were $1.8 million and $3.1 million, respectively. The net investment income reflected in non-operating income includes dividend and interest income and realized and unrealized gains and losses on the underlying securities held by the consolidated T. Rowe Price investment products.</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condensed consolidated statements of cash flows for the six months ended June 30,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43053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4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4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4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49"/>
        </w:trPr>
        <w:tc>
          <w:tcPr>
            <w:tcW w:w="464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(396.5)</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775.5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433.6</w:t>
            </w:r>
          </w:p>
        </w:tc>
      </w:tr>
      <w:tr>
        <w:trPr>
          <w:trHeight w:val="235"/>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03"/>
        </w:trPr>
        <w:tc>
          <w:tcPr>
            <w:tcW w:w="4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equivalents of consolidated</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111.9</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net cash provided by financing activities during the first half of 2017 and 2018 includes $66.7 million and $115.6 million, respectively, of net subscriptions we made into the consolidated T. Rowe Price investment products, net of dividends received. These cash flows were eliminated in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829" w:right="239" w:bottom="1440" w:gutter="0" w:footer="0" w:header="0"/>
        </w:sectPr>
      </w:pPr>
    </w:p>
    <w:bookmarkStart w:id="17" w:name="page18"/>
    <w:bookmarkEnd w:id="17"/>
    <w:p>
      <w:pPr>
        <w:ind w:left="740" w:right="40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740" w:right="100" w:hanging="728"/>
        <w:spacing w:after="0" w:line="262"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4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T. Rowe Price investment products using fair value measurements determined based on the differing levels of inputs.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12/31/17</w:t>
            </w: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6/30/18</w:t>
            </w:r>
          </w:p>
        </w:tc>
        <w:tc>
          <w:tcPr>
            <w:tcW w:w="8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22"/>
                <w:szCs w:val="22"/>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70"/>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536.0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852.6</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90"/>
        </w:trPr>
        <w:tc>
          <w:tcPr>
            <w:tcW w:w="65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543.5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1,377.9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233.3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NOTE 6 –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Regular cash dividends declared per share during the first six months of 2017 and 2018 were $1.14 and $1.40,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7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first half of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85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price</w:t>
            </w:r>
          </w:p>
        </w:tc>
      </w:tr>
      <w:tr>
        <w:trPr>
          <w:trHeight w:val="249"/>
        </w:trPr>
        <w:tc>
          <w:tcPr>
            <w:tcW w:w="8580" w:type="dxa"/>
            <w:vAlign w:val="bottom"/>
          </w:tcPr>
          <w:p>
            <w:pPr>
              <w:ind w:left="40"/>
              <w:spacing w:after="0"/>
              <w:rPr>
                <w:sz w:val="20"/>
                <w:szCs w:val="20"/>
                <w:color w:val="auto"/>
              </w:rPr>
            </w:pPr>
            <w:r>
              <w:rPr>
                <w:rFonts w:ascii="Arial" w:cs="Arial" w:eastAsia="Arial" w:hAnsi="Arial"/>
                <w:sz w:val="18"/>
                <w:szCs w:val="18"/>
                <w:color w:val="auto"/>
              </w:rPr>
              <w:t>Outstanding at December 31, 2017</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15,221,123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66.98</w:t>
            </w:r>
          </w:p>
        </w:tc>
      </w:tr>
      <w:tr>
        <w:trPr>
          <w:trHeight w:val="27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(3,013,552)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60.46</w:t>
            </w: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(36,455)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75.74</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71.15</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2018</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12,156,752</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68.57</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2018</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8,118,130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65.02</w:t>
            </w:r>
          </w:p>
        </w:tc>
      </w:tr>
      <w:tr>
        <w:trPr>
          <w:trHeight w:val="20"/>
        </w:trPr>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9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first half of 2018.</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4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stock</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center"/>
              <w:ind w:right="117"/>
              <w:spacing w:after="0"/>
              <w:rPr>
                <w:sz w:val="20"/>
                <w:szCs w:val="20"/>
                <w:color w:val="auto"/>
              </w:rPr>
            </w:pPr>
            <w:r>
              <w:rPr>
                <w:rFonts w:ascii="Arial" w:cs="Arial" w:eastAsia="Arial" w:hAnsi="Arial"/>
                <w:sz w:val="14"/>
                <w:szCs w:val="14"/>
                <w:b w:val="1"/>
                <w:bCs w:val="1"/>
                <w:color w:val="auto"/>
              </w:rPr>
              <w:t>average</w:t>
            </w:r>
          </w:p>
        </w:tc>
      </w:tr>
      <w:tr>
        <w:trPr>
          <w:trHeight w:val="196"/>
        </w:trPr>
        <w:tc>
          <w:tcPr>
            <w:tcW w:w="744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shares</w:t>
            </w:r>
          </w:p>
        </w:tc>
        <w:tc>
          <w:tcPr>
            <w:tcW w:w="10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2017</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473,115</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5,556,911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82.37</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8,775</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21,376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111.46</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(20,280)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71.97</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78.94</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June 30, 2018</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455,694</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5,482,474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82.64</w:t>
            </w: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Nonvested at June 30, 2018, includes 7,200 performance-based restricted shares and 406,412 performance-based restricted stock units. These performance-based restricted shares and units include 7,200 restricted shares and 291,958 restricted stock units for which the performance period has lapsed, and the performance threshold has been met.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June 30, 2018. Estimated future compensation expense will change to reflect future grants of restricted stock awards and units, future option grants, changes in the probability of performance thresholds being met, and adjustments for actual forfeitures.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2018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r>
      <w:tr>
        <w:trPr>
          <w:trHeight w:val="250"/>
        </w:trPr>
        <w:tc>
          <w:tcPr>
            <w:tcW w:w="10160" w:type="dxa"/>
            <w:vAlign w:val="bottom"/>
          </w:tcPr>
          <w:p>
            <w:pPr>
              <w:ind w:left="40"/>
              <w:spacing w:after="0"/>
              <w:rPr>
                <w:sz w:val="20"/>
                <w:szCs w:val="20"/>
                <w:color w:val="auto"/>
              </w:rPr>
            </w:pPr>
            <w:r>
              <w:rPr>
                <w:rFonts w:ascii="Arial" w:cs="Arial" w:eastAsia="Arial" w:hAnsi="Arial"/>
                <w:sz w:val="18"/>
                <w:szCs w:val="18"/>
                <w:color w:val="auto"/>
              </w:rPr>
              <w:t>Fourth quarter 2018</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63"/>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r>
      <w:tr>
        <w:trPr>
          <w:trHeight w:val="250"/>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2020 through 2023</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w:t>
            </w: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r>
      <w:tr>
        <w:trPr>
          <w:trHeight w:val="20"/>
        </w:trPr>
        <w:tc>
          <w:tcPr>
            <w:tcW w:w="10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8 – EARNINGS PER SHARE CALCULATIONS.</w:t>
      </w:r>
    </w:p>
    <w:p>
      <w:pPr>
        <w:spacing w:after="0" w:line="225"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420" w:type="dxa"/>
            <w:vAlign w:val="bottom"/>
            <w:gridSpan w:val="4"/>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373.9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902.6</w:t>
            </w: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holders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21.1</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881.5</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7"/>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240.9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243.2</w:t>
            </w: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248.6</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598" w:right="239" w:bottom="1440" w:gutter="0" w:footer="0" w:header="0"/>
        </w:sectPr>
      </w:pPr>
    </w:p>
    <w:bookmarkStart w:id="19" w:name="page20"/>
    <w:bookmarkEnd w:id="19"/>
    <w:p>
      <w:pPr>
        <w:ind w:right="620"/>
        <w:spacing w:after="0" w:line="262" w:lineRule="auto"/>
        <w:rPr>
          <w:sz w:val="20"/>
          <w:szCs w:val="20"/>
          <w:color w:val="auto"/>
        </w:rPr>
      </w:pPr>
      <w:r>
        <w:rPr>
          <w:rFonts w:ascii="Arial" w:cs="Arial" w:eastAsia="Arial" w:hAnsi="Arial"/>
          <w:sz w:val="18"/>
          <w:szCs w:val="18"/>
          <w:color w:val="auto"/>
        </w:rPr>
        <w:t>The following table shows the weighted-average outstanding stock options that are excluded from the calculation of diluted earnings per common share as the inclusion of such shares would be anti-dilutive.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360" w:type="dxa"/>
            <w:vAlign w:val="bottom"/>
            <w:tcBorders>
              <w:bottom w:val="single" w:sz="8" w:color="auto"/>
            </w:tcBorders>
            <w:gridSpan w:val="3"/>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9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4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420" w:type="dxa"/>
            <w:vAlign w:val="bottom"/>
            <w:gridSpan w:val="4"/>
            <w:shd w:val="clear" w:color="auto" w:fill="CCEEFF"/>
          </w:tcPr>
          <w:p>
            <w:pPr>
              <w:jc w:val="right"/>
              <w:ind w:right="6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6/30/2018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adjustments recognized in the provision for income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63"/>
        </w:trPr>
        <w:tc>
          <w:tcPr>
            <w:tcW w:w="6020" w:type="dxa"/>
            <w:vAlign w:val="bottom"/>
          </w:tcPr>
          <w:p>
            <w:pPr>
              <w:ind w:left="220"/>
              <w:spacing w:after="0"/>
              <w:rPr>
                <w:sz w:val="20"/>
                <w:szCs w:val="20"/>
                <w:color w:val="auto"/>
              </w:rPr>
            </w:pPr>
            <w:r>
              <w:rPr>
                <w:rFonts w:ascii="Arial" w:cs="Arial" w:eastAsia="Arial" w:hAnsi="Arial"/>
                <w:sz w:val="18"/>
                <w:szCs w:val="18"/>
                <w:color w:val="auto"/>
              </w:rPr>
              <w:t>Net gains realized on dispositions</w:t>
            </w: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recognized upon transfer to trading</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9"/>
        </w:trPr>
        <w:tc>
          <w:tcPr>
            <w:tcW w:w="6020" w:type="dxa"/>
            <w:vAlign w:val="bottom"/>
          </w:tcPr>
          <w:p>
            <w:pPr>
              <w:ind w:left="40"/>
              <w:spacing w:after="0"/>
              <w:rPr>
                <w:sz w:val="20"/>
                <w:szCs w:val="20"/>
                <w:color w:val="auto"/>
              </w:rPr>
            </w:pPr>
            <w:r>
              <w:rPr>
                <w:rFonts w:ascii="Arial" w:cs="Arial" w:eastAsia="Arial" w:hAnsi="Arial"/>
                <w:sz w:val="18"/>
                <w:szCs w:val="18"/>
                <w:color w:val="auto"/>
              </w:rPr>
              <w:t>Net deferred tax benefits (income taxes) on net unrealized holding gains or</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29"/>
        </w:trPr>
        <w:tc>
          <w:tcPr>
            <w:tcW w:w="6020" w:type="dxa"/>
            <w:vAlign w:val="bottom"/>
          </w:tcPr>
          <w:p>
            <w:pPr>
              <w:ind w:left="180"/>
              <w:spacing w:after="0"/>
              <w:rPr>
                <w:sz w:val="20"/>
                <w:szCs w:val="20"/>
                <w:color w:val="auto"/>
              </w:rPr>
            </w:pPr>
            <w:r>
              <w:rPr>
                <w:rFonts w:ascii="Arial" w:cs="Arial" w:eastAsia="Arial" w:hAnsi="Arial"/>
                <w:sz w:val="18"/>
                <w:szCs w:val="18"/>
                <w:color w:val="auto"/>
              </w:rPr>
              <w:t>Reclassification adjustment recognized in the provision for income taxes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6020" w:type="dxa"/>
            <w:vAlign w:val="bottom"/>
          </w:tcPr>
          <w:p>
            <w:pPr>
              <w:ind w:left="180"/>
              <w:spacing w:after="0"/>
              <w:rPr>
                <w:sz w:val="20"/>
                <w:szCs w:val="20"/>
                <w:color w:val="auto"/>
              </w:rPr>
            </w:pPr>
            <w:r>
              <w:rPr>
                <w:rFonts w:ascii="Arial" w:cs="Arial" w:eastAsia="Arial" w:hAnsi="Arial"/>
                <w:sz w:val="18"/>
                <w:szCs w:val="18"/>
                <w:color w:val="auto"/>
              </w:rPr>
              <w:t>upon deconsolidation of T. Rowe Price investment product</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15"/>
        </w:trPr>
        <w:tc>
          <w:tcPr>
            <w:tcW w:w="6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benefits (income taxes) on currency translation</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4"/>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Total net deferred tax benefits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598" w:right="239" w:bottom="1440" w:gutter="0" w:footer="0" w:header="0"/>
        </w:sectPr>
      </w:pPr>
    </w:p>
    <w:bookmarkStart w:id="20" w:name="page21"/>
    <w:bookmarkEnd w:id="20"/>
    <w:p>
      <w:pPr>
        <w:ind w:right="180"/>
        <w:spacing w:after="0" w:line="262"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for the first half of 2018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8"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26035</wp:posOffset>
            </wp:positionV>
            <wp:extent cx="2555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Consolidated 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Rowe Price</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 -</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currency</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 method</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variable interest</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46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holding gains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7"/>
                <w:szCs w:val="17"/>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56"/>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Reclassification of unrealized holding gains to retained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0"/>
        </w:trPr>
        <w:tc>
          <w:tcPr>
            <w:tcW w:w="4640" w:type="dxa"/>
            <w:vAlign w:val="bottom"/>
          </w:tcPr>
          <w:p>
            <w:pPr>
              <w:ind w:left="40"/>
              <w:spacing w:after="0" w:line="201" w:lineRule="exact"/>
              <w:rPr>
                <w:sz w:val="20"/>
                <w:szCs w:val="20"/>
                <w:color w:val="auto"/>
              </w:rPr>
            </w:pPr>
            <w:r>
              <w:rPr>
                <w:rFonts w:ascii="Arial" w:cs="Arial" w:eastAsia="Arial" w:hAnsi="Arial"/>
                <w:sz w:val="18"/>
                <w:szCs w:val="18"/>
                <w:color w:val="auto"/>
              </w:rPr>
              <w:t>earnings upon adoption of new financial instruments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3"/>
        </w:trPr>
        <w:tc>
          <w:tcPr>
            <w:tcW w:w="4640" w:type="dxa"/>
            <w:vAlign w:val="bottom"/>
          </w:tcPr>
          <w:p>
            <w:pPr>
              <w:ind w:left="40"/>
              <w:spacing w:after="0" w:line="233" w:lineRule="exact"/>
              <w:rPr>
                <w:sz w:val="20"/>
                <w:szCs w:val="20"/>
                <w:color w:val="auto"/>
              </w:rPr>
            </w:pPr>
            <w:r>
              <w:rPr>
                <w:rFonts w:ascii="Arial" w:cs="Arial" w:eastAsia="Arial" w:hAnsi="Arial"/>
                <w:sz w:val="18"/>
                <w:szCs w:val="18"/>
                <w:color w:val="auto"/>
              </w:rPr>
              <w:t>guidance</w:t>
            </w:r>
            <w:r>
              <w:rPr>
                <w:rFonts w:ascii="Arial" w:cs="Arial" w:eastAsia="Arial" w:hAnsi="Arial"/>
                <w:sz w:val="21"/>
                <w:szCs w:val="21"/>
                <w:color w:val="auto"/>
                <w:vertAlign w:val="superscript"/>
              </w:rPr>
              <w:t>(1)</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of stranded tax benefits 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3"/>
        </w:trPr>
        <w:tc>
          <w:tcPr>
            <w:tcW w:w="46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currency translation adjustments upon adoption of new</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4"/>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guidance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4640" w:type="dxa"/>
            <w:vAlign w:val="bottom"/>
          </w:tcPr>
          <w:p>
            <w:pPr>
              <w:ind w:left="40"/>
              <w:spacing w:after="0"/>
              <w:rPr>
                <w:sz w:val="20"/>
                <w:szCs w:val="20"/>
                <w:color w:val="auto"/>
              </w:rPr>
            </w:pPr>
            <w:r>
              <w:rPr>
                <w:rFonts w:ascii="Arial" w:cs="Arial" w:eastAsia="Arial" w:hAnsi="Arial"/>
                <w:sz w:val="18"/>
                <w:szCs w:val="18"/>
                <w:color w:val="auto"/>
              </w:rPr>
              <w:t>Balance at January 1, 2018</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4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4640" w:type="dxa"/>
            <w:vAlign w:val="bottom"/>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4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deferred tax income taxes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r>
      <w:tr>
        <w:trPr>
          <w:trHeight w:val="25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Balances at June 30, 2018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0</wp:posOffset>
            </wp:positionV>
            <wp:extent cx="430530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05300" cy="26035"/>
                    </a:xfrm>
                    <a:prstGeom prst="rect">
                      <a:avLst/>
                    </a:prstGeom>
                    <a:noFill/>
                  </pic:spPr>
                </pic:pic>
              </a:graphicData>
            </a:graphic>
          </wp:anchor>
        </w:drawing>
      </w:r>
    </w:p>
    <w:p>
      <w:pPr>
        <w:spacing w:after="0" w:line="38" w:lineRule="exact"/>
        <w:rPr>
          <w:sz w:val="20"/>
          <w:szCs w:val="20"/>
          <w:color w:val="auto"/>
        </w:rPr>
      </w:pPr>
    </w:p>
    <w:p>
      <w:pPr>
        <w:ind w:left="180" w:right="40" w:hanging="172"/>
        <w:spacing w:after="0" w:line="233" w:lineRule="auto"/>
        <w:tabs>
          <w:tab w:leader="none" w:pos="190" w:val="left"/>
        </w:tabs>
        <w:numPr>
          <w:ilvl w:val="0"/>
          <w:numId w:val="7"/>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Includes the reclassification of $1.7 million of stranded income taxes on available-for-sale investments resulting from U.S. tax law changes enacted on December 22, 2017, from accumulated other comprehensive income to retained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NOTE 10 – DELL APPRAISAL RIGHTS MATTER.</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 2016, we paid $166.2 million to compensate certain U.S. mutual funds, trusts, separately managed accounts, and subadvised clients (collectively, Clients) for the denial of their appraisal rights by the Delaware Chancery Court (Court) in connection with the 2013 leveraged buyout of Dell, Inc. (Dell).</w:t>
      </w:r>
    </w:p>
    <w:p>
      <w:pPr>
        <w:spacing w:after="0" w:line="1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December 30, 2016, we entered into a settlement agreement for $100.0 million with our insurance carrier for insurance proceeds related to this matter. We recognized the proceeds as a reduction to the $166.2 million nonrecurring charge that we recognized earlier in 2016 and received the proceeds in January 2017. We received an additional $50 million in insurance proceeds from other insurance carriers in early 2017 and recognized a related reduction in operating expenses.</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or the amount of interest to be applied were modified by a final, non-appealable judgment,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Court’s valuation ruling. On December 14, 2017, the Delaware Supreme Court reversed the judgment and remanded the case for further proceedings, with language suggesting that the deal price of $13.75 may be the ultimate outcome. One party has settled with Dell for $13.75, and we expect all remaining parties to settle with Dell and submit to the court a stipulation and proposed order approving settlement and dismissal.</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Once the Court enters a final, non-appealable order dismissing the case with prejudice, Clients will be expected to repay any overpayment using the methodology used to calculate the original payment. We estimate that the first $15.2 million reclaimed from our Clients would be paid back to T. Rowe Price Group. We would then be required to repay any additional reclaimed funds to our insurers in a specific order.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76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 11 – COMMITMENTS AND CONTINGENCIES.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5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59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 12 – SUPPLEMENTARY CONSOLIDATING CASH FLOW STATEMENT.</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summarizes the cash flows for the six months ended June 30, 2017 and 2018, that are attributable to T. Rowe Price Group, our consolidated T. Rowe Price investment products and the related eliminations (elims) required in preparing the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26035</wp:posOffset>
            </wp:positionV>
            <wp:extent cx="5076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6/30/2017</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6/30/2018</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Cash flow</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to T. Rowe</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investment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As</w:t>
            </w: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Elims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8"/>
              </w:rPr>
              <w:t>reported</w:t>
            </w:r>
          </w:p>
        </w:tc>
        <w:tc>
          <w:tcPr>
            <w:tcW w:w="0" w:type="dxa"/>
            <w:vAlign w:val="bottom"/>
          </w:tcPr>
          <w:p>
            <w:pPr>
              <w:spacing w:after="0"/>
              <w:rPr>
                <w:sz w:val="1"/>
                <w:szCs w:val="1"/>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gains on dispositions of</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available-for-sale T. Rowe Price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products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Gains recognized upon transfer of an</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investment in a T. Rowe Price mutual</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fund from available-for-sale to held as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180"/>
              <w:spacing w:after="0"/>
              <w:rPr>
                <w:sz w:val="20"/>
                <w:szCs w:val="20"/>
                <w:color w:val="auto"/>
              </w:rPr>
            </w:pPr>
            <w:r>
              <w:rPr>
                <w:rFonts w:ascii="Arial" w:cs="Arial" w:eastAsia="Arial" w:hAnsi="Arial"/>
                <w:sz w:val="18"/>
                <w:szCs w:val="18"/>
                <w:color w:val="auto"/>
              </w:rPr>
              <w:t>trading</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recognized on investments</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420" w:type="dxa"/>
            <w:vAlign w:val="bottom"/>
          </w:tcPr>
          <w:p>
            <w:pPr>
              <w:ind w:left="180"/>
              <w:spacing w:after="0"/>
              <w:rPr>
                <w:sz w:val="20"/>
                <w:szCs w:val="20"/>
                <w:color w:val="auto"/>
              </w:rPr>
            </w:pPr>
            <w:r>
              <w:rPr>
                <w:rFonts w:ascii="Arial" w:cs="Arial" w:eastAsia="Arial" w:hAnsi="Arial"/>
                <w:sz w:val="18"/>
                <w:szCs w:val="18"/>
                <w:color w:val="auto"/>
              </w:rPr>
              <w:t>Net investments in T. Rowe Price</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investment products to economically</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80"/>
              <w:spacing w:after="0" w:line="202" w:lineRule="exact"/>
              <w:rPr>
                <w:sz w:val="20"/>
                <w:szCs w:val="20"/>
                <w:color w:val="auto"/>
              </w:rPr>
            </w:pPr>
            <w:r>
              <w:rPr>
                <w:rFonts w:ascii="Arial" w:cs="Arial" w:eastAsia="Arial" w:hAnsi="Arial"/>
                <w:sz w:val="18"/>
                <w:szCs w:val="18"/>
                <w:color w:val="auto"/>
              </w:rPr>
              <w:t>hedge supplemental savings plan</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trading securities held by</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consolidated T. Rowe Price investment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changes in assets and liabilities</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(1,040.7)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35"/>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40"/>
              <w:spacing w:after="0" w:line="202" w:lineRule="exact"/>
              <w:rPr>
                <w:sz w:val="20"/>
                <w:szCs w:val="20"/>
                <w:color w:val="auto"/>
              </w:rPr>
            </w:pPr>
            <w:r>
              <w:rPr>
                <w:rFonts w:ascii="Arial" w:cs="Arial" w:eastAsia="Arial" w:hAnsi="Arial"/>
                <w:sz w:val="18"/>
                <w:szCs w:val="18"/>
                <w:color w:val="auto"/>
              </w:rPr>
              <w:t>and cash equivalents of consolidated 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40"/>
              <w:spacing w:after="0"/>
              <w:rPr>
                <w:sz w:val="20"/>
                <w:szCs w:val="20"/>
                <w:color w:val="auto"/>
              </w:rPr>
            </w:pPr>
            <w:r>
              <w:rPr>
                <w:rFonts w:ascii="Arial" w:cs="Arial" w:eastAsia="Arial" w:hAnsi="Arial"/>
                <w:sz w:val="18"/>
                <w:szCs w:val="18"/>
                <w:color w:val="auto"/>
              </w:rPr>
              <w:t>Rowe Price investment products</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5"/>
        </w:trPr>
        <w:tc>
          <w:tcPr>
            <w:tcW w:w="3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Cash and cash equivalents at beginning</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of year</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1,270.5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2,005.8</w:t>
            </w:r>
          </w:p>
        </w:tc>
        <w:tc>
          <w:tcPr>
            <w:tcW w:w="0" w:type="dxa"/>
            <w:vAlign w:val="bottom"/>
          </w:tcPr>
          <w:p>
            <w:pPr>
              <w:spacing w:after="0"/>
              <w:rPr>
                <w:sz w:val="1"/>
                <w:szCs w:val="1"/>
                <w:color w:val="auto"/>
              </w:rPr>
            </w:pPr>
          </w:p>
        </w:tc>
      </w:tr>
      <w:tr>
        <w:trPr>
          <w:trHeight w:val="215"/>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1,542.2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1,615.9</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1,484.4</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99"/>
              </w:rPr>
              <w:t>1,596.3</w:t>
            </w: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59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2018, the related condensed consolidated statements of income and comprehensive income for the three-month and six-month periods ended June 30, 2018 and 2017, the related condensed consolidated statements of cash flows for the six-month periods ended June 30, 2018 and 2017, the related condensed consolidated statement of stockholders' equity for the six-month period ended June 30,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2017, and the related consolidated statements of income, comprehensive income, changes in stockholders’ equity, and cash flows for the year then ended (not presented herein); and in our report dated February 16, 2018, we expressed an unqualified opinion on those consolidated financial statements.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60"/>
          </w:cols>
          <w:pgMar w:left="240" w:top="598"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U.S. mutual funds and other investment products. The other investment products include: separately managed accounts, subadvised funds, and other T. Rowe Price products including collective investment trusts, target-date retirement trusts, open-ended investment products offered to investors outside the U.S., and products offered through variable annuity life insurance plans in the U.S. Investment advisory clients domiciled outside the U.S. account for 6% of our assets under management at June 30, 2018.</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2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 We currently expect our 2018 non-GAAP operating expenses to grow in the range of 8% to 11%. This expense growth range factors in a number cost optimization efforts and any contemplated uses of our expected U.S. tax reform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Led by small -caps, U.S. stocks rose in the second quarter of 2018, supported by favorable earnings and economic data. Domestic equities were volatile amid political upheaval in some European countries, rising oil prices and interest rates, and trade tensions between the U.S. and its major trading partners.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Stocks in developed non-U.S. markets underperformed U.S. shares, as weaker currencies versus the U.S. dollar reduced returns in dollar terms. Developed Asian markets were mixed in dollar terms; Japanese stocks declined about 3%. European markets were also mixed in dollar terms, as the euro and British pound both fell more than 5% versus the dollar. On the plus side, shares in the UK and oil producer Norway rose about 3%. In contrast, Italian stocks fell almost 7% and Spanish shares slipped 4%, as new governments came to power in both countries.</w:t>
      </w:r>
    </w:p>
    <w:p>
      <w:pPr>
        <w:spacing w:after="0" w:line="20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Emerging equity markets significantly underperformed stocks in developed markets, as broad currency weakness reduced returns in dollar terms, and as trade tensions threatened to hurt global growth. Emerging Asian markets fell broadly. In emerging Europe, Turkish shares tumbled nearly 26% amid elevated inflation, rising interest rates, and President Erdogan’s intentions to have a greater role in determining monetary policy. In Latin America, Brazilian shares fell more than 26% as a truckers’ strike crippled commerce. Currency weakness and uncertainty about October elections also weighed on the market.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380"/>
          </w:cols>
          <w:pgMar w:left="240" w:top="57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Returns of several major equity market indexes for the three- and six-month periods ended June 30, 2018,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6/30/2018</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2.7%</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NASDAQ Composite Index</w:t>
            </w:r>
            <w:r>
              <w:rPr>
                <w:rFonts w:ascii="Arial" w:cs="Arial" w:eastAsia="Arial" w:hAnsi="Arial"/>
                <w:sz w:val="21"/>
                <w:szCs w:val="2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6.3%</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8.8%</w:t>
            </w:r>
          </w:p>
        </w:tc>
      </w:tr>
      <w:tr>
        <w:trPr>
          <w:trHeight w:val="27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7.8%</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7.7%</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(1.0)%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(2.4)%</w:t>
            </w:r>
          </w:p>
        </w:tc>
      </w:tr>
      <w:tr>
        <w:trPr>
          <w:trHeight w:val="27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MSCI Emerging Markets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(7.9)%</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32"/>
        <w:spacing w:after="0"/>
        <w:tabs>
          <w:tab w:leader="none" w:pos="18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i w:val="1"/>
          <w:iCs w:val="1"/>
          <w:color w:val="auto"/>
        </w:rPr>
        <w:t>Returns exclude dividends</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Global bond returns were mixed in the second quarter of 2018. In the U.S. Treasury market, short- and intermediate-term yields increased as the Federal Reserve raised its overnight federal funds target rate range in June. Longer-term yields rose to a lesser extent. The 10-year Treasury note yield, which reached a seven-year high above 3.1% in May, rose from 2.74% to 2.85% during the quarter. Investment-grade corporate bonds declined amid heavy supply. Mortgage-backed securities edged higher. High yield bonds, which have less interest rate sensitivity, outpaced investment-grade issues. Tax-free municipal securities outperformed taxable bonds, helped by limited issuance and strong demand.</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Bonds in developed non-U.S. markets produced negative returns in dollar terms due to weaker currencies versus the dollar. In the eurozone, Italian bond yields surged as the formation of a populist government in late May raised fears about increased government spending. In the UK, weak growth and easing inflation pressures led to reduced expectations for central bank interest rate increases. However, a rate increase is still possible in the months ahead. In Japan, the central bank kept its benchmark short-term interest rate at (.1)% and continued targeting a yield of around 0% for the 10-year government bond.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Emerging markets bonds fared poorly in dollar terms due to general currency weakness and rising long-term interest rates in several countries.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Bonds denominated in local currencies performed worse than dollar-denominated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2018,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6/30/2018</w:t>
            </w:r>
          </w:p>
        </w:tc>
      </w:tr>
      <w:tr>
        <w:trPr>
          <w:trHeight w:val="256"/>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w:t>
            </w:r>
          </w:p>
        </w:tc>
      </w:tr>
      <w:tr>
        <w:trPr>
          <w:trHeight w:val="26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480" w:type="dxa"/>
            <w:vAlign w:val="bottom"/>
          </w:tcPr>
          <w:p>
            <w:pPr>
              <w:jc w:val="center"/>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(.5)%</w:t>
            </w:r>
          </w:p>
        </w:tc>
      </w:tr>
      <w:tr>
        <w:trPr>
          <w:trHeight w:val="27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w:t>
            </w:r>
          </w:p>
        </w:tc>
      </w:tr>
      <w:tr>
        <w:trPr>
          <w:trHeight w:val="26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(4.8)%</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(1.3)%</w:t>
            </w:r>
          </w:p>
        </w:tc>
      </w:tr>
      <w:tr>
        <w:trPr>
          <w:trHeight w:val="27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(6.1)%</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59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Assets under management ended the second quarter of 2018 at $1,044.1 billion, an increase of $ 29.9 billion from March 31, 2018 and $53.0 billion from the end of 2017. We had net cash inflows of $7.6 billion in the second quarter of 2018 and $18.9 billion for the first half of 2018. The following table details changes in our assets under management, by vehicle and asset class during the three- and six-month periods ended June 30, 2018:</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Three months ended 6/30/2018</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4"/>
                <w:szCs w:val="14"/>
                <w:b w:val="1"/>
                <w:bCs w:val="1"/>
                <w:color w:val="auto"/>
              </w:rPr>
              <w:t>Six months ended 6/30/2018</w:t>
            </w: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U.S.</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U.S.</w:t>
            </w: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Subadvised and</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mutual</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mutual</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separate</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tcPr>
          <w:p>
            <w:pPr>
              <w:spacing w:after="0"/>
              <w:rPr>
                <w:sz w:val="17"/>
                <w:szCs w:val="17"/>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7"/>
                <w:szCs w:val="17"/>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7"/>
                <w:szCs w:val="17"/>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612.9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260.4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1,014.2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255.2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129.6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991.1</w:t>
            </w:r>
          </w:p>
        </w:tc>
        <w:tc>
          <w:tcPr>
            <w:tcW w:w="0" w:type="dxa"/>
            <w:vAlign w:val="bottom"/>
          </w:tcPr>
          <w:p>
            <w:pPr>
              <w:spacing w:after="0"/>
              <w:rPr>
                <w:sz w:val="1"/>
                <w:szCs w:val="1"/>
                <w:color w:val="auto"/>
              </w:rPr>
            </w:pPr>
          </w:p>
        </w:tc>
      </w:tr>
      <w:tr>
        <w:trPr>
          <w:trHeight w:val="176"/>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flows before client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6"/>
                <w:szCs w:val="16"/>
                <w:color w:val="auto"/>
              </w:rPr>
              <w:t>Client transfers</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after client</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6"/>
                <w:szCs w:val="16"/>
                <w:color w:val="auto"/>
              </w:rPr>
              <w:t>Net market appreciation and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00" w:type="dxa"/>
            <w:vAlign w:val="bottom"/>
          </w:tcPr>
          <w:p>
            <w:pPr>
              <w:ind w:left="4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7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not reinvested</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29.9</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30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626.1</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42"/>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1,044.1</w:t>
            </w:r>
          </w:p>
        </w:tc>
        <w:tc>
          <w:tcPr>
            <w:tcW w:w="2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21"/>
              <w:spacing w:after="0"/>
              <w:rPr>
                <w:sz w:val="20"/>
                <w:szCs w:val="20"/>
                <w:color w:val="auto"/>
              </w:rPr>
            </w:pPr>
            <w:r>
              <w:rPr>
                <w:rFonts w:ascii="Arial" w:cs="Arial" w:eastAsia="Arial" w:hAnsi="Arial"/>
                <w:sz w:val="16"/>
                <w:szCs w:val="16"/>
                <w:color w:val="auto"/>
              </w:rPr>
              <w:t>626.1</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268.8</w:t>
            </w:r>
          </w:p>
        </w:tc>
        <w:tc>
          <w:tcPr>
            <w:tcW w:w="12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21"/>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0"/>
              <w:spacing w:after="0"/>
              <w:rPr>
                <w:sz w:val="20"/>
                <w:szCs w:val="20"/>
                <w:color w:val="auto"/>
              </w:rPr>
            </w:pPr>
            <w:r>
              <w:rPr>
                <w:rFonts w:ascii="Arial" w:cs="Arial" w:eastAsia="Arial" w:hAnsi="Arial"/>
                <w:sz w:val="16"/>
                <w:szCs w:val="16"/>
                <w:color w:val="auto"/>
              </w:rPr>
              <w:t>1,044.1</w:t>
            </w:r>
          </w:p>
        </w:tc>
        <w:tc>
          <w:tcPr>
            <w:tcW w:w="0" w:type="dxa"/>
            <w:vAlign w:val="bottom"/>
          </w:tcPr>
          <w:p>
            <w:pPr>
              <w:spacing w:after="0"/>
              <w:rPr>
                <w:sz w:val="1"/>
                <w:szCs w:val="1"/>
                <w:color w:val="auto"/>
              </w:rPr>
            </w:pPr>
          </w:p>
        </w:tc>
      </w:tr>
      <w:tr>
        <w:trPr>
          <w:trHeight w:val="203"/>
        </w:trPr>
        <w:tc>
          <w:tcPr>
            <w:tcW w:w="2300" w:type="dxa"/>
            <w:vAlign w:val="bottom"/>
          </w:tcPr>
          <w:p>
            <w:pPr>
              <w:ind w:left="40"/>
              <w:spacing w:after="0"/>
              <w:rPr>
                <w:sz w:val="20"/>
                <w:szCs w:val="20"/>
                <w:color w:val="auto"/>
              </w:rPr>
            </w:pPr>
            <w:r>
              <w:rPr>
                <w:rFonts w:ascii="Arial" w:cs="Arial" w:eastAsia="Arial" w:hAnsi="Arial"/>
                <w:sz w:val="16"/>
                <w:szCs w:val="16"/>
                <w:color w:val="auto"/>
              </w:rPr>
              <w:t>June 30, 2018</w:t>
            </w:r>
          </w:p>
        </w:tc>
        <w:tc>
          <w:tcPr>
            <w:tcW w:w="16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3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6/30/2018</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6/30/2018</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Fixed income,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Fixed income,</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including money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including money</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8"/>
              </w:rPr>
              <w:t>Multi-asset</w:t>
            </w:r>
            <w:r>
              <w:rPr>
                <w:rFonts w:ascii="Arial" w:cs="Arial" w:eastAsia="Arial" w:hAnsi="Arial"/>
                <w:sz w:val="17"/>
                <w:szCs w:val="17"/>
                <w:b w:val="1"/>
                <w:bCs w:val="1"/>
                <w:color w:val="auto"/>
                <w:w w:val="98"/>
                <w:vertAlign w:val="superscript"/>
              </w:rPr>
              <w:t>(1)</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7"/>
                <w:szCs w:val="17"/>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300" w:type="dxa"/>
            <w:vAlign w:val="bottom"/>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beginning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579.3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1,014.2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564.1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134.4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991.1</w:t>
            </w:r>
          </w:p>
        </w:tc>
        <w:tc>
          <w:tcPr>
            <w:tcW w:w="0" w:type="dxa"/>
            <w:vAlign w:val="bottom"/>
          </w:tcPr>
          <w:p>
            <w:pPr>
              <w:spacing w:after="0"/>
              <w:rPr>
                <w:sz w:val="1"/>
                <w:szCs w:val="1"/>
                <w:color w:val="auto"/>
              </w:rPr>
            </w:pPr>
          </w:p>
        </w:tc>
      </w:tr>
      <w:tr>
        <w:trPr>
          <w:trHeight w:val="176"/>
        </w:trPr>
        <w:tc>
          <w:tcPr>
            <w:tcW w:w="2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Net cash flows</w:t>
            </w:r>
          </w:p>
        </w:tc>
        <w:tc>
          <w:tcPr>
            <w:tcW w:w="160" w:type="dxa"/>
            <w:vAlign w:val="bottom"/>
          </w:tcPr>
          <w:p>
            <w:pPr>
              <w:spacing w:after="0"/>
              <w:rPr>
                <w:sz w:val="22"/>
                <w:szCs w:val="22"/>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market appreciation and</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40"/>
              <w:spacing w:after="0" w:line="219" w:lineRule="exact"/>
              <w:rPr>
                <w:sz w:val="20"/>
                <w:szCs w:val="20"/>
                <w:color w:val="auto"/>
              </w:rPr>
            </w:pPr>
            <w:r>
              <w:rPr>
                <w:rFonts w:ascii="Arial" w:cs="Arial" w:eastAsia="Arial" w:hAnsi="Arial"/>
                <w:sz w:val="16"/>
                <w:szCs w:val="16"/>
                <w:color w:val="auto"/>
              </w:rPr>
              <w:t>income</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Change during the period</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29.9</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under management at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603.6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1,044.1</w:t>
            </w:r>
          </w:p>
        </w:tc>
        <w:tc>
          <w:tcPr>
            <w:tcW w:w="2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603.6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136.4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304.1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1,044.1</w:t>
            </w:r>
          </w:p>
        </w:tc>
        <w:tc>
          <w:tcPr>
            <w:tcW w:w="0" w:type="dxa"/>
            <w:vAlign w:val="bottom"/>
          </w:tcPr>
          <w:p>
            <w:pPr>
              <w:spacing w:after="0"/>
              <w:rPr>
                <w:sz w:val="1"/>
                <w:szCs w:val="1"/>
                <w:color w:val="auto"/>
              </w:rPr>
            </w:pPr>
          </w:p>
        </w:tc>
      </w:tr>
      <w:tr>
        <w:trPr>
          <w:trHeight w:val="198"/>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2018</w:t>
            </w: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1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8890</wp:posOffset>
            </wp:positionV>
            <wp:extent cx="5788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ind w:left="180" w:right="340" w:hanging="172"/>
        <w:spacing w:after="0" w:line="227" w:lineRule="auto"/>
        <w:tabs>
          <w:tab w:leader="none" w:pos="153" w:val="left"/>
        </w:tabs>
        <w:numPr>
          <w:ilvl w:val="0"/>
          <w:numId w:val="9"/>
        </w:numPr>
        <w:rPr>
          <w:rFonts w:ascii="Arial" w:cs="Arial" w:eastAsia="Arial" w:hAnsi="Arial"/>
          <w:sz w:val="17"/>
          <w:szCs w:val="17"/>
          <w:i w:val="1"/>
          <w:iCs w:val="1"/>
          <w:color w:val="auto"/>
          <w:vertAlign w:val="superscript"/>
        </w:rPr>
      </w:pPr>
      <w:r>
        <w:rPr>
          <w:rFonts w:ascii="Arial" w:cs="Arial" w:eastAsia="Arial" w:hAnsi="Arial"/>
          <w:sz w:val="14"/>
          <w:szCs w:val="14"/>
          <w:i w:val="1"/>
          <w:iCs w:val="1"/>
          <w:color w:val="auto"/>
        </w:rPr>
        <w:t>The underlying assets under management of the multi-asset portfolios have been aggregated and presented in this category and not reported in the equity and fixed income columns.</w:t>
      </w:r>
    </w:p>
    <w:p>
      <w:pPr>
        <w:ind w:left="160" w:hanging="152"/>
        <w:spacing w:after="0" w:line="199" w:lineRule="auto"/>
        <w:tabs>
          <w:tab w:leader="none" w:pos="160" w:val="left"/>
        </w:tabs>
        <w:numPr>
          <w:ilvl w:val="0"/>
          <w:numId w:val="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Reported net of distributions not reinvested.</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target date retirement products, which are included in the multi-asset totals shown above, continue to be a significant part of our assets under management. Net cash inflows into our target date retirement products were $2.5 billion in the second quarter of 2018 and $8.5 billion in the first six months of 2018. Assets under management in these portfolios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billions)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12/31/17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3/31/18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6/30/18</w:t>
            </w:r>
          </w:p>
        </w:tc>
      </w:tr>
      <w:tr>
        <w:trPr>
          <w:trHeight w:val="256"/>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U.S. mutual funds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162.6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161.4</w:t>
            </w:r>
          </w:p>
        </w:tc>
      </w:tr>
      <w:tr>
        <w:trPr>
          <w:trHeight w:val="263"/>
        </w:trPr>
        <w:tc>
          <w:tcPr>
            <w:tcW w:w="7900" w:type="dxa"/>
            <w:vAlign w:val="bottom"/>
          </w:tcPr>
          <w:p>
            <w:pPr>
              <w:ind w:left="40"/>
              <w:spacing w:after="0"/>
              <w:rPr>
                <w:sz w:val="20"/>
                <w:szCs w:val="20"/>
                <w:color w:val="auto"/>
              </w:rPr>
            </w:pPr>
            <w:r>
              <w:rPr>
                <w:rFonts w:ascii="Arial" w:cs="Arial" w:eastAsia="Arial" w:hAnsi="Arial"/>
                <w:sz w:val="18"/>
                <w:szCs w:val="18"/>
                <w:color w:val="auto"/>
              </w:rPr>
              <w:t>Target date separately managed retirement accounts</w:t>
            </w:r>
          </w:p>
        </w:tc>
        <w:tc>
          <w:tcPr>
            <w:tcW w:w="22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5.2</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Target date retirement trusts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77.6</w:t>
            </w:r>
          </w:p>
        </w:tc>
      </w:tr>
      <w:tr>
        <w:trPr>
          <w:trHeight w:val="237"/>
        </w:trPr>
        <w:tc>
          <w:tcPr>
            <w:tcW w:w="79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244.2</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59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2017 net revenues and operating expenses presented with these results of operations have been recast to reflect the impact of adopting, on January 1, 2018, new accounting guidance related to revenue recognition. We elected to adopt the new guidance on a retrospective basis, which requires 2017 results to be recast to reflect the impact. The new guidance requires certain revenue related expenses that are incurred in servicing our U.S. mutual funds to be recognized in operating expenses versus being presented net against the related revenues. As such, net revenues and operating expenses, primarily product-related, were recast to reflect an increase of $ 14.4 million and $33.4 million for the three-and six-months ended June 30, 2017. Additionally, we modified our income statement presentation to increase operating expense transparency and to align expenses with similar drivers. Prior year amounts have been reclassified to conform to the new 2018 presentation. For more information and the impact on the remaining quarters of 2017 of these two changes, see Note 1, The Company and Basis of Preparation, in the condensed consolidated financial statements contained in Part I, Item 1 of this filing.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of 2017 versus Second quarter of 2018.</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our consolidated T. Rowe Price investment products, the supplemental savings plan, non-operating income on certain investments, and, in 2018, nonrecurring tax charges of $20.8 million ($.08 in diluted earnings per share) related to the enactment of U.S. tax reform and $7.9 million ($.03 in diluted earnings per share) related to the enactment of new Maryland state tax legislation in the second quarter. Beginning in the second quarter of 2018, our non-GAAP adjustments no longer include non-operating income related to our cash and discretionary investments. We believe the non-GAAP financial measures below provide relevant and meaningful information to investors about our core operating results.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40" w:type="dxa"/>
            <w:vAlign w:val="bottom"/>
            <w:gridSpan w:val="5"/>
            <w:shd w:val="clear" w:color="auto" w:fill="CCEEFF"/>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Dollar</w:t>
            </w:r>
          </w:p>
        </w:tc>
        <w:tc>
          <w:tcPr>
            <w:tcW w:w="1320" w:type="dxa"/>
            <w:vAlign w:val="bottom"/>
          </w:tcPr>
          <w:p>
            <w:pPr>
              <w:jc w:val="right"/>
              <w:ind w:right="192"/>
              <w:spacing w:after="0" w:line="156" w:lineRule="exact"/>
              <w:rPr>
                <w:sz w:val="20"/>
                <w:szCs w:val="20"/>
                <w:color w:val="auto"/>
              </w:rPr>
            </w:pPr>
            <w:r>
              <w:rPr>
                <w:rFonts w:ascii="Arial" w:cs="Arial" w:eastAsia="Arial" w:hAnsi="Arial"/>
                <w:sz w:val="14"/>
                <w:szCs w:val="14"/>
                <w:b w:val="1"/>
                <w:bCs w:val="1"/>
                <w:color w:val="auto"/>
              </w:rPr>
              <w:t>Percentage</w:t>
            </w:r>
          </w:p>
        </w:tc>
      </w:tr>
      <w:tr>
        <w:trPr>
          <w:trHeight w:val="196"/>
        </w:trPr>
        <w:tc>
          <w:tcPr>
            <w:tcW w:w="5960" w:type="dxa"/>
            <w:vAlign w:val="bottom"/>
            <w:gridSpan w:val="5"/>
          </w:tcPr>
          <w:p>
            <w:pPr>
              <w:ind w:left="40"/>
              <w:spacing w:after="0"/>
              <w:rPr>
                <w:sz w:val="20"/>
                <w:szCs w:val="20"/>
                <w:color w:val="auto"/>
              </w:rPr>
            </w:pPr>
            <w:r>
              <w:rPr>
                <w:rFonts w:ascii="Arial" w:cs="Arial" w:eastAsia="Arial" w:hAnsi="Arial"/>
                <w:sz w:val="14"/>
                <w:szCs w:val="14"/>
                <w:color w:val="auto"/>
              </w:rPr>
              <w:t>(in millions, except per-share data)</w:t>
            </w:r>
          </w:p>
        </w:tc>
        <w:tc>
          <w:tcPr>
            <w:tcW w:w="22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6/30/2017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16"/>
        </w:trPr>
        <w:tc>
          <w:tcPr>
            <w:tcW w:w="596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U.S. GAAP basis</w:t>
            </w: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1,214.4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1"/>
                <w:szCs w:val="21"/>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3"/>
                <w:szCs w:val="23"/>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n/m</w:t>
            </w: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448.9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960" w:type="dxa"/>
            <w:vAlign w:val="bottom"/>
            <w:gridSpan w:val="5"/>
            <w:shd w:val="clear" w:color="auto" w:fill="CCEEFF"/>
          </w:tcPr>
          <w:p>
            <w:pPr>
              <w:ind w:left="40"/>
              <w:spacing w:after="0" w:line="216" w:lineRule="exact"/>
              <w:rPr>
                <w:sz w:val="20"/>
                <w:szCs w:val="20"/>
                <w:color w:val="auto"/>
              </w:rPr>
            </w:pPr>
            <w:r>
              <w:rPr>
                <w:rFonts w:ascii="Arial" w:cs="Arial" w:eastAsia="Arial" w:hAnsi="Arial"/>
                <w:sz w:val="18"/>
                <w:szCs w:val="18"/>
                <w:b w:val="1"/>
                <w:bCs w:val="1"/>
                <w:color w:val="auto"/>
              </w:rPr>
              <w:t>Adjusted non-GAAP basis</w:t>
            </w:r>
            <w:r>
              <w:rPr>
                <w:rFonts w:ascii="Arial" w:cs="Arial" w:eastAsia="Arial" w:hAnsi="Arial"/>
                <w:sz w:val="21"/>
                <w:szCs w:val="21"/>
                <w:b w:val="1"/>
                <w:bCs w:val="1"/>
                <w:color w:val="auto"/>
                <w:vertAlign w:val="superscript"/>
              </w:rPr>
              <w:t>(2)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745.3</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Net income attributable to T. Rowe Price Group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331"/>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6"/>
        </w:trPr>
        <w:tc>
          <w:tcPr>
            <w:tcW w:w="5960" w:type="dxa"/>
            <w:vAlign w:val="bottom"/>
            <w:gridSpan w:val="5"/>
          </w:tcPr>
          <w:p>
            <w:pPr>
              <w:ind w:left="40"/>
              <w:spacing w:after="0"/>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57"/>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r>
    </w:tbl>
    <w:p>
      <w:pPr>
        <w:ind w:left="140" w:hanging="132"/>
        <w:spacing w:after="0" w:line="235"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4" w:lineRule="auto"/>
        <w:tabs>
          <w:tab w:leader="none" w:pos="140" w:val="left"/>
        </w:tabs>
        <w:numPr>
          <w:ilvl w:val="0"/>
          <w:numId w:val="1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sections of this management discussion and analysis.</w:t>
      </w:r>
    </w:p>
    <w:p>
      <w:pPr>
        <w:spacing w:after="0" w:line="1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Investment advisory fees earned in the second quarter of 2018 increased over the comparable 2017 quarter as average assets under our management increased $150.6 billion, or 17.0%, to $ 1,036.5 billion. The average annualized effective fee rate earned on our assets under management during the second quarter of 2018 was 47.0 basis points, compared with 47.4 basis points earned during the second quarter of 2017. Our effective fee rate has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598" w:right="239" w:bottom="1440" w:gutter="0" w:footer="0" w:header="0"/>
        </w:sectPr>
      </w:pPr>
    </w:p>
    <w:bookmarkStart w:id="28" w:name="page29"/>
    <w:bookmarkEnd w:id="28"/>
    <w:p>
      <w:pPr>
        <w:ind w:right="120"/>
        <w:spacing w:after="0" w:line="254" w:lineRule="auto"/>
        <w:rPr>
          <w:sz w:val="20"/>
          <w:szCs w:val="20"/>
          <w:color w:val="auto"/>
        </w:rPr>
      </w:pPr>
      <w:r>
        <w:rPr>
          <w:rFonts w:ascii="Arial" w:cs="Arial" w:eastAsia="Arial" w:hAnsi="Arial"/>
          <w:sz w:val="18"/>
          <w:szCs w:val="18"/>
          <w:color w:val="auto"/>
        </w:rPr>
        <w:t>declined in part due to fee reductions we made to certain mutual funds and other products since the end of the second quarter 2017 and client transfers within the complex to lower fee vehicles or share classes. This reduction was offset in part as a greater percentage of our assets under management are in higher fee equity strategies. We regularly assess the competitiveness of our investment advisory fees and will continue to make adjustments as deemed appropriate.</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Operating expenses were $ 750.3 million in the second quarter of 2018 compared with $ 678.4 million in the second quarter of 2017, and $744.2 million in the first quarter of 2018. On a non-GAAP basis, our operating expenses in the second quarter of 2018 increased 10.1% to $745.3 million compared to the 2017 quarter, and were in line with the $741.0 million recognized in the first quarter of 2018. The 10.1% increase from the second quarter of 2017 is primarily due to higher market driven expenses and continued strategic investments.</w:t>
      </w:r>
    </w:p>
    <w:p>
      <w:pPr>
        <w:spacing w:after="0" w:line="20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Our operating margin in the second quarter of 2018 was 44.2%, compared to 42.8% earned in the 2017 quarter, as a 17% increase in our average assets under management since the end of June 2017 has led to growth in 2018 net revenues that has outpaced our growth in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0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3000" w:type="dxa"/>
            <w:vAlign w:val="bottom"/>
            <w:gridSpan w:val="3"/>
            <w:shd w:val="clear" w:color="auto" w:fill="CCEEFF"/>
          </w:tcPr>
          <w:p>
            <w:pPr>
              <w:jc w:val="right"/>
              <w:ind w:right="812"/>
              <w:spacing w:after="0"/>
              <w:rPr>
                <w:sz w:val="20"/>
                <w:szCs w:val="20"/>
                <w:color w:val="auto"/>
              </w:rPr>
            </w:pPr>
            <w:r>
              <w:rPr>
                <w:rFonts w:ascii="Arial" w:cs="Arial" w:eastAsia="Arial" w:hAnsi="Arial"/>
                <w:sz w:val="14"/>
                <w:szCs w:val="14"/>
                <w:b w:val="1"/>
                <w:bCs w:val="1"/>
                <w:color w:val="auto"/>
              </w:rPr>
              <w:t>Q2 2018 vs. Q2 2017</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62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Percentage change</w:t>
            </w:r>
          </w:p>
        </w:tc>
      </w:tr>
      <w:tr>
        <w:trPr>
          <w:trHeight w:val="27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U.S. mutual funds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35"/>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Subadvised and separate accounts and other investment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4"/>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r>
      <w:tr>
        <w:trPr>
          <w:trHeight w:val="250"/>
        </w:trPr>
        <w:tc>
          <w:tcPr>
            <w:tcW w:w="50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1,046.0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Administrative, distribution, and servicing fees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3"/>
        </w:trPr>
        <w:tc>
          <w:tcPr>
            <w:tcW w:w="5040" w:type="dxa"/>
            <w:vAlign w:val="bottom"/>
          </w:tcPr>
          <w:p>
            <w:pPr>
              <w:ind w:left="180"/>
              <w:spacing w:after="0"/>
              <w:rPr>
                <w:sz w:val="20"/>
                <w:szCs w:val="20"/>
                <w:color w:val="auto"/>
              </w:rPr>
            </w:pPr>
            <w:r>
              <w:rPr>
                <w:rFonts w:ascii="Arial" w:cs="Arial" w:eastAsia="Arial" w:hAnsi="Arial"/>
                <w:sz w:val="18"/>
                <w:szCs w:val="18"/>
                <w:color w:val="auto"/>
              </w:rPr>
              <w:t>Administrative fees</w:t>
            </w:r>
          </w:p>
        </w:tc>
        <w:tc>
          <w:tcPr>
            <w:tcW w:w="28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and servicing fees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50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1,345.0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Investment advisory revenues earned in the second quarter of 2018 from the U.S. mutual funds were $846.9 million, an increase of $90.5 million, or 12.0%, from the comparable 2017 quarter. Average mutual fund assets under management in the second quarter of 2018 were $624.6 billion, an increase of 11.5% from the average in the second quarter of 2017.</w:t>
      </w:r>
    </w:p>
    <w:p>
      <w:pPr>
        <w:spacing w:after="0" w:line="202"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Investment advisory revenues earned in the second quarter of 2018 from the other investment products were $367.5 million, an increase of $77.9 million, or 26.9%, from the comparable 2017 quarter. Average assets under management for these products in the second quarter of 2018 were $411.9 billion, an increase of 26.5% from the average in the second quarter of 2017.</w:t>
      </w:r>
    </w:p>
    <w:p>
      <w:pPr>
        <w:spacing w:after="0" w:line="20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Administrative, distribution, and servicing fees in the second quarter of 2018 were $130.6 million, a decrease of $9.4 million from the comparable 2017 quarter. In this line, we recognize fees earned from providing administrative and distribution services to our investment advisory clients, primarily our U.S. mutual funds and their investors. The decrease is primarily attributable to lower servicing revenue due to client transfers into other vehicles. The distribution and servicing fees we earn are related to 12b-1 plans of certain shares classes of our U.S. mutual funds and are entirely offset by the costs paid to third-party intermediaries who source these assets. These costs are reported in the distribution and servicing cost line in the consolidated income statements.</w:t>
      </w:r>
    </w:p>
    <w:p>
      <w:pPr>
        <w:spacing w:after="0" w:line="20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second quarter net revenues reflect the elimination of $1.0 million in 2017 and $1.4 million in 2018, earned from our consolidated T. Rowe Price investment products. The corresponding expenses recognized by these products, and also consolidated in our financial statements, were eliminated from operating expenses.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9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26035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6/30/2017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6/30/2018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560" w:type="dxa"/>
            <w:vAlign w:val="bottom"/>
          </w:tcPr>
          <w:p>
            <w:pPr>
              <w:jc w:val="right"/>
              <w:ind w:right="32"/>
              <w:spacing w:after="0"/>
              <w:rPr>
                <w:sz w:val="20"/>
                <w:szCs w:val="20"/>
                <w:color w:val="auto"/>
              </w:rPr>
            </w:pPr>
            <w:r>
              <w:rPr>
                <w:rFonts w:ascii="Arial" w:cs="Arial" w:eastAsia="Arial" w:hAnsi="Arial"/>
                <w:sz w:val="14"/>
                <w:szCs w:val="14"/>
                <w:b w:val="1"/>
                <w:bCs w:val="1"/>
                <w:color w:val="auto"/>
              </w:rPr>
              <w:t>Percentage change</w:t>
            </w:r>
          </w:p>
        </w:tc>
      </w:tr>
      <w:tr>
        <w:trPr>
          <w:trHeight w:val="256"/>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related costs</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403.8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456.0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00" w:type="dxa"/>
            <w:vAlign w:val="bottom"/>
            <w:tcBorders>
              <w:top w:val="single" w:sz="8" w:color="CCEEFF"/>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Distribution and servicing</w:t>
            </w: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Advertising and promotion</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Product-related costs</w:t>
            </w: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occupancy, and facility costs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Compensation and related costs were $456.0 million in the second quarter of 2018, an increase of $52.2 million, or 12.9%, compared to the second quarter of 2017. Our base salaries, benefits and related employee costs have increased $22.2 million from the second quarter of 2017 primarily as a result of a 6.2% increase in our average staff size and modest increases in base salaries at the beginning of 2018. The second quarter of 2018 also includes $9.0 million in one-time bonuses paid to certain associates that was funded by the benefits expected to be realized from U.S. tax reform. Our interim accrual for annual variable compensation increased $21.3 million from the 2017 quarter. We recognize the interim accrual ratably over the year using the ratio of recognized quarterly net revenues to forecasted annual net revenues. Our non-cash stock-based compensation expense has increased 7.8 million over the prior quarter, as we shifted our annual grant in 2017 from twice a year to a single grant in December. We employed 6,936 associates at June 30, 2018, compared with 6,881 associates at the end of 2017.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compensation and related costs were offset in part by lower market-related expense from our supplemental savings plan of</w:t>
      </w:r>
    </w:p>
    <w:p>
      <w:pPr>
        <w:spacing w:after="0" w:line="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$2.4 million. We began economically hedging the exposure to these market movements at the end of the second quarter of 2017 and show the effectiveness of these hedges in our non-GAAP measures’ reconciliation at the end of the management discussion and analysis. Higher labor capitalization related to internally developed software of $6.0 million also reduced the increase in compensation and related costs from the 2017 quarter.</w:t>
      </w:r>
    </w:p>
    <w:p>
      <w:pPr>
        <w:spacing w:after="0" w:line="204"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Distribution and servicing includes those costs incurred to distribute the T. Rowe Price products as well as client and shareholder servicing, recordkeeping, and administrative services. These costs were $71.6 million for the second quarter of 2018, an increase of 10.5% over the $64.8 million recognized in the second quarter of 2017. The increase is primarily driven by strong markets and net cash flows over the last twelve months. These costs include those distribution and servicing costs paid to third-party intermediaries that source the assets of certain share classes of our U.S. mutual funds and is offset entirely by the 12b-1 revenue we earn and report in administrative, distribution, and servicing fees.</w:t>
      </w:r>
    </w:p>
    <w:p>
      <w:pPr>
        <w:spacing w:after="0" w:line="20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Product-related costs is a new financial statement line item that consists of non-advisory related costs that we incur to service certain T. Rowe Price products. These costs were $37.1 million in the second quarter of 2018, an increase of $2.7 million, or 7.8%, compared to the second quarter of 2017. The increase is primarily due to higher operating costs of our collective investment trusts as the number of trusts and their net assets have increased since the end of the second quarter of 2017.</w:t>
      </w:r>
    </w:p>
    <w:p>
      <w:pPr>
        <w:spacing w:after="0" w:line="20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Technology, occupancy, and facility costs is a new financial statement line item that consists of depreciation expense, technology equipment and maintenance, software, and costs related to our facilities. These costs were $93.2 million in the second quarter of 2018, an increase of $7.6 million, or 8.9%, compared to the $85.6 million recognized in the second quarter of 2017. The increase is due primarily to incremental investment in our technology capabilities, including related depreciation and maintenance programs.</w:t>
      </w:r>
    </w:p>
    <w:p>
      <w:pPr>
        <w:spacing w:after="0" w:line="20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General, administrative, and other consists of costs associated with the overall management of the firm, including information services, professional services, travel and entertainment, research costs, and other general operating expenses. These costs were $73.4 million in the current quarter, an increase of $2.3 million, or 3.2%, compared to the $71.1 million recognized in the second quarter of 2017. The increase reflects growing operational and regulatory business demands.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Non-operating income</w:t>
      </w:r>
    </w:p>
    <w:p>
      <w:pPr>
        <w:spacing w:after="0" w:line="24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Non-operating income in the second quarter of 2018 was $34.1 million, a decrease of $77.9 million from the 2017 quarter. The following table details the components of non-operating income during the second quarter of 2017 and 2018 and the related dollar change.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260" w:type="dxa"/>
            <w:vAlign w:val="bottom"/>
            <w:gridSpan w:val="5"/>
            <w:shd w:val="clear" w:color="auto" w:fill="CCEEFF"/>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58"/>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Dollar change</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from non-consolidated T. Rowe Price investment products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3"/>
        </w:trPr>
        <w:tc>
          <w:tcPr>
            <w:tcW w:w="7760" w:type="dxa"/>
            <w:vAlign w:val="bottom"/>
          </w:tcPr>
          <w:p>
            <w:pPr>
              <w:ind w:left="180"/>
              <w:spacing w:after="0"/>
              <w:rPr>
                <w:sz w:val="20"/>
                <w:szCs w:val="20"/>
                <w:color w:val="auto"/>
              </w:rPr>
            </w:pPr>
            <w:r>
              <w:rPr>
                <w:rFonts w:ascii="Arial" w:cs="Arial" w:eastAsia="Arial" w:hAnsi="Arial"/>
                <w:sz w:val="18"/>
                <w:szCs w:val="18"/>
                <w:color w:val="auto"/>
              </w:rPr>
              <w:t>Net realized gains on dispositions of available-for-sale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and capital gain dividend distributions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63"/>
        </w:trPr>
        <w:tc>
          <w:tcPr>
            <w:tcW w:w="7760" w:type="dxa"/>
            <w:vAlign w:val="bottom"/>
          </w:tcPr>
          <w:p>
            <w:pPr>
              <w:ind w:left="180"/>
              <w:spacing w:after="0"/>
              <w:rPr>
                <w:sz w:val="20"/>
                <w:szCs w:val="20"/>
                <w:color w:val="auto"/>
              </w:rPr>
            </w:pPr>
            <w:r>
              <w:rPr>
                <w:rFonts w:ascii="Arial" w:cs="Arial" w:eastAsia="Arial" w:hAnsi="Arial"/>
                <w:sz w:val="18"/>
                <w:szCs w:val="18"/>
                <w:color w:val="auto"/>
              </w:rPr>
              <w:t>Market gains (losses) on equity method and other investments at fair value</w:t>
            </w: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5"/>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reclassified from accumulated other comprehensive income upon transfer of an</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available-for-sale sponsored investment portfolio to sponsored investment portfolios held as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63"/>
        </w:trPr>
        <w:tc>
          <w:tcPr>
            <w:tcW w:w="776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35"/>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and market gains on investment products used to hedge the supplemental savings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liability</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65.8</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r>
      <w:tr>
        <w:trPr>
          <w:trHeight w:val="27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earned on investments</w:t>
            </w: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b w:val="1"/>
                <w:bCs w:val="1"/>
                <w:color w:val="auto"/>
              </w:rPr>
              <w:t>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(54.0)</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including foreign currency gains and losses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January 1, 2018, we implemented new accounting guidance that eliminated the available-for-sale investment category for equity securities, which recognized unrealized holding gains in accumulated other comprehensive income until the investment was sold and the related gain was reclassified to the income statement. Under the new guidance, substantially all equity investments are measured at fair value with changes recognized in earnings, except for those accounted for using the equity method of accounting. For more information on the impact of this new accounting guidance, see Note 1, The Company and Basis of Preparation, in the condensed consolidated financial statements contained in Part I, Item 1 of this filing.</w:t>
      </w:r>
    </w:p>
    <w:p>
      <w:pPr>
        <w:spacing w:after="0" w:line="209"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During the second quarter of 2017, non-operating income included $30.8 million in gains realized from the disposition of certain available-for-sale investments and $23.6 million in unrealized gains recognized on sponsored trading investments that were reclassified from accumulated other comprehensive income. Given the implementation of the new accounting guidance discussed above, similar episodic realized gains on investments held at fair value will no longer occur.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580" w:right="239" w:bottom="1440" w:gutter="0" w:footer="0" w:header="0"/>
        </w:sectPr>
      </w:pPr>
    </w:p>
    <w:bookmarkStart w:id="31" w:name="page32"/>
    <w:bookmarkEnd w:id="31"/>
    <w:p>
      <w:pPr>
        <w:ind w:right="100"/>
        <w:spacing w:after="0" w:line="254" w:lineRule="auto"/>
        <w:rPr>
          <w:sz w:val="20"/>
          <w:szCs w:val="20"/>
          <w:color w:val="auto"/>
        </w:rPr>
      </w:pPr>
      <w:r>
        <w:rPr>
          <w:rFonts w:ascii="Arial" w:cs="Arial" w:eastAsia="Arial" w:hAnsi="Arial"/>
          <w:sz w:val="18"/>
          <w:szCs w:val="18"/>
          <w:color w:val="auto"/>
        </w:rPr>
        <w:t>The $ 20.3 million decrease from the 2017 quarter in net investment income of consolidated T. Rowe Price investment products is primarily a result of larger unrealized losses recognized during 2018 compared with 2017 and the deconsolidation of investments in the 2018 quarter. The impact of consolidating certain T. Rowe Price investment products on the individual lines of our condensed consolidated statements of income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9"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60325</wp:posOffset>
            </wp:positionV>
            <wp:extent cx="16808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19.1</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r>
      <w:tr>
        <w:trPr>
          <w:trHeight w:val="250"/>
        </w:trPr>
        <w:tc>
          <w:tcPr>
            <w:tcW w:w="8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effective tax rate for the second quarter of 2018 was 26.9%, compared with 37.1% in the 2017 quarter, as U.S. tax reform reduced the U.S. federal corporate tax rate from 35% to 21% on January 1, 2018. The income tax provision for the second quarter of 2018 includes an additional nonrecurring charge of $ 20.8 million related to the enactment of U.S. tax reform as we adjusted our deferred tax asset and liability re-measurement estimates recorded at December 31, 2017. We also recognized in the second quarter of 2018 a nonrecurring charge of $7.9 million for the re-measurement of our deferred tax assets and liabilities to reflect the effect of Maryland state tax legislation enacted on April 24, 2018. This new state tax legislation, effective in 2018, adopted a five-year phase-in of the single sales factor method of apportionment for calculating income tax for multi-state companies doing business in Maryland and is expected to result in a net benefit over time.</w:t>
      </w:r>
    </w:p>
    <w:p>
      <w:pPr>
        <w:spacing w:after="0" w:line="207"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second quarter rate of 26.9% contributes to an effective tax rate for the first half of 2018 of 25.5%. The following table reconciles the statutory federal income tax rate to our effective tax rate for the first half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Statutory U.S. federal income tax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Impact of nonrecurring charge related to U.S.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Impact of nonrecurring charge related to new Maryland state tax legislation</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for current year, net of federal income tax benefits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redeemable non-controlling interests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excess tax benefits from stock-based compensation plans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items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income tax rate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21.0 %</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1.7 %</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.7 %</w:t>
      </w:r>
    </w:p>
    <w:p>
      <w:pPr>
        <w:spacing w:after="0" w:line="98" w:lineRule="exact"/>
        <w:rPr>
          <w:sz w:val="20"/>
          <w:szCs w:val="20"/>
          <w:color w:val="auto"/>
        </w:rPr>
      </w:pPr>
    </w:p>
    <w:p>
      <w:pPr>
        <w:ind w:left="80"/>
        <w:spacing w:after="0"/>
        <w:rPr>
          <w:sz w:val="20"/>
          <w:szCs w:val="20"/>
          <w:color w:val="auto"/>
        </w:rPr>
      </w:pPr>
      <w:r>
        <w:rPr>
          <w:rFonts w:ascii="Arial" w:cs="Arial" w:eastAsia="Arial" w:hAnsi="Arial"/>
          <w:sz w:val="16"/>
          <w:szCs w:val="16"/>
          <w:color w:val="auto"/>
        </w:rPr>
        <w:t>4.4 %</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(2.4)%</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26670</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25.5 %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19050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36195</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10160" w:space="720"/>
            <w:col w:w="540"/>
          </w:cols>
          <w:pgMar w:left="240" w:top="598" w:right="239" w:bottom="1440" w:gutter="0" w:footer="0" w:header="0"/>
          <w:type w:val="continuous"/>
        </w:sectPr>
      </w:pPr>
    </w:p>
    <w:p>
      <w:pPr>
        <w:ind w:left="140" w:hanging="132"/>
        <w:spacing w:after="0"/>
        <w:tabs>
          <w:tab w:leader="none" w:pos="140" w:val="left"/>
        </w:tabs>
        <w:numPr>
          <w:ilvl w:val="0"/>
          <w:numId w:val="11"/>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State income tax benefits are reflected in the total benefits for net income attributable to redeemable non-controlling interests and stock-based compensation plans activity.</w:t>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currently estimate our effective tax rate for the full-year 2018 will be in the range of 24% to 27%. The benefit expected to be realized in 2018 from new Maryland state tax legislation will offset the nonrecurring re-measurement charge relating to this legislation and recognized in the second quarter of 2018 income tax provision. Based on information currently available, we expect that the Maryland state tax legislation will reduce our effective state tax rate over the five-year phase-in period to less than 2.5%.</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timing of option exercises. The rate will also be impacted by changes in our consolidated investment products that are driven by market fluctuations and changes in the proportion of their net income that is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598" w:right="239" w:bottom="1440" w:gutter="0" w:footer="0" w:header="0"/>
          <w:type w:val="continuous"/>
        </w:sectPr>
      </w:pPr>
    </w:p>
    <w:bookmarkStart w:id="32" w:name="page33"/>
    <w:bookmarkEnd w:id="32"/>
    <w:p>
      <w:pPr>
        <w:ind w:right="40"/>
        <w:spacing w:after="0" w:line="262" w:lineRule="auto"/>
        <w:rPr>
          <w:sz w:val="20"/>
          <w:szCs w:val="20"/>
          <w:color w:val="auto"/>
        </w:rPr>
      </w:pPr>
      <w:r>
        <w:rPr>
          <w:rFonts w:ascii="Arial" w:cs="Arial" w:eastAsia="Arial" w:hAnsi="Arial"/>
          <w:sz w:val="18"/>
          <w:szCs w:val="18"/>
          <w:color w:val="auto"/>
        </w:rPr>
        <w:t>We continue to evaluate the impact of U.S. tax reform and the Maryland state tax legislation on our estimates and expectations due to changes in our interpretations of the law, assumptions used in applying the law, and additional guidance concerning the law that may be issued.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half of 2017 versus first half of 2018.</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the Dell appraisal rights matter, our consolidated T. Rowe Price investment products, the supplemental savings plan, non-operating income on certain investments, and, in 2018, nonrecurring tax charges of $20.8 million ($.08 in diluted earnings per share) related to the enactment of U.S. tax reform and $ 7.9 million ($.03 in diluted earnings per share) related to the enactment of new Maryland state tax legislation in the second quarter. Beginning in the second quarter of 2018, our non-GAAP adjustments no longer include non-operating income related to our cash and discretionary investments. We believe the non-GAAP financial measures below provide relevant and meaningful information to investors about our core operating results.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4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56"/>
        </w:trPr>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Dollar</w:t>
            </w:r>
          </w:p>
        </w:tc>
        <w:tc>
          <w:tcPr>
            <w:tcW w:w="1320" w:type="dxa"/>
            <w:vAlign w:val="bottom"/>
          </w:tcPr>
          <w:p>
            <w:pPr>
              <w:jc w:val="right"/>
              <w:ind w:right="192"/>
              <w:spacing w:after="0" w:line="156" w:lineRule="exact"/>
              <w:rPr>
                <w:sz w:val="20"/>
                <w:szCs w:val="20"/>
                <w:color w:val="auto"/>
              </w:rPr>
            </w:pPr>
            <w:r>
              <w:rPr>
                <w:rFonts w:ascii="Arial" w:cs="Arial" w:eastAsia="Arial" w:hAnsi="Arial"/>
                <w:sz w:val="14"/>
                <w:szCs w:val="14"/>
                <w:b w:val="1"/>
                <w:bCs w:val="1"/>
                <w:color w:val="auto"/>
              </w:rPr>
              <w:t>Percentage</w:t>
            </w:r>
          </w:p>
        </w:tc>
      </w:tr>
      <w:tr>
        <w:trPr>
          <w:trHeight w:val="196"/>
        </w:trPr>
        <w:tc>
          <w:tcPr>
            <w:tcW w:w="59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per-share data)</w:t>
            </w:r>
          </w:p>
        </w:tc>
        <w:tc>
          <w:tcPr>
            <w:tcW w:w="22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Arial" w:cs="Arial" w:eastAsia="Arial" w:hAnsi="Arial"/>
                <w:sz w:val="14"/>
                <w:szCs w:val="14"/>
                <w:b w:val="1"/>
                <w:bCs w:val="1"/>
                <w:color w:val="auto"/>
              </w:rPr>
              <w:t>6/30/2017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31"/>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42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060" w:type="dxa"/>
            <w:vAlign w:val="bottom"/>
            <w:tcBorders>
              <w:top w:val="single" w:sz="8" w:color="CCEEFF"/>
            </w:tcBorders>
            <w:shd w:val="clear" w:color="auto" w:fill="CCEEFF"/>
          </w:tcPr>
          <w:p>
            <w:pPr>
              <w:spacing w:after="0"/>
              <w:rPr>
                <w:sz w:val="24"/>
                <w:szCs w:val="24"/>
                <w:color w:val="auto"/>
              </w:rPr>
            </w:pPr>
          </w:p>
        </w:tc>
        <w:tc>
          <w:tcPr>
            <w:tcW w:w="26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16"/>
        </w:trPr>
        <w:tc>
          <w:tcPr>
            <w:tcW w:w="5960" w:type="dxa"/>
            <w:vAlign w:val="bottom"/>
            <w:gridSpan w:val="5"/>
          </w:tcPr>
          <w:p>
            <w:pPr>
              <w:ind w:left="40"/>
              <w:spacing w:after="0"/>
              <w:rPr>
                <w:sz w:val="20"/>
                <w:szCs w:val="20"/>
                <w:color w:val="auto"/>
              </w:rPr>
            </w:pPr>
            <w:r>
              <w:rPr>
                <w:rFonts w:ascii="Arial" w:cs="Arial" w:eastAsia="Arial" w:hAnsi="Arial"/>
                <w:sz w:val="18"/>
                <w:szCs w:val="18"/>
                <w:b w:val="1"/>
                <w:bCs w:val="1"/>
                <w:color w:val="auto"/>
              </w:rPr>
              <w:t>U.S. GAAP basis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2,038.7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2,403.6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2,318.6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1,289.3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1,029.3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1,178.5</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1"/>
                <w:szCs w:val="21"/>
                <w:color w:val="auto"/>
                <w:vertAlign w:val="superscript"/>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31"/>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16"/>
        </w:trPr>
        <w:tc>
          <w:tcPr>
            <w:tcW w:w="5960" w:type="dxa"/>
            <w:vAlign w:val="bottom"/>
            <w:gridSpan w:val="5"/>
          </w:tcPr>
          <w:p>
            <w:pPr>
              <w:ind w:left="40"/>
              <w:spacing w:after="0" w:line="216" w:lineRule="exact"/>
              <w:rPr>
                <w:sz w:val="20"/>
                <w:szCs w:val="20"/>
                <w:color w:val="auto"/>
              </w:rPr>
            </w:pPr>
            <w:r>
              <w:rPr>
                <w:rFonts w:ascii="Arial" w:cs="Arial" w:eastAsia="Arial" w:hAnsi="Arial"/>
                <w:sz w:val="18"/>
                <w:szCs w:val="18"/>
                <w:b w:val="1"/>
                <w:bCs w:val="1"/>
                <w:color w:val="auto"/>
              </w:rPr>
              <w:t>Adjusted non-GAAP basis</w:t>
            </w:r>
            <w:r>
              <w:rPr>
                <w:rFonts w:ascii="Arial" w:cs="Arial" w:eastAsia="Arial" w:hAnsi="Arial"/>
                <w:sz w:val="21"/>
                <w:szCs w:val="21"/>
                <w:b w:val="1"/>
                <w:bCs w:val="1"/>
                <w:color w:val="auto"/>
                <w:vertAlign w:val="superscript"/>
              </w:rPr>
              <w:t>(2)</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63"/>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77"/>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share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324"/>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960" w:type="dxa"/>
            <w:vAlign w:val="bottom"/>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Assets under management (in billions)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auto"/>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1060" w:type="dxa"/>
            <w:vAlign w:val="bottom"/>
            <w:tcBorders>
              <w:top w:val="single" w:sz="8" w:color="auto"/>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r>
      <w:tr>
        <w:trPr>
          <w:trHeight w:val="257"/>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865.6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0"/>
        </w:trPr>
        <w:tc>
          <w:tcPr>
            <w:tcW w:w="596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1,044.1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line="235"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non-operating income is not meaningful (n/m).</w:t>
      </w:r>
    </w:p>
    <w:p>
      <w:pPr>
        <w:ind w:left="140" w:hanging="132"/>
        <w:spacing w:after="0" w:line="224"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the reconciliation to the comparable U.S. GAAP measures at the end of the results of operations sections of this management discussion and analysis.</w:t>
      </w:r>
    </w:p>
    <w:p>
      <w:pPr>
        <w:spacing w:after="0" w:line="2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Investment advisory revenues earned in the first half of 2018 increased 17.9% over the comparable 2017 period as average assets under our management increased $165.4 billion, or 19.1%, to $1,031.0 billion. The average annualized fee rate earned on our assets under management was 47.0 basis points in the first half of 2018, compared with 47.4 basis points earned in the first half of 2017. Our effective fee rate has declined in part due to fee reductions we made to certain mutual funds and other products since the end of 2016 and client transfers within the complex to lower fee vehicles or share classes. This reduction was offset in part as a greater percentage of our assets under management are in higher fee equity strategies. We regularly assess the competitiveness of our investment advisory fees and will continue to make adjustments as deemed appropriate.</w:t>
      </w:r>
    </w:p>
    <w:p>
      <w:pPr>
        <w:spacing w:after="0" w:line="20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Operating expenses were $1,494.5 million in the first half of 2018 compared with $1,289.3 million in the 2017 period. On a non-GAAP basis, our operating expenses in the first half of 2018 increased 11.3% to $1,486.3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70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compared to the 2017 period as higher market driven expenses and continued strategic investments drove our operating expenses.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operating margin in the first half of 2018 was 44.1%, compared to 44.4% in the 2017 period. Our operating income in the first half of 2017 includes $50.0 million of insurance recoveries related to the Dell appraisal rights matter. Excluding these insurance recoveries our operating margin was 42.2% in the first six months of 2017. The 19% increase in our average assets under management since the end of June 2017 has led to growth in 2018 net revenues that has outpaced our growth in operating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103505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26035</wp:posOffset>
            </wp:positionV>
            <wp:extent cx="19380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6/30/2017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620" w:type="dxa"/>
            <w:vAlign w:val="bottom"/>
          </w:tcPr>
          <w:p>
            <w:pPr>
              <w:jc w:val="right"/>
              <w:ind w:right="52"/>
              <w:spacing w:after="0"/>
              <w:rPr>
                <w:sz w:val="20"/>
                <w:szCs w:val="20"/>
                <w:color w:val="auto"/>
              </w:rPr>
            </w:pPr>
            <w:r>
              <w:rPr>
                <w:rFonts w:ascii="Arial" w:cs="Arial" w:eastAsia="Arial" w:hAnsi="Arial"/>
                <w:sz w:val="14"/>
                <w:szCs w:val="14"/>
                <w:b w:val="1"/>
                <w:bCs w:val="1"/>
                <w:color w:val="auto"/>
              </w:rPr>
              <w:t>Percentage change</w:t>
            </w:r>
          </w:p>
        </w:tc>
      </w:tr>
      <w:tr>
        <w:trPr>
          <w:trHeight w:val="27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3"/>
        </w:trPr>
        <w:tc>
          <w:tcPr>
            <w:tcW w:w="5020" w:type="dxa"/>
            <w:vAlign w:val="bottom"/>
          </w:tcPr>
          <w:p>
            <w:pPr>
              <w:ind w:left="160"/>
              <w:spacing w:after="0"/>
              <w:rPr>
                <w:sz w:val="20"/>
                <w:szCs w:val="20"/>
                <w:color w:val="auto"/>
              </w:rPr>
            </w:pPr>
            <w:r>
              <w:rPr>
                <w:rFonts w:ascii="Arial" w:cs="Arial" w:eastAsia="Arial" w:hAnsi="Arial"/>
                <w:sz w:val="18"/>
                <w:szCs w:val="18"/>
                <w:color w:val="auto"/>
              </w:rPr>
              <w:t>U.S. mutual funds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1,473.8</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14.0 %</w:t>
            </w:r>
          </w:p>
        </w:tc>
      </w:tr>
      <w:tr>
        <w:trPr>
          <w:trHeight w:val="23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Subadvised and separate accounts and other investment</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4"/>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r>
      <w:tr>
        <w:trPr>
          <w:trHeight w:val="250"/>
        </w:trPr>
        <w:tc>
          <w:tcPr>
            <w:tcW w:w="50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2,038.7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2,403.6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17.9 %</w:t>
            </w: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distribution, and servicing fees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3"/>
        </w:trPr>
        <w:tc>
          <w:tcPr>
            <w:tcW w:w="5020" w:type="dxa"/>
            <w:vAlign w:val="bottom"/>
          </w:tcPr>
          <w:p>
            <w:pPr>
              <w:ind w:left="160"/>
              <w:spacing w:after="0"/>
              <w:rPr>
                <w:sz w:val="20"/>
                <w:szCs w:val="20"/>
                <w:color w:val="auto"/>
              </w:rPr>
            </w:pPr>
            <w:r>
              <w:rPr>
                <w:rFonts w:ascii="Arial" w:cs="Arial" w:eastAsia="Arial" w:hAnsi="Arial"/>
                <w:sz w:val="18"/>
                <w:szCs w:val="18"/>
                <w:color w:val="auto"/>
              </w:rPr>
              <w:t>Administrative fees</w:t>
            </w: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servicing fees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50"/>
        </w:trPr>
        <w:tc>
          <w:tcPr>
            <w:tcW w:w="50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2,673.0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14.0%, or $206.0 million, to $ 1.7 billion. Average mutual fund assets in the first half of 2018 were $623.3 billion, an increase of 13.7% from the average for the comparable 2017 period.</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Investment advisory revenues earned on the other investment products for the first half of 2018 were $723.8 million, an increase of $158.9 million, or 28.1%, from the $564.9 million earned in the comparable 2017 period. Average assets in these products were $407.7 billion during the first half of 2018, up 28.5% from the comparable 2017 period.</w:t>
      </w:r>
    </w:p>
    <w:p>
      <w:pPr>
        <w:spacing w:after="0" w:line="20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Administrative, distribution, and servicing fees in the first half of 2018 were $269.4 million, a decrease of $10.5 million from the comparable 2017 period. The decrease is primarily attributable to lower servicing revenue due to client transfers into other vehicles.</w:t>
      </w:r>
    </w:p>
    <w:p>
      <w:pPr>
        <w:spacing w:after="0" w:line="19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results for the first half of 2017 and 2018 include the elimination of $1.8 million in 2017 and $3.1 million in 2018, earned from our consolidated T. Rowe Price investment products. The corresponding expenses recognized by these products, and also consolidated in our financial statements, were eliminated from operating expenses.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00"/>
          </w:cols>
          <w:pgMar w:left="240" w:top="598"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103505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26035</wp:posOffset>
            </wp:positionV>
            <wp:extent cx="19380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6/30/2017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6/30/2018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620" w:type="dxa"/>
            <w:vAlign w:val="bottom"/>
          </w:tcPr>
          <w:p>
            <w:pPr>
              <w:jc w:val="right"/>
              <w:ind w:right="52"/>
              <w:spacing w:after="0"/>
              <w:rPr>
                <w:sz w:val="20"/>
                <w:szCs w:val="20"/>
                <w:color w:val="auto"/>
              </w:rPr>
            </w:pPr>
            <w:r>
              <w:rPr>
                <w:rFonts w:ascii="Arial" w:cs="Arial" w:eastAsia="Arial" w:hAnsi="Arial"/>
                <w:sz w:val="14"/>
                <w:szCs w:val="14"/>
                <w:b w:val="1"/>
                <w:bCs w:val="1"/>
                <w:color w:val="auto"/>
              </w:rPr>
              <w:t>Percentage change</w:t>
            </w:r>
          </w:p>
        </w:tc>
      </w:tr>
      <w:tr>
        <w:trPr>
          <w:trHeight w:val="25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related costs</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801.2</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897.4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96.2</w:t>
            </w:r>
          </w:p>
        </w:tc>
        <w:tc>
          <w:tcPr>
            <w:tcW w:w="10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Distribution and servicing</w:t>
            </w: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7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and promotion</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Product-related costs</w:t>
            </w: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occupancy, and facility costs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3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insurance recoveries related to Dell appraisal</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3"/>
        </w:trPr>
        <w:tc>
          <w:tcPr>
            <w:tcW w:w="50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rights matter</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n/m</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1,289.3</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1,494.5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1"/>
                <w:szCs w:val="21"/>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0</wp:posOffset>
            </wp:positionV>
            <wp:extent cx="40392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39235" cy="26035"/>
                    </a:xfrm>
                    <a:prstGeom prst="rect">
                      <a:avLst/>
                    </a:prstGeom>
                    <a:noFill/>
                  </pic:spPr>
                </pic:pic>
              </a:graphicData>
            </a:graphic>
          </wp:anchor>
        </w:drawing>
      </w:r>
    </w:p>
    <w:p>
      <w:pPr>
        <w:spacing w:after="0" w:line="11"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percentage change in nonrecurring insurance recoveries related to Dell appraisal rights matter is not meaningful (n/m).</w:t>
      </w:r>
    </w:p>
    <w:p>
      <w:pPr>
        <w:spacing w:after="0" w:line="20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Compensation and related costs were $897.4 million in the first half of 2018, an increase of $ 96.2 million, or 12.0%, compared to the 2017 period. The largest part of the increase is attributable to a $48.7 million, or 11.0% increase in base salaries, benefits and related employee costs which resulted from an increase of 7.5% in average headcount from the 2017 period, combined with a modest increase in salaries at the beginning of 2018. The first half of 2018 also includes $9.0 million in one-time bonuses paid to certain associates that was funded by U.S. tax reform benefits. The interim accrual for our annual variable compensation in the 2018 period rose $39.5 million over the interim accrual in the 2017 period. Our non-cash stock-based compensation expense has increased $16.6 million over the prior quarter, as we shifted our annual grant in 2017 from twice a year to a single grant in December. These increases were offset in part by lower market-related expense from our supplemental savings plan of $5.7 million in the first half of 2018 compared with $13.0 million in the comparable 2017 period. Higher labor capitalization related to internally developed software of $9.8 million also impacted the compensation and related costs increase from the 2017 period.</w:t>
      </w:r>
    </w:p>
    <w:p>
      <w:pPr>
        <w:spacing w:after="0" w:line="21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Distribution and servicing costs were $141.9 million for the first half of 2018, an increase of 13.9% over the $124.6 million recognized in the 2017 period. The increase is primarily driven by strong markets and net cash flows over the last twelve months.</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Product-related costs were $79.2 million in the first half of 2018, an increase of $6.2 million, or 8.5%, compared to the 2017 period. About half of the increase is due to higher operating costs of our collective investment trusts as the number of trusts and their average net assets have increased over the last twelve months. The servicing costs we incur that are reimbursed by our U.S. mutual funds and recognized in administrative, distribution and servicing fees have also increased over the prior year.</w:t>
      </w:r>
    </w:p>
    <w:p>
      <w:pPr>
        <w:spacing w:after="0" w:line="20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Technology, occupancy, and facility costs were $187.3 million in the first half of 2018, an increase of 11.2% compared to the $168.4 million recognized in the 2017 period. The increase is due primarily to incremental investment in our technology capabilities, including related maintenance programs, as well as expanded office facilities.</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General, administrative, and other consists of costs were $145.1 million in the first half of 2018, an increase of 13.6% compared to the $127.7 million recognized in the 2017 period. The increase was a result of our continued investment in our strategic initiatives and other growing operational and regulatory business demands.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4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Net non-operating investment activity during the first half of 2018 resulted in income of $50.2 million, a decrease of $176.8 million from the 2017 period. The following table details the components of non-operating income (in millions) during the first half of 2017 and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00"/>
          </w:cols>
          <w:pgMar w:left="240" w:top="580"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70"/>
        </w:trPr>
        <w:tc>
          <w:tcPr>
            <w:tcW w:w="7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32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58"/>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millions)</w:t>
            </w: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Dollar change</w:t>
            </w: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from non-consolidated T. Rowe Price investment products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7760" w:type="dxa"/>
            <w:vAlign w:val="bottom"/>
          </w:tcPr>
          <w:p>
            <w:pPr>
              <w:ind w:left="180"/>
              <w:spacing w:after="0"/>
              <w:rPr>
                <w:sz w:val="20"/>
                <w:szCs w:val="20"/>
                <w:color w:val="auto"/>
              </w:rPr>
            </w:pPr>
            <w:r>
              <w:rPr>
                <w:rFonts w:ascii="Arial" w:cs="Arial" w:eastAsia="Arial" w:hAnsi="Arial"/>
                <w:sz w:val="18"/>
                <w:szCs w:val="18"/>
                <w:color w:val="auto"/>
              </w:rPr>
              <w:t>Net realized gains on dispositions of available-for-sale investments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and capital gain dividend distributions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63"/>
        </w:trPr>
        <w:tc>
          <w:tcPr>
            <w:tcW w:w="7760" w:type="dxa"/>
            <w:vAlign w:val="bottom"/>
          </w:tcPr>
          <w:p>
            <w:pPr>
              <w:ind w:left="180"/>
              <w:spacing w:after="0"/>
              <w:rPr>
                <w:sz w:val="20"/>
                <w:szCs w:val="20"/>
                <w:color w:val="auto"/>
              </w:rPr>
            </w:pPr>
            <w:r>
              <w:rPr>
                <w:rFonts w:ascii="Arial" w:cs="Arial" w:eastAsia="Arial" w:hAnsi="Arial"/>
                <w:sz w:val="18"/>
                <w:szCs w:val="18"/>
                <w:color w:val="auto"/>
              </w:rPr>
              <w:t>Market gains (losses) on equity method and other investments at fair value</w:t>
            </w:r>
          </w:p>
        </w:tc>
        <w:tc>
          <w:tcPr>
            <w:tcW w:w="2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5"/>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reclassified from accumulated other comprehensive income upon transfer of an</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03"/>
        </w:trPr>
        <w:tc>
          <w:tcPr>
            <w:tcW w:w="7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available-for-sale sponsored investment portfolio to sponsored investment portfolios held as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trading</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63"/>
        </w:trPr>
        <w:tc>
          <w:tcPr>
            <w:tcW w:w="7760" w:type="dxa"/>
            <w:vAlign w:val="bottom"/>
          </w:tcPr>
          <w:p>
            <w:pPr>
              <w:ind w:left="180"/>
              <w:spacing w:after="0"/>
              <w:rPr>
                <w:sz w:val="20"/>
                <w:szCs w:val="20"/>
                <w:color w:val="auto"/>
              </w:rPr>
            </w:pPr>
            <w:r>
              <w:rPr>
                <w:rFonts w:ascii="Arial" w:cs="Arial" w:eastAsia="Arial" w:hAnsi="Arial"/>
                <w:sz w:val="18"/>
                <w:szCs w:val="18"/>
                <w:color w:val="auto"/>
              </w:rPr>
              <w:t>Net gain recognized upon deconsolidation</w:t>
            </w:r>
          </w:p>
        </w:tc>
        <w:tc>
          <w:tcPr>
            <w:tcW w:w="2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35"/>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and market gains on investment products used to hedge the supplemental savings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liability</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net gains from non-consolidated T. Rowe Price investment products</w:t>
            </w: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126.1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(108.9)</w:t>
            </w:r>
          </w:p>
        </w:tc>
      </w:tr>
      <w:tr>
        <w:trPr>
          <w:trHeight w:val="27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investment income</w:t>
            </w: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earned on investments</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136.2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31.8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(104.4)</w:t>
            </w:r>
          </w:p>
        </w:tc>
      </w:tr>
      <w:tr>
        <w:trPr>
          <w:trHeight w:val="277"/>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consolidated sponsored investment portfolios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including foreign currency gains and losses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decrease in market gains on equity method and other investments at fair value is driven primarily by realized gains of $77.9 million from the sale of certain available-for-sale investments recognized in the first half of 2017, which as discussed above will no longer occur for this type of investment after the implementation of the new financial instruments accounting guidance.</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$ 68.4 million decrease from the 2017 period in net investment income of consolidated T. Rowe Price investment products is primarily a result of larger unrealized losses recognized during 2018 compared with 2017 and the deconsolidation of an investment in 2018. The impact of consolidating certain T. Rowe Price investment products on the individual lines of our condensed consolidated statements of income for the first half of 2017 and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8"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26035</wp:posOffset>
            </wp:positionV>
            <wp:extent cx="16808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6/30/2018</w:t>
            </w:r>
          </w:p>
        </w:tc>
      </w:tr>
      <w:tr>
        <w:trPr>
          <w:trHeight w:val="256"/>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19.9</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w:t>
            </w: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r>
      <w:tr>
        <w:trPr>
          <w:trHeight w:val="20"/>
        </w:trPr>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73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The following schedule reconciles U.S. GAAP financial measures to non-GAAP financial measures for the three- and six-month periods ended June 30, 2017 and 2018.</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320" w:type="dxa"/>
            <w:vAlign w:val="bottom"/>
            <w:gridSpan w:val="5"/>
            <w:shd w:val="clear" w:color="auto" w:fill="CCEEFF"/>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22"/>
                <w:szCs w:val="22"/>
                <w:color w:val="auto"/>
              </w:rPr>
            </w:pPr>
          </w:p>
        </w:tc>
        <w:tc>
          <w:tcPr>
            <w:tcW w:w="2220" w:type="dxa"/>
            <w:vAlign w:val="bottom"/>
            <w:gridSpan w:val="4"/>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 except per-share amounts)</w:t>
            </w: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6/30/2018</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1,289.3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1,494.5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3"/>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 of consolidated T. Rowe Price investment products, net of</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650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elimination of its related management and administrative fees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6500" w:type="dxa"/>
            <w:vAlign w:val="bottom"/>
          </w:tcPr>
          <w:p>
            <w:pPr>
              <w:ind w:left="120"/>
              <w:spacing w:after="0"/>
              <w:rPr>
                <w:sz w:val="20"/>
                <w:szCs w:val="20"/>
                <w:color w:val="auto"/>
              </w:rPr>
            </w:pPr>
            <w:r>
              <w:rPr>
                <w:rFonts w:ascii="Arial" w:cs="Arial" w:eastAsia="Arial" w:hAnsi="Arial"/>
                <w:sz w:val="18"/>
                <w:szCs w:val="18"/>
                <w:color w:val="auto"/>
              </w:rPr>
              <w:t>Compensation expense related to market valuation changes in the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6500" w:type="dxa"/>
            <w:vAlign w:val="bottom"/>
          </w:tcPr>
          <w:p>
            <w:pPr>
              <w:ind w:left="120"/>
              <w:spacing w:after="0" w:line="233" w:lineRule="exact"/>
              <w:rPr>
                <w:sz w:val="20"/>
                <w:szCs w:val="20"/>
                <w:color w:val="auto"/>
              </w:rPr>
            </w:pPr>
            <w:r>
              <w:rPr>
                <w:rFonts w:ascii="Arial" w:cs="Arial" w:eastAsia="Arial" w:hAnsi="Arial"/>
                <w:sz w:val="18"/>
                <w:szCs w:val="18"/>
                <w:color w:val="auto"/>
              </w:rPr>
              <w:t>supplemental savings plan liability</w:t>
            </w:r>
            <w:r>
              <w:rPr>
                <w:rFonts w:ascii="Arial" w:cs="Arial" w:eastAsia="Arial" w:hAnsi="Arial"/>
                <w:sz w:val="21"/>
                <w:szCs w:val="21"/>
                <w:color w:val="auto"/>
                <w:vertAlign w:val="superscript"/>
              </w:rPr>
              <w:t>(2)</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0"/>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745.3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1,335.8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1,486.3</w:t>
            </w:r>
          </w:p>
        </w:tc>
      </w:tr>
      <w:tr>
        <w:trPr>
          <w:trHeight w:val="305"/>
        </w:trPr>
        <w:tc>
          <w:tcPr>
            <w:tcW w:w="65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759.8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902.6</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6"/>
        </w:trPr>
        <w:tc>
          <w:tcPr>
            <w:tcW w:w="6500" w:type="dxa"/>
            <w:vAlign w:val="bottom"/>
          </w:tcPr>
          <w:p>
            <w:pPr>
              <w:ind w:left="120"/>
              <w:spacing w:after="0"/>
              <w:rPr>
                <w:sz w:val="20"/>
                <w:szCs w:val="20"/>
                <w:color w:val="auto"/>
              </w:rPr>
            </w:pPr>
            <w:r>
              <w:rPr>
                <w:rFonts w:ascii="Arial" w:cs="Arial" w:eastAsia="Arial" w:hAnsi="Arial"/>
                <w:sz w:val="18"/>
                <w:szCs w:val="18"/>
                <w:color w:val="auto"/>
              </w:rPr>
              <w:t>Net income of consolidated T. Rowe Price investment products, net of</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6500" w:type="dxa"/>
            <w:vAlign w:val="bottom"/>
          </w:tcPr>
          <w:p>
            <w:pPr>
              <w:ind w:left="120"/>
              <w:spacing w:after="0" w:line="233" w:lineRule="exact"/>
              <w:rPr>
                <w:sz w:val="20"/>
                <w:szCs w:val="20"/>
                <w:color w:val="auto"/>
              </w:rPr>
            </w:pPr>
            <w:r>
              <w:rPr>
                <w:rFonts w:ascii="Arial" w:cs="Arial" w:eastAsia="Arial" w:hAnsi="Arial"/>
                <w:sz w:val="18"/>
                <w:szCs w:val="18"/>
                <w:color w:val="auto"/>
              </w:rPr>
              <w:t>redeemable non-controlling interests</w:t>
            </w:r>
            <w:r>
              <w:rPr>
                <w:rFonts w:ascii="Arial" w:cs="Arial" w:eastAsia="Arial" w:hAnsi="Arial"/>
                <w:sz w:val="21"/>
                <w:szCs w:val="21"/>
                <w:color w:val="auto"/>
                <w:vertAlign w:val="superscript"/>
              </w:rPr>
              <w:t>(1)</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6"/>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Non-operating income of investments designated as an economic hedge of the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3"/>
        </w:trPr>
        <w:tc>
          <w:tcPr>
            <w:tcW w:w="6500" w:type="dxa"/>
            <w:vAlign w:val="bottom"/>
            <w:shd w:val="clear" w:color="auto" w:fill="CCEEFF"/>
          </w:tcPr>
          <w:p>
            <w:pPr>
              <w:ind w:left="120"/>
              <w:spacing w:after="0" w:line="233" w:lineRule="exact"/>
              <w:rPr>
                <w:sz w:val="20"/>
                <w:szCs w:val="20"/>
                <w:color w:val="auto"/>
              </w:rPr>
            </w:pPr>
            <w:r>
              <w:rPr>
                <w:rFonts w:ascii="Arial" w:cs="Arial" w:eastAsia="Arial" w:hAnsi="Arial"/>
                <w:sz w:val="18"/>
                <w:szCs w:val="18"/>
                <w:color w:val="auto"/>
              </w:rPr>
              <w:t>supplemental savings plan liability less related compensation expense</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Income tax impacts of non-GAAP adjustments</w:t>
            </w:r>
            <w:r>
              <w:rPr>
                <w:rFonts w:ascii="Arial" w:cs="Arial" w:eastAsia="Arial" w:hAnsi="Arial"/>
                <w:sz w:val="21"/>
                <w:szCs w:val="21"/>
                <w:color w:val="auto"/>
                <w:vertAlign w:val="superscript"/>
              </w:rPr>
              <w:t>(5)</w:t>
            </w:r>
          </w:p>
        </w:tc>
        <w:tc>
          <w:tcPr>
            <w:tcW w:w="2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Nonrecurring charge related to enactment of U.S. tax reform</w:t>
            </w:r>
            <w:r>
              <w:rPr>
                <w:rFonts w:ascii="Arial" w:cs="Arial" w:eastAsia="Arial" w:hAnsi="Arial"/>
                <w:sz w:val="21"/>
                <w:szCs w:val="21"/>
                <w:color w:val="auto"/>
                <w:vertAlign w:val="superscript"/>
              </w:rPr>
              <w:t>(6)</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Nonrecurring charge related to enactment of Maryland state tax legislation</w:t>
            </w:r>
            <w:r>
              <w:rPr>
                <w:rFonts w:ascii="Arial" w:cs="Arial" w:eastAsia="Arial" w:hAnsi="Arial"/>
                <w:sz w:val="21"/>
                <w:szCs w:val="21"/>
                <w:color w:val="auto"/>
                <w:vertAlign w:val="superscript"/>
              </w:rPr>
              <w:t>(7)</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918.4</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5"/>
        </w:trPr>
        <w:tc>
          <w:tcPr>
            <w:tcW w:w="6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Consolidated T. Rowe Price investment products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6"/>
        </w:trPr>
        <w:tc>
          <w:tcPr>
            <w:tcW w:w="6500" w:type="dxa"/>
            <w:vAlign w:val="bottom"/>
          </w:tcPr>
          <w:p>
            <w:pPr>
              <w:ind w:left="120"/>
              <w:spacing w:after="0"/>
              <w:rPr>
                <w:sz w:val="20"/>
                <w:szCs w:val="20"/>
                <w:color w:val="auto"/>
              </w:rPr>
            </w:pPr>
            <w:r>
              <w:rPr>
                <w:rFonts w:ascii="Arial" w:cs="Arial" w:eastAsia="Arial" w:hAnsi="Arial"/>
                <w:sz w:val="18"/>
                <w:szCs w:val="18"/>
                <w:color w:val="auto"/>
              </w:rPr>
              <w:t>Non-operating income of investments designated as an economic hedge of the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6500" w:type="dxa"/>
            <w:vAlign w:val="bottom"/>
          </w:tcPr>
          <w:p>
            <w:pPr>
              <w:ind w:left="120"/>
              <w:spacing w:after="0" w:line="233" w:lineRule="exact"/>
              <w:rPr>
                <w:sz w:val="20"/>
                <w:szCs w:val="20"/>
                <w:color w:val="auto"/>
              </w:rPr>
            </w:pPr>
            <w:r>
              <w:rPr>
                <w:rFonts w:ascii="Arial" w:cs="Arial" w:eastAsia="Arial" w:hAnsi="Arial"/>
                <w:sz w:val="18"/>
                <w:szCs w:val="18"/>
                <w:color w:val="auto"/>
              </w:rPr>
              <w:t>supplemental savings plan liability less related compensation expense</w:t>
            </w:r>
            <w:r>
              <w:rPr>
                <w:rFonts w:ascii="Arial" w:cs="Arial" w:eastAsia="Arial" w:hAnsi="Arial"/>
                <w:sz w:val="21"/>
                <w:szCs w:val="21"/>
                <w:color w:val="auto"/>
                <w:vertAlign w:val="superscript"/>
              </w:rPr>
              <w:t>(2)</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income</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Insurance recoveries related to Dell appraisal rights matter</w:t>
            </w:r>
            <w:r>
              <w:rPr>
                <w:rFonts w:ascii="Arial" w:cs="Arial" w:eastAsia="Arial" w:hAnsi="Arial"/>
                <w:sz w:val="21"/>
                <w:szCs w:val="21"/>
                <w:color w:val="auto"/>
                <w:vertAlign w:val="superscript"/>
              </w:rPr>
              <w:t>(4)</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Nonrecurring charge related to enactment of U.S. tax reform</w:t>
            </w:r>
            <w:r>
              <w:rPr>
                <w:rFonts w:ascii="Arial" w:cs="Arial" w:eastAsia="Arial" w:hAnsi="Arial"/>
                <w:sz w:val="21"/>
                <w:szCs w:val="21"/>
                <w:color w:val="auto"/>
                <w:vertAlign w:val="superscript"/>
              </w:rPr>
              <w:t>(6)</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70"/>
        </w:trPr>
        <w:tc>
          <w:tcPr>
            <w:tcW w:w="6500" w:type="dxa"/>
            <w:vAlign w:val="bottom"/>
          </w:tcPr>
          <w:p>
            <w:pPr>
              <w:ind w:left="120"/>
              <w:spacing w:after="0"/>
              <w:rPr>
                <w:sz w:val="20"/>
                <w:szCs w:val="20"/>
                <w:color w:val="auto"/>
              </w:rPr>
            </w:pPr>
            <w:r>
              <w:rPr>
                <w:rFonts w:ascii="Arial" w:cs="Arial" w:eastAsia="Arial" w:hAnsi="Arial"/>
                <w:sz w:val="18"/>
                <w:szCs w:val="18"/>
                <w:color w:val="auto"/>
              </w:rPr>
              <w:t>Nonrecurring charge related to enactment of Maryland state tax legislation</w:t>
            </w:r>
            <w:r>
              <w:rPr>
                <w:rFonts w:ascii="Arial" w:cs="Arial" w:eastAsia="Arial" w:hAnsi="Arial"/>
                <w:sz w:val="21"/>
                <w:szCs w:val="21"/>
                <w:color w:val="auto"/>
                <w:vertAlign w:val="superscript"/>
              </w:rPr>
              <w:t>(7)</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1"/>
                <w:szCs w:val="21"/>
                <w:b w:val="1"/>
                <w:bCs w:val="1"/>
                <w:color w:val="auto"/>
                <w:vertAlign w:val="superscript"/>
              </w:rPr>
              <w:t>(8)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652" w:right="239" w:bottom="1440" w:gutter="0" w:footer="0" w:header="0"/>
        </w:sectPr>
      </w:pPr>
    </w:p>
    <w:bookmarkStart w:id="37" w:name="page38"/>
    <w:bookmarkEnd w:id="37"/>
    <w:p>
      <w:pPr>
        <w:ind w:left="172" w:hanging="172"/>
        <w:spacing w:after="0"/>
        <w:tabs>
          <w:tab w:leader="none" w:pos="192"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The non-GAAP adjustments add back the management and administrative fees that we earn from the consolidated T. Rowe Price investment products and subtract the investment income and operating expenses of these products that have been included in our U.S. GAAP consolidated statements of income. We believe the consolidated T. Rowe Price investment products may impact the reader's ability to understand our core operating results. The following table details the calculation of operating expenses of consolidated T. Rowe Price investment products, net of elimination of its related management and administrative fees.</w:t>
      </w:r>
    </w:p>
    <w:p>
      <w:pPr>
        <w:spacing w:after="0" w:line="352" w:lineRule="exact"/>
        <w:rPr>
          <w:sz w:val="20"/>
          <w:szCs w:val="20"/>
          <w:color w:val="auto"/>
        </w:rPr>
      </w:pPr>
    </w:p>
    <w:tbl>
      <w:tblPr>
        <w:tblLayout w:type="fixed"/>
        <w:tblInd w:w="172" w:type="dxa"/>
        <w:tblCellMar>
          <w:top w:w="0" w:type="dxa"/>
          <w:left w:w="0" w:type="dxa"/>
          <w:bottom w:w="0" w:type="dxa"/>
          <w:right w:w="0" w:type="dxa"/>
        </w:tblCellMar>
      </w:tblPr>
      <w:tr>
        <w:trPr>
          <w:trHeight w:val="264"/>
        </w:trPr>
        <w:tc>
          <w:tcPr>
            <w:tcW w:w="6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38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6/30/2018</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before eliminations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r>
      <w:tr>
        <w:trPr>
          <w:trHeight w:val="264"/>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 eliminated in consolidation</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 net of eliminations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2" w:right="780"/>
        <w:spacing w:after="0" w:line="262" w:lineRule="auto"/>
        <w:rPr>
          <w:sz w:val="20"/>
          <w:szCs w:val="20"/>
          <w:color w:val="auto"/>
        </w:rPr>
      </w:pPr>
      <w:r>
        <w:rPr>
          <w:rFonts w:ascii="Arial" w:cs="Arial" w:eastAsia="Arial" w:hAnsi="Arial"/>
          <w:sz w:val="18"/>
          <w:szCs w:val="18"/>
          <w:color w:val="auto"/>
        </w:rPr>
        <w:t>The following table details the calculation of net income of consolidated T. Rowe Price investment products, net of redeemable non-controlling interests:</w:t>
      </w:r>
    </w:p>
    <w:p>
      <w:pPr>
        <w:spacing w:after="0" w:line="116" w:lineRule="exact"/>
        <w:rPr>
          <w:sz w:val="20"/>
          <w:szCs w:val="20"/>
          <w:color w:val="auto"/>
        </w:rPr>
      </w:pPr>
    </w:p>
    <w:tbl>
      <w:tblPr>
        <w:tblLayout w:type="fixed"/>
        <w:tblInd w:w="172" w:type="dxa"/>
        <w:tblCellMar>
          <w:top w:w="0" w:type="dxa"/>
          <w:left w:w="0" w:type="dxa"/>
          <w:bottom w:w="0" w:type="dxa"/>
          <w:right w:w="0" w:type="dxa"/>
        </w:tblCellMar>
      </w:tblPr>
      <w:tr>
        <w:trPr>
          <w:trHeight w:val="264"/>
        </w:trPr>
        <w:tc>
          <w:tcPr>
            <w:tcW w:w="6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380" w:type="dxa"/>
            <w:vAlign w:val="bottom"/>
            <w:gridSpan w:val="6"/>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6/30/2018</w:t>
            </w: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gains on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w:t>
            </w:r>
          </w:p>
        </w:tc>
      </w:tr>
      <w:tr>
        <w:trPr>
          <w:trHeight w:val="264"/>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r>
      <w:tr>
        <w:trPr>
          <w:trHeight w:val="264"/>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12.5</w:t>
            </w: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Group's portion of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2" w:right="160" w:hanging="172"/>
        <w:spacing w:after="0" w:line="256" w:lineRule="auto"/>
        <w:tabs>
          <w:tab w:leader="none" w:pos="172" w:val="left"/>
        </w:tabs>
        <w:numPr>
          <w:ilvl w:val="0"/>
          <w:numId w:val="15"/>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removes the impact of market movements on the supplemental savings plan liability and related investments designated as economic hedges of the liability beginning July 1, 2017. Amounts deferred under the supplemental savings plan are adjusted for appreciation (depreciation) of hypothetical investments chosen by the employees. Since we economically hedge the exposure to these market movements, we believe it is useful to offset the non-operating investment income earned on the hedges against the related compensation expense to increase comparability period to period. The following table details the supplemental savings plan related items:</w:t>
      </w:r>
    </w:p>
    <w:p>
      <w:pPr>
        <w:spacing w:after="0" w:line="125" w:lineRule="exact"/>
        <w:rPr>
          <w:sz w:val="20"/>
          <w:szCs w:val="20"/>
          <w:color w:val="auto"/>
        </w:rPr>
      </w:pPr>
    </w:p>
    <w:tbl>
      <w:tblPr>
        <w:tblLayout w:type="fixed"/>
        <w:tblInd w:w="172" w:type="dxa"/>
        <w:tblCellMar>
          <w:top w:w="0" w:type="dxa"/>
          <w:left w:w="0" w:type="dxa"/>
          <w:bottom w:w="0" w:type="dxa"/>
          <w:right w:w="0" w:type="dxa"/>
        </w:tblCellMar>
      </w:tblPr>
      <w:tr>
        <w:trPr>
          <w:trHeight w:val="264"/>
        </w:trPr>
        <w:tc>
          <w:tcPr>
            <w:tcW w:w="6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6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0"/>
        </w:trPr>
        <w:tc>
          <w:tcPr>
            <w:tcW w:w="6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6/30/2018</w:t>
            </w:r>
          </w:p>
        </w:tc>
        <w:tc>
          <w:tcPr>
            <w:tcW w:w="0" w:type="dxa"/>
            <w:vAlign w:val="bottom"/>
          </w:tcPr>
          <w:p>
            <w:pPr>
              <w:spacing w:after="0"/>
              <w:rPr>
                <w:sz w:val="1"/>
                <w:szCs w:val="1"/>
                <w:color w:val="auto"/>
              </w:rPr>
            </w:pP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of investments designated as an economic hedge of</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Compensation expense from market valuation changes in supplemental</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savings plan liability</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of investments designated as an economic hedge of</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 less compensation expense</w:t>
            </w:r>
          </w:p>
        </w:tc>
        <w:tc>
          <w:tcPr>
            <w:tcW w:w="2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72" w:right="40" w:hanging="172"/>
        <w:spacing w:after="0" w:line="259" w:lineRule="auto"/>
        <w:tabs>
          <w:tab w:leader="none" w:pos="172"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This non-GAAP adjustment removes the non-operating income that remains after backing out the portion related to the consolidated T. Rowe Price investment products and the investments designated as an economic hedge of our supplemental savings plan liability. Beginning in the second quarter of 2018, we modified the non-GAAP adjustment and no longer adjust for the investment gains recognized on our cash and discretionary investments as the income earned on these assets are considered part of our core operations. The impact on previously reported non-GAAP measures is immaterial. We believe adjusting for the remaining non-operating income helps the reader's ability to understand our core operating results and increases comparability to prior years. Additionally, we do not emphasize the impact of the portion of non-operating income removed when managing and evaluating our performance.</w:t>
      </w: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392"/>
          </w:cols>
          <w:pgMar w:left="248" w:top="598" w:right="259" w:bottom="1440" w:gutter="0" w:footer="0" w:header="0"/>
        </w:sectPr>
      </w:pPr>
    </w:p>
    <w:bookmarkStart w:id="38" w:name="page39"/>
    <w:bookmarkEnd w:id="38"/>
    <w:tbl>
      <w:tblPr>
        <w:tblLayout w:type="fixed"/>
        <w:tblInd w:w="180" w:type="dxa"/>
        <w:tblCellMar>
          <w:top w:w="0" w:type="dxa"/>
          <w:left w:w="0" w:type="dxa"/>
          <w:bottom w:w="0" w:type="dxa"/>
          <w:right w:w="0" w:type="dxa"/>
        </w:tblCellMar>
      </w:tblPr>
      <w:tr>
        <w:trPr>
          <w:trHeight w:val="264"/>
        </w:trPr>
        <w:tc>
          <w:tcPr>
            <w:tcW w:w="6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60" w:type="dxa"/>
            <w:vAlign w:val="bottom"/>
            <w:gridSpan w:val="5"/>
            <w:shd w:val="clear" w:color="auto" w:fill="CCEEFF"/>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4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6/30/2018</w:t>
            </w:r>
          </w:p>
        </w:tc>
      </w:tr>
      <w:tr>
        <w:trPr>
          <w:trHeight w:val="25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50.2</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Less: net investment gains of consolidated T. Rowe Price investment</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19.9</w:t>
            </w:r>
          </w:p>
        </w:tc>
      </w:tr>
      <w:tr>
        <w:trPr>
          <w:trHeight w:val="235"/>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non-operating income from investments designated as an economic</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hedge of supplemental savings plan liability</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r>
      <w:tr>
        <w:trPr>
          <w:trHeight w:val="264"/>
        </w:trPr>
        <w:tc>
          <w:tcPr>
            <w:tcW w:w="6220" w:type="dxa"/>
            <w:vAlign w:val="bottom"/>
          </w:tcPr>
          <w:p>
            <w:pPr>
              <w:ind w:left="20"/>
              <w:spacing w:after="0"/>
              <w:rPr>
                <w:sz w:val="20"/>
                <w:szCs w:val="20"/>
                <w:color w:val="auto"/>
              </w:rPr>
            </w:pPr>
            <w:r>
              <w:rPr>
                <w:rFonts w:ascii="Arial" w:cs="Arial" w:eastAsia="Arial" w:hAnsi="Arial"/>
                <w:sz w:val="18"/>
                <w:szCs w:val="18"/>
                <w:color w:val="auto"/>
              </w:rPr>
              <w:t>Less: investment gains earned on cash and discretionary investments</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8.0</w:t>
            </w:r>
          </w:p>
        </w:tc>
      </w:tr>
      <w:tr>
        <w:trPr>
          <w:trHeight w:val="257"/>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80" w:right="280" w:hanging="172"/>
        <w:spacing w:after="0" w:line="233" w:lineRule="auto"/>
        <w:tabs>
          <w:tab w:leader="none" w:pos="20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 the first quarter of 2017, we recognized insurance recoveries of $50.0 million related to the Dell appraisal rights matter as a reduction in operating expenses. We believe it is useful to readers of our condensed consolidated statements of income to adjust for these insurance recoveries given the nonrecurring nature of the initial charge and related insurance recoveries.</w:t>
      </w:r>
    </w:p>
    <w:p>
      <w:pPr>
        <w:spacing w:after="0" w:line="204" w:lineRule="exact"/>
        <w:rPr>
          <w:sz w:val="20"/>
          <w:szCs w:val="20"/>
          <w:color w:val="auto"/>
        </w:rPr>
      </w:pPr>
    </w:p>
    <w:p>
      <w:pPr>
        <w:ind w:left="180" w:hanging="161"/>
        <w:spacing w:after="0" w:line="238" w:lineRule="auto"/>
        <w:rPr>
          <w:sz w:val="20"/>
          <w:szCs w:val="20"/>
          <w:color w:val="auto"/>
        </w:rPr>
      </w:pPr>
      <w:r>
        <w:rPr>
          <w:rFonts w:ascii="Arial" w:cs="Arial" w:eastAsia="Arial" w:hAnsi="Arial"/>
          <w:sz w:val="21"/>
          <w:szCs w:val="21"/>
          <w:color w:val="auto"/>
          <w:vertAlign w:val="superscript"/>
        </w:rPr>
        <w:t>(5</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The income tax impacts were calculated in order to achieve an overall year-to-date non-GAAP effective tax rate of 37.5% for 2017 and 23.3% for 2018. As such, the non-GAAP effective tax rate for the second quarter was 37.7% for 2017 and 22.4% for 2018.</w:t>
      </w:r>
    </w:p>
    <w:p>
      <w:pPr>
        <w:spacing w:after="0" w:line="216" w:lineRule="exact"/>
        <w:rPr>
          <w:sz w:val="20"/>
          <w:szCs w:val="20"/>
          <w:color w:val="auto"/>
        </w:rPr>
      </w:pPr>
    </w:p>
    <w:p>
      <w:pPr>
        <w:ind w:left="180" w:right="40" w:hanging="172"/>
        <w:spacing w:after="0" w:line="233" w:lineRule="auto"/>
        <w:tabs>
          <w:tab w:leader="none" w:pos="20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During the second quarter of 2018, we recognized a nonrecurring charge of $20.8 million for an adjustment made to the charge taken in 2017 related to the enactment of U.S. tax reform. We believe it is useful to readers of our consolidated statements of income to adjust for this nonrecurring charge in arriving at net income attributable to T. Rowe Price Group and diluted earnings per share.</w:t>
      </w:r>
    </w:p>
    <w:p>
      <w:pPr>
        <w:spacing w:after="0" w:line="216" w:lineRule="exact"/>
        <w:rPr>
          <w:rFonts w:ascii="Arial" w:cs="Arial" w:eastAsia="Arial" w:hAnsi="Arial"/>
          <w:sz w:val="22"/>
          <w:szCs w:val="22"/>
          <w:color w:val="auto"/>
          <w:vertAlign w:val="superscript"/>
        </w:rPr>
      </w:pPr>
    </w:p>
    <w:p>
      <w:pPr>
        <w:ind w:left="180" w:right="320" w:hanging="172"/>
        <w:spacing w:after="0" w:line="254" w:lineRule="auto"/>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During the second quarter of 2018, we recognized a nonrecurring charge of $7.9 million for the remeasurement of our deferred tax assets and liabilities to reflect the effect of Maryland state tax legislation enacted on April 24, 2018. We believe it is useful to readers of our consolidated statements of income to adjust for this nonrecurring charge in arriving at net income attributable to T. Rowe Price Group and diluted earnings per share.</w:t>
      </w:r>
    </w:p>
    <w:p>
      <w:pPr>
        <w:spacing w:after="0" w:line="204" w:lineRule="exact"/>
        <w:rPr>
          <w:rFonts w:ascii="Arial" w:cs="Arial" w:eastAsia="Arial" w:hAnsi="Arial"/>
          <w:sz w:val="21"/>
          <w:szCs w:val="21"/>
          <w:color w:val="auto"/>
          <w:vertAlign w:val="superscript"/>
        </w:rPr>
      </w:pPr>
    </w:p>
    <w:p>
      <w:pPr>
        <w:ind w:left="180" w:right="600" w:hanging="172"/>
        <w:spacing w:after="0" w:line="237" w:lineRule="auto"/>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investments in T. Rowe Price products, as follows:</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8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12/31/2017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6/30/2018</w:t>
            </w:r>
          </w:p>
        </w:tc>
      </w:tr>
      <w:tr>
        <w:trPr>
          <w:trHeight w:val="249"/>
        </w:trPr>
        <w:tc>
          <w:tcPr>
            <w:tcW w:w="8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1,484.4</w:t>
            </w:r>
          </w:p>
        </w:tc>
      </w:t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Discretionary investments</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1,709.1</w:t>
            </w:r>
          </w:p>
        </w:tc>
      </w:tr>
      <w:tr>
        <w:trPr>
          <w:trHeight w:val="250"/>
        </w:trPr>
        <w:tc>
          <w:tcPr>
            <w:tcW w:w="8540" w:type="dxa"/>
            <w:vAlign w:val="bottom"/>
          </w:tcPr>
          <w:p>
            <w:pPr>
              <w:ind w:left="20"/>
              <w:spacing w:after="0"/>
              <w:rPr>
                <w:sz w:val="20"/>
                <w:szCs w:val="20"/>
                <w:color w:val="auto"/>
              </w:rPr>
            </w:pPr>
            <w:r>
              <w:rPr>
                <w:rFonts w:ascii="Arial" w:cs="Arial" w:eastAsia="Arial" w:hAnsi="Arial"/>
                <w:sz w:val="18"/>
                <w:szCs w:val="18"/>
                <w:color w:val="auto"/>
              </w:rPr>
              <w:t>Total cash and discretionary investments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2,683.0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3,193.5</w:t>
            </w:r>
          </w:p>
        </w:tc>
      </w:tr>
      <w:tr>
        <w:trPr>
          <w:trHeight w:val="277"/>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seed capital investments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1,201.1</w:t>
            </w:r>
          </w:p>
        </w:tc>
      </w:tr>
      <w:tr>
        <w:trPr>
          <w:trHeight w:val="26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288.3</w:t>
            </w:r>
          </w:p>
        </w:tc>
      </w:tr>
      <w:tr>
        <w:trPr>
          <w:trHeight w:val="257"/>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4,682.9</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During the first half of 2018, we rebalanced our cash and discretionary investments portfolio resulting in the reallocation of some cash invested in T. Rowe Price money market funds to certain T. Rowe Price short-term fixed income funds. On July 9, 2018, we signed a letter of intent to sell our 10% holding in Daiwa SB Investments Ltd, which has a carrying value of $0 at June 30, 2018. We expect the sale to close in the third-quarter of 2018 and will recognize the realized gain as part of non-operating income. Like other similar investment gains, this gain will be backed out in our non-GAAP measures.</w:t>
      </w:r>
    </w:p>
    <w:p>
      <w:pPr>
        <w:spacing w:after="0" w:line="206"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The cash and discretionary investments in T. Rowe Price products held by our subsidiaries outside the U.S. were $424.5 million at December 31, 2017 and $406.3 million at June 30, 2018.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734" w:right="239" w:bottom="1440" w:gutter="0" w:footer="0" w:header="0"/>
        </w:sectPr>
      </w:pPr>
    </w:p>
    <w:bookmarkStart w:id="39" w:name="page40"/>
    <w:bookmarkEnd w:id="39"/>
    <w:p>
      <w:pPr>
        <w:ind w:right="300"/>
        <w:spacing w:after="0" w:line="254" w:lineRule="auto"/>
        <w:rPr>
          <w:sz w:val="20"/>
          <w:szCs w:val="20"/>
          <w:color w:val="auto"/>
        </w:rPr>
      </w:pPr>
      <w:r>
        <w:rPr>
          <w:rFonts w:ascii="Arial" w:cs="Arial" w:eastAsia="Arial" w:hAnsi="Arial"/>
          <w:sz w:val="18"/>
          <w:szCs w:val="18"/>
          <w:color w:val="auto"/>
        </w:rPr>
        <w:t>We increased our quarterly recurring dividend per share in March 2018 by 22.8% to $.70 per share. In the first half of 2018, we expended $450.3 million to repurchase 4.2 million shares, or 1.7%, of our outstanding common stock at an average price of $ 106.48 per share. These dividends and repurchases were expended using existing cash balances and cash generated from operations. We will generally repurchase our common stock over time to offset the dilution created by our equity-based compensation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Since the end of 2015, we have returned $3.0 billion to stockholders through stock repurchases and our regular quarterly dividends,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Total cash</w:t>
            </w:r>
          </w:p>
        </w:tc>
      </w:tr>
      <w:tr>
        <w:trPr>
          <w:trHeight w:val="162"/>
        </w:trPr>
        <w:tc>
          <w:tcPr>
            <w:tcW w:w="7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rPr>
              <w:t>returned to</w:t>
            </w:r>
          </w:p>
        </w:tc>
      </w:tr>
      <w:tr>
        <w:trPr>
          <w:trHeight w:val="19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4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Recurring dividend</w:t>
            </w: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 repurchases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98"/>
              <w:spacing w:after="0"/>
              <w:rPr>
                <w:sz w:val="20"/>
                <w:szCs w:val="20"/>
                <w:color w:val="auto"/>
              </w:rPr>
            </w:pPr>
            <w:r>
              <w:rPr>
                <w:rFonts w:ascii="Arial" w:cs="Arial" w:eastAsia="Arial" w:hAnsi="Arial"/>
                <w:sz w:val="14"/>
                <w:szCs w:val="14"/>
                <w:b w:val="1"/>
                <w:bCs w:val="1"/>
                <w:color w:val="auto"/>
              </w:rPr>
              <w:t>stockholders</w:t>
            </w:r>
          </w:p>
        </w:tc>
      </w:tr>
      <w:tr>
        <w:trPr>
          <w:trHeight w:val="249"/>
        </w:trPr>
        <w:tc>
          <w:tcPr>
            <w:tcW w:w="7080" w:type="dxa"/>
            <w:vAlign w:val="bottom"/>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21"/>
                <w:szCs w:val="21"/>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1,218.1</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1,020.7</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Six months ended 6/30/2018</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799.1</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1,452.6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3,037.9</w:t>
            </w:r>
          </w:p>
        </w:tc>
      </w:tr>
      <w:tr>
        <w:trPr>
          <w:trHeight w:val="20"/>
        </w:trPr>
        <w:tc>
          <w:tcPr>
            <w:tcW w:w="7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cash and investment presentation on the condensed consolidated balance sheet is based on how we account for the cash or investment. The following table details how T. Rowe Price Group’s interests in cash and investments relate to where they are presented in the condensed consolidated balance sheet as of June 30, 2018.</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5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consolidated 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Rowe Price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products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6/30/2018</w:t>
            </w:r>
          </w:p>
        </w:tc>
        <w:tc>
          <w:tcPr>
            <w:tcW w:w="0" w:type="dxa"/>
            <w:vAlign w:val="bottom"/>
          </w:tcPr>
          <w:p>
            <w:pPr>
              <w:spacing w:after="0"/>
              <w:rPr>
                <w:sz w:val="1"/>
                <w:szCs w:val="1"/>
                <w:color w:val="auto"/>
              </w:rPr>
            </w:pP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1,484.4</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1,675.1</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3,193.5</w:t>
            </w:r>
          </w:p>
        </w:tc>
        <w:tc>
          <w:tcPr>
            <w:tcW w:w="0" w:type="dxa"/>
            <w:vAlign w:val="bottom"/>
          </w:tcPr>
          <w:p>
            <w:pPr>
              <w:spacing w:after="0"/>
              <w:rPr>
                <w:sz w:val="1"/>
                <w:szCs w:val="1"/>
                <w:color w:val="auto"/>
              </w:rPr>
            </w:pPr>
          </w:p>
        </w:tc>
      </w:tr>
      <w:tr>
        <w:trPr>
          <w:trHeight w:val="27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2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969.2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1,201.1</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Investment products used to hedge supplemental savings plan</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 attributable</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T. Rowe Price Group</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1,484.4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2,195.3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4,682.9</w:t>
            </w:r>
          </w:p>
        </w:tc>
        <w:tc>
          <w:tcPr>
            <w:tcW w:w="0" w:type="dxa"/>
            <w:vAlign w:val="bottom"/>
          </w:tcPr>
          <w:p>
            <w:pPr>
              <w:spacing w:after="0"/>
              <w:rPr>
                <w:sz w:val="1"/>
                <w:szCs w:val="1"/>
                <w:color w:val="auto"/>
              </w:rPr>
            </w:pPr>
          </w:p>
        </w:tc>
      </w:tr>
      <w:tr>
        <w:trPr>
          <w:trHeight w:val="264"/>
        </w:trPr>
        <w:tc>
          <w:tcPr>
            <w:tcW w:w="5460" w:type="dxa"/>
            <w:vAlign w:val="bottom"/>
          </w:tcPr>
          <w:p>
            <w:pPr>
              <w:ind w:left="80"/>
              <w:spacing w:after="0"/>
              <w:rPr>
                <w:sz w:val="20"/>
                <w:szCs w:val="20"/>
                <w:color w:val="auto"/>
              </w:rPr>
            </w:pPr>
            <w:r>
              <w:rPr>
                <w:rFonts w:ascii="Arial" w:cs="Arial" w:eastAsia="Arial" w:hAnsi="Arial"/>
                <w:sz w:val="18"/>
                <w:szCs w:val="18"/>
                <w:color w:val="auto"/>
              </w:rPr>
              <w:t>Investment in UTI and other investments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70"/>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1,484.4</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2,459.5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1,003.2</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4,947.1</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739.2</w:t>
            </w:r>
          </w:p>
        </w:tc>
        <w:tc>
          <w:tcPr>
            <w:tcW w:w="0" w:type="dxa"/>
            <w:vAlign w:val="bottom"/>
          </w:tcPr>
          <w:p>
            <w:pPr>
              <w:spacing w:after="0"/>
              <w:rPr>
                <w:sz w:val="1"/>
                <w:szCs w:val="1"/>
                <w:color w:val="auto"/>
              </w:rPr>
            </w:pPr>
          </w:p>
        </w:tc>
      </w:tr>
      <w:tr>
        <w:trPr>
          <w:trHeight w:val="21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reported on condensed consolidated balance sheet at June 30,</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1,484.4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2,459.5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1,742.4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5,686.3</w:t>
            </w:r>
          </w:p>
        </w:tc>
        <w:tc>
          <w:tcPr>
            <w:tcW w:w="0" w:type="dxa"/>
            <w:vAlign w:val="bottom"/>
          </w:tcPr>
          <w:p>
            <w:pPr>
              <w:spacing w:after="0"/>
              <w:rPr>
                <w:sz w:val="1"/>
                <w:szCs w:val="1"/>
                <w:color w:val="auto"/>
              </w:rPr>
            </w:pPr>
          </w:p>
        </w:tc>
      </w:tr>
      <w:tr>
        <w:trPr>
          <w:trHeight w:val="21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condensed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products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06"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We anticipate property and equipment expenditures for the full-year 2018 to be about $189 million, of which about two-thirds is planned for technology initiatives. Given the availability of our financial resources, we expect to fund our anticipated capital expenditures with operating resources, and do not maintain an available external source of additional liquidity.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598" w:right="239" w:bottom="1440" w:gutter="0" w:footer="0" w:header="0"/>
        </w:sectPr>
      </w:pPr>
    </w:p>
    <w:bookmarkStart w:id="40" w:name="page41"/>
    <w:bookmarkEnd w:id="40"/>
    <w:p>
      <w:pPr>
        <w:ind w:right="80"/>
        <w:spacing w:after="0" w:line="262" w:lineRule="auto"/>
        <w:rPr>
          <w:sz w:val="20"/>
          <w:szCs w:val="20"/>
          <w:color w:val="auto"/>
        </w:rPr>
      </w:pPr>
      <w:r>
        <w:rPr>
          <w:rFonts w:ascii="Arial" w:cs="Arial" w:eastAsia="Arial" w:hAnsi="Arial"/>
          <w:sz w:val="18"/>
          <w:szCs w:val="18"/>
          <w:color w:val="auto"/>
        </w:rPr>
        <w:t>The following table summarizes the cash flows for the six months ended June 30, 2017 and 2018, that are attributable to T. Rowe Price Group, our consolidated T. Rowe Price investment products,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45"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26035</wp:posOffset>
            </wp:positionV>
            <wp:extent cx="48793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793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6/30/2017</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6/30/2018</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5"/>
        </w:trPr>
        <w:tc>
          <w:tcPr>
            <w:tcW w:w="3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62"/>
        </w:trPr>
        <w:tc>
          <w:tcPr>
            <w:tcW w:w="3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 Rowe Price</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attributable</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T. Rowe Price</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2"/>
        </w:trPr>
        <w:tc>
          <w:tcPr>
            <w:tcW w:w="374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As</w:t>
            </w: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 T. Rowe</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As</w:t>
            </w:r>
          </w:p>
        </w:tc>
      </w:tr>
      <w:tr>
        <w:trPr>
          <w:trHeight w:val="202"/>
        </w:trPr>
        <w:tc>
          <w:tcPr>
            <w:tcW w:w="3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reported</w:t>
            </w:r>
          </w:p>
        </w:tc>
        <w:tc>
          <w:tcPr>
            <w:tcW w:w="102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Price Group</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8"/>
              </w:rPr>
              <w:t>reported</w:t>
            </w: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7"/>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915.1</w:t>
            </w: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cash provided by (used in) operating</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5"/>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 property</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equipment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r>
      <w:tr>
        <w:trPr>
          <w:trHeight w:val="263"/>
        </w:trPr>
        <w:tc>
          <w:tcPr>
            <w:tcW w:w="37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90.8</w:t>
            </w:r>
          </w:p>
        </w:tc>
      </w:tr>
      <w:tr>
        <w:trPr>
          <w:trHeight w:val="235"/>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Realized gains on dispositions of</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03"/>
        </w:trPr>
        <w:tc>
          <w:tcPr>
            <w:tcW w:w="37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available-for-sale T. Rowe Price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investment products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3740" w:type="dxa"/>
            <w:vAlign w:val="bottom"/>
          </w:tcPr>
          <w:p>
            <w:pPr>
              <w:ind w:left="280"/>
              <w:spacing w:after="0"/>
              <w:rPr>
                <w:sz w:val="20"/>
                <w:szCs w:val="20"/>
                <w:color w:val="auto"/>
              </w:rPr>
            </w:pPr>
            <w:r>
              <w:rPr>
                <w:rFonts w:ascii="Arial" w:cs="Arial" w:eastAsia="Arial" w:hAnsi="Arial"/>
                <w:sz w:val="18"/>
                <w:szCs w:val="18"/>
                <w:color w:val="auto"/>
              </w:rPr>
              <w:t>Gains recognized upon transfer of an</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40" w:type="dxa"/>
            <w:vAlign w:val="bottom"/>
          </w:tcPr>
          <w:p>
            <w:pPr>
              <w:ind w:left="280"/>
              <w:spacing w:after="0" w:line="202" w:lineRule="exact"/>
              <w:rPr>
                <w:sz w:val="20"/>
                <w:szCs w:val="20"/>
                <w:color w:val="auto"/>
              </w:rPr>
            </w:pPr>
            <w:r>
              <w:rPr>
                <w:rFonts w:ascii="Arial" w:cs="Arial" w:eastAsia="Arial" w:hAnsi="Arial"/>
                <w:sz w:val="18"/>
                <w:szCs w:val="18"/>
                <w:color w:val="auto"/>
              </w:rPr>
              <w:t>investment in a T. Rowe Price mutual fund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40" w:type="dxa"/>
            <w:vAlign w:val="bottom"/>
          </w:tcPr>
          <w:p>
            <w:pPr>
              <w:ind w:left="280"/>
              <w:spacing w:after="0"/>
              <w:rPr>
                <w:sz w:val="20"/>
                <w:szCs w:val="20"/>
                <w:color w:val="auto"/>
              </w:rPr>
            </w:pPr>
            <w:r>
              <w:rPr>
                <w:rFonts w:ascii="Arial" w:cs="Arial" w:eastAsia="Arial" w:hAnsi="Arial"/>
                <w:sz w:val="18"/>
                <w:szCs w:val="18"/>
                <w:color w:val="auto"/>
              </w:rPr>
              <w:t>from available-for-sale to held as trading</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3740" w:type="dxa"/>
            <w:vAlign w:val="bottom"/>
          </w:tcPr>
          <w:p>
            <w:pPr>
              <w:ind w:left="280"/>
              <w:spacing w:after="0"/>
              <w:rPr>
                <w:sz w:val="20"/>
                <w:szCs w:val="20"/>
                <w:color w:val="auto"/>
              </w:rPr>
            </w:pPr>
            <w:r>
              <w:rPr>
                <w:rFonts w:ascii="Arial" w:cs="Arial" w:eastAsia="Arial" w:hAnsi="Arial"/>
                <w:sz w:val="18"/>
                <w:szCs w:val="18"/>
                <w:color w:val="auto"/>
              </w:rPr>
              <w:t>Net investments in T. Rowe Price</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40" w:type="dxa"/>
            <w:vAlign w:val="bottom"/>
          </w:tcPr>
          <w:p>
            <w:pPr>
              <w:ind w:left="280"/>
              <w:spacing w:after="0" w:line="202" w:lineRule="exact"/>
              <w:rPr>
                <w:sz w:val="20"/>
                <w:szCs w:val="20"/>
                <w:color w:val="auto"/>
              </w:rPr>
            </w:pPr>
            <w:r>
              <w:rPr>
                <w:rFonts w:ascii="Arial" w:cs="Arial" w:eastAsia="Arial" w:hAnsi="Arial"/>
                <w:sz w:val="18"/>
                <w:szCs w:val="18"/>
                <w:color w:val="auto"/>
              </w:rPr>
              <w:t>investment products to economically</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40" w:type="dxa"/>
            <w:vAlign w:val="bottom"/>
          </w:tcPr>
          <w:p>
            <w:pPr>
              <w:ind w:left="280"/>
              <w:spacing w:after="0"/>
              <w:rPr>
                <w:sz w:val="20"/>
                <w:szCs w:val="20"/>
                <w:color w:val="auto"/>
              </w:rPr>
            </w:pPr>
            <w:r>
              <w:rPr>
                <w:rFonts w:ascii="Arial" w:cs="Arial" w:eastAsia="Arial" w:hAnsi="Arial"/>
                <w:sz w:val="18"/>
                <w:szCs w:val="18"/>
                <w:color w:val="auto"/>
              </w:rPr>
              <w:t>hedge supplemental savings plan liability</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5"/>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03"/>
        </w:trPr>
        <w:tc>
          <w:tcPr>
            <w:tcW w:w="37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consolidated T. Rowe Price investment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64"/>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274.9</w:t>
            </w:r>
          </w:p>
        </w:tc>
      </w:tr>
      <w:tr>
        <w:trPr>
          <w:trHeight w:val="215"/>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929.3</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Net cash provided by (used in) investing</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(1,040.7)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640" w:type="dxa"/>
            <w:vAlign w:val="bottom"/>
            <w:gridSpan w:val="2"/>
          </w:tcPr>
          <w:p>
            <w:pPr>
              <w:jc w:val="right"/>
              <w:ind w:right="11"/>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(944.0)</w:t>
            </w:r>
          </w:p>
        </w:tc>
      </w:tr>
      <w:tr>
        <w:trPr>
          <w:trHeight w:val="235"/>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433.6</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3"/>
        </w:trPr>
        <w:tc>
          <w:tcPr>
            <w:tcW w:w="3740" w:type="dxa"/>
            <w:vAlign w:val="bottom"/>
          </w:tcPr>
          <w:p>
            <w:pPr>
              <w:ind w:left="40"/>
              <w:spacing w:after="0" w:line="202" w:lineRule="exact"/>
              <w:rPr>
                <w:sz w:val="20"/>
                <w:szCs w:val="20"/>
                <w:color w:val="auto"/>
              </w:rPr>
            </w:pPr>
            <w:r>
              <w:rPr>
                <w:rFonts w:ascii="Arial" w:cs="Arial" w:eastAsia="Arial" w:hAnsi="Arial"/>
                <w:sz w:val="18"/>
                <w:szCs w:val="18"/>
                <w:color w:val="auto"/>
              </w:rPr>
              <w:t>cash equivalents of consolidated T. Rowe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3740" w:type="dxa"/>
            <w:vAlign w:val="bottom"/>
          </w:tcPr>
          <w:p>
            <w:pPr>
              <w:ind w:left="40"/>
              <w:spacing w:after="0"/>
              <w:rPr>
                <w:sz w:val="20"/>
                <w:szCs w:val="20"/>
                <w:color w:val="auto"/>
              </w:rPr>
            </w:pPr>
            <w:r>
              <w:rPr>
                <w:rFonts w:ascii="Arial" w:cs="Arial" w:eastAsia="Arial" w:hAnsi="Arial"/>
                <w:sz w:val="18"/>
                <w:szCs w:val="18"/>
                <w:color w:val="auto"/>
              </w:rPr>
              <w:t>Price investment products</w:t>
            </w:r>
          </w:p>
        </w:tc>
        <w:tc>
          <w:tcPr>
            <w:tcW w:w="1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30"/>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year</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6"/>
              </w:rPr>
              <w:t>1,270.5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2,005.8</w:t>
            </w:r>
          </w:p>
        </w:tc>
      </w:tr>
      <w:tr>
        <w:trPr>
          <w:trHeight w:val="25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6"/>
              </w:rPr>
              <w:t>1,615.9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1,596.3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59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Operating activities attributable to T. Rowe Price Group during the first half of 2018 provided cash flows of $1,328.6 million, an increase of</w:t>
      </w:r>
    </w:p>
    <w:p>
      <w:pPr>
        <w:spacing w:after="0" w:line="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$452.5 million from the 2017 period, as higher net income, non-cash depreciation expense, and non-cash stock-based compensation expense recognized during the first half of 2018 added cash flows of $ 162.2 million. A decrease of $170.6 million in adjustments for investment gains, including $54.4 million of gains that were recognized in 2017 as part of establishing the economic hedge of the supplemental savings plan liability, also increased cash flows. We invested $129.0 million into certain investment products in 2017 to establish the hedge and invested an additional $13.7 million in 2018 in order to maintain it. Timing differences on the cash settlement of our assets and liabilities, including insurance receivables related to the Dell appraisal rights, increased cash flows by $4.4 million. Our interim operating cash flows do not include the cash impact of variable compensation that is accrued throughout the year before being substantially paid out in December. The remaining change in reported operating cash flows is attributable to the net change in trading securities held in our consolidated investment products’ underlying portfolios.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used in investing activities that are attributable to T. Rowe Price Group totaled $1,040.7 million in the first half of 2018, compared with $114.1 million of cash provided by investing activities in the 2017 period. During the first half of 2018, we rebalanced our cash and discretionary investments portfolio resulting in the reallocation of cash and cash equivalents of $945.0 million to certain T. Rowe Price fixed income funds.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Excluding these reallocations, we also sold other investments in T. Rowe Price products in 2017 receiving net proceeds of $271.3 million, compared with net proceeds of $94.1 million in 2018. A portion of the net proceeds received in 2017 were used to fund the newly established economic hedge of our supplemental savings liability mentioned above. Seed capital provided in the first half of 2018 increased by $49.0 million. Since we consolidate the seed capital in T. Rowe Price investment products, our seed capital was eliminated in preparing our consolidated condensed statement of cash flows. These investing cash flows were offset by a $4.0 million decrease in property and equipment expenditures and a $24.2 million decrease in net cash removed from our balance sheet from consolidating and deconsolidating investment products during the first half of 2018 compared with the 2017 period.</w:t>
      </w:r>
    </w:p>
    <w:p>
      <w:pPr>
        <w:spacing w:after="0" w:line="14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financing activities attributable to T. Rowe Price Group were $706.2 million in the first half of 2018 compared with $652.9 million in the 2017 period. The increase in cash used in financing activities includes a $68.3 million increase in dividends paid resulting from a nearly 23% increase in our quarterly dividend per share offset by a $3.4 million decrease in cash outflows for common stock repurchases. Additionally, the higher stock price in 2018 led to a larger number of stock option exercises resulting in an $18.4 million increase in related cash proceeds compared with the 2017 period. The remaining change in reported cash flows from financing activities is primarily attributable to a $399.7 million decrease in net subscriptions received from redeemable non-controlling interests holders of our consolidated investment products during the first half of 2018 compared to the 2017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condensed consolidated balance sheets, the revenues and expenses in our condensed consolidated statements of income, and the information that is contained in our significant accounting policies and notes to condensed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condensed consolidated financial statements, significant accounting policies, and notes.</w:t>
      </w:r>
    </w:p>
    <w:p>
      <w:pPr>
        <w:spacing w:after="0" w:line="207"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adopted Accounting Standards Update No. 2016-01 — Financial Instruments — Overall (Subtopic 825-10): Recognition and Measurement of Financial Assets and Financial Liabilities on January 1, 2018. The guidance eliminated the available-for-sale investment category for equity securities, which required unrealized holding gains to be recognized in accumulated other comprehensive income. As a result, our other-than-temporary impairment policy for available-for-sale investments is no longer considered a critical accounting policy as of January 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in the critical accounting policies previously identified in our 2017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59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NEW ACCOUNTING STANDARDS.</w:t>
      </w:r>
    </w:p>
    <w:p>
      <w:pPr>
        <w:spacing w:after="0" w:line="20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The Company and Basis of Preparation</w:t>
      </w:r>
      <w:r>
        <w:rPr>
          <w:rFonts w:ascii="Arial" w:cs="Arial" w:eastAsia="Arial" w:hAnsi="Arial"/>
          <w:sz w:val="18"/>
          <w:szCs w:val="18"/>
          <w:color w:val="auto"/>
        </w:rPr>
        <w:t xml:space="preserve"> note within </w:t>
      </w:r>
      <w:r>
        <w:rPr>
          <w:rFonts w:ascii="Arial" w:cs="Arial" w:eastAsia="Arial" w:hAnsi="Arial"/>
          <w:sz w:val="18"/>
          <w:szCs w:val="18"/>
          <w:i w:val="1"/>
          <w:iCs w:val="1"/>
          <w:color w:val="auto"/>
        </w:rPr>
        <w:t>Item 1. Financial Statements</w:t>
      </w:r>
      <w:r>
        <w:rPr>
          <w:rFonts w:ascii="Arial" w:cs="Arial" w:eastAsia="Arial" w:hAnsi="Arial"/>
          <w:sz w:val="18"/>
          <w:szCs w:val="18"/>
          <w:color w:val="auto"/>
        </w:rPr>
        <w:t xml:space="preserve"> for a discussion of newly issued but not yet adopted accounting guidance.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 including information or anticipated information relating to: our revenues, net income, and earnings per share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changes in the amount and composition of our assets under management; our expense levels; the impact of U.S. tax reform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enacted in December 2017, and tax changes in Maryland in 2018, including on our estimated effective income tax rate; and our expectations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regarding financial markets, future transactions, dividends, investments, capital expenditures, and other conditions. Readers are cautioned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any forward-looking information provided by or on behalf of T. Rowe Price is not a guarantee of future performance. Actual results may differ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those in forward-looking information because of various factors including, but not limited to, those discussed below and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Annual Report. Further, forward-looking statements speak only as of the date on which they are made,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we undertake no obligation to update any forward-looking statement to reflect events or circumstances after the date on which it is made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reflect the occurrence of unanticipated events.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U.S. mutual 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products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or, in the case of our equity method investments, our proportionate share of the investees' net income.</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our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00"/>
          </w:cols>
          <w:pgMar w:left="240" w:top="598"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investments in T. Rowe Price investment products expose us to market risk as they are measured at fair value each reporting period based the products’ net asset value per share. Investments in these products generally moderate market risk as they are diversified and invest in a number of different financial instruments. T. Rowe Price further manages its exposure to market risk by diversifying its investments among many domestic and international products as well as diversification among equity and fixed income portfolios. In addition, investment holdings may be altered from time to time in response to changes in market risks and other factors, as management deems appropriate.</w:t>
      </w:r>
    </w:p>
    <w:p>
      <w:pPr>
        <w:spacing w:after="0" w:line="20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order to quantify the sensitivity of our T. Rowe Price investment products to changes in market valuations, 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each reporting period is determined by using the lower of each product’s lowest net asset value per share during the period or its net asset value per share at the end of the reporting period,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market risk sensitivity analysis on our investments in T. Rowe Price investment products at June 30, 2018, indicates that the total potential loss in value on these investments is materially the same as what we reported in our Form 10-K Annual Report for 2017. However, the implementation of the new financial instrument guidance would result in the total potential loss in value to be recognized in our condensed consolidated statements of income rather than a portion being recognized within accumulated other comprehensive income in our condensed consolidated balance sheets as discussed in the Form 10-K. Other than these changes there has been no other material change in the information provided in Item 7A of the Form 10-K Annual Report for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2018. Based on that evaluation, our principal executive and principal financial officers have concluded that our disclosure controls and procedures as of June 30, 2018,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0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2018, and has concluded that there was no change during the second quarter of 2018 that has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576" w:right="239" w:bottom="1440" w:gutter="0" w:footer="0" w:header="0"/>
        </w:sectPr>
      </w:pPr>
    </w:p>
    <w:bookmarkStart w:id="44" w:name="page45"/>
    <w:bookmarkEnd w:id="44"/>
    <w:p>
      <w:pPr>
        <w:spacing w:after="0" w:line="251" w:lineRule="auto"/>
        <w:rPr>
          <w:sz w:val="20"/>
          <w:szCs w:val="20"/>
          <w:color w:val="auto"/>
        </w:rPr>
      </w:pPr>
      <w:r>
        <w:rPr>
          <w:rFonts w:ascii="Arial" w:cs="Arial" w:eastAsia="Arial" w:hAnsi="Arial"/>
          <w:sz w:val="18"/>
          <w:szCs w:val="18"/>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58"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Other than the update below, there have been no material changes in the information provided in Item 1A of our Form 10-K Annual Report for 2017.</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There has been substantial regulatory and legislative activity at federal and state levels regarding standards of care for financial services firms, related to both retirement and taxable accounts. This includes the U.S. Department of Labor’s (DOL) adoption of a fiduciary rule that was ultimately struck down by the Fifth Circuit Court of Appeals and the SEC’s proposal of a package of related rules and interpretations. The ultimate action taken by the DOL, SEC or other applicable regulatory or legislative body may impact our business activities and increase our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2018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3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Month</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2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r>
      <w:tr>
        <w:trPr>
          <w:trHeight w:val="249"/>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April</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1,338,212</w:t>
            </w:r>
          </w:p>
        </w:tc>
        <w:tc>
          <w:tcPr>
            <w:tcW w:w="12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105.83</w:t>
            </w:r>
          </w:p>
        </w:tc>
        <w:tc>
          <w:tcPr>
            <w:tcW w:w="12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1,295,239</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20,954,201</w:t>
            </w:r>
          </w:p>
        </w:tc>
      </w:tr>
      <w:tr>
        <w:trPr>
          <w:trHeight w:val="277"/>
        </w:trPr>
        <w:tc>
          <w:tcPr>
            <w:tcW w:w="3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May</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153,638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119.99</w:t>
            </w: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20,954,201</w:t>
            </w:r>
          </w:p>
        </w:tc>
      </w:tr>
      <w:tr>
        <w:trPr>
          <w:trHeight w:val="264"/>
        </w:trPr>
        <w:tc>
          <w:tcPr>
            <w:tcW w:w="36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rPr>
              <w:t>June</w:t>
            </w:r>
          </w:p>
        </w:tc>
        <w:tc>
          <w:tcPr>
            <w:tcW w:w="18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81,435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124.89</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20,954,201</w:t>
            </w:r>
          </w:p>
        </w:tc>
      </w:tr>
      <w:tr>
        <w:trPr>
          <w:trHeight w:val="257"/>
        </w:trPr>
        <w:tc>
          <w:tcPr>
            <w:tcW w:w="3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1,573,285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108.20</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1,295,239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second quarter of 2018, 277,423 were related to shares surrendered in connection with employee stock option exercises and 623 were related to shares withheld to cover tax withholdings associated with the vesting of restricted stock awards.</w:t>
      </w:r>
    </w:p>
    <w:p>
      <w:pPr>
        <w:spacing w:after="0" w:line="206"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1,295,239 shares of our common stock were repurchased pursuant to the Board of Directors’ December 10, 2015, publicly announced authorization. The maximum number of shares that may yet be purchased as of June 30, 2018, under the Board of Directors’ December 10, 2015, December 6, 2016, and April 26, 2018, publicly announced authorizations is 20,954,201.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598" w:right="239" w:bottom="1440" w:gutter="0" w:footer="0" w:header="0"/>
        </w:sectPr>
      </w:pPr>
    </w:p>
    <w:bookmarkStart w:id="45" w:name="page46"/>
    <w:bookmarkEnd w:id="45"/>
    <w:p>
      <w:pPr>
        <w:spacing w:after="0"/>
        <w:tabs>
          <w:tab w:leader="none" w:pos="1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25, 2018, we issued an earnings release reporting our results of operations for the second quarter of 2018 and first six months of 2018.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9"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 including our monthly disclosure of preliminary assets under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160" w:type="dxa"/>
            <w:vAlign w:val="bottom"/>
          </w:tcPr>
          <w:p>
            <w:pPr>
              <w:spacing w:after="0"/>
              <w:rPr>
                <w:sz w:val="20"/>
                <w:szCs w:val="20"/>
                <w:color w:val="auto"/>
              </w:rPr>
            </w:pPr>
            <w:r>
              <w:rPr>
                <w:rFonts w:ascii="Arial" w:cs="Arial" w:eastAsia="Arial" w:hAnsi="Arial"/>
                <w:sz w:val="18"/>
                <w:szCs w:val="18"/>
                <w:color w:val="auto"/>
              </w:rPr>
              <w:t>3(i)</w:t>
            </w:r>
          </w:p>
        </w:tc>
        <w:tc>
          <w:tcPr>
            <w:tcW w:w="10180" w:type="dxa"/>
            <w:vAlign w:val="bottom"/>
          </w:tcPr>
          <w:p>
            <w:pPr>
              <w:ind w:left="560"/>
              <w:spacing w:after="0"/>
              <w:rPr>
                <w:rFonts w:ascii="Arial" w:cs="Arial" w:eastAsia="Arial" w:hAnsi="Arial"/>
                <w:sz w:val="18"/>
                <w:szCs w:val="18"/>
                <w:color w:val="auto"/>
              </w:rPr>
            </w:pPr>
            <w:hyperlink w:anchor="page49">
              <w:r>
                <w:rPr>
                  <w:rFonts w:ascii="Arial" w:cs="Arial" w:eastAsia="Arial" w:hAnsi="Arial"/>
                  <w:sz w:val="18"/>
                  <w:szCs w:val="18"/>
                  <w:color w:val="auto"/>
                </w:rPr>
                <w:t>Charter of T. Rowe Price Group, Inc., as reflected by Articles of Restatement dated June 20, 2018.</w:t>
              </w:r>
            </w:hyperlink>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3(ii)</w:t>
            </w:r>
          </w:p>
        </w:tc>
        <w:tc>
          <w:tcPr>
            <w:tcW w:w="10180" w:type="dxa"/>
            <w:vAlign w:val="bottom"/>
          </w:tcPr>
          <w:p>
            <w:pPr>
              <w:ind w:left="560"/>
              <w:spacing w:after="0"/>
              <w:rPr>
                <w:rFonts w:ascii="Arial" w:cs="Arial" w:eastAsia="Arial" w:hAnsi="Arial"/>
                <w:sz w:val="18"/>
                <w:szCs w:val="18"/>
                <w:color w:val="auto"/>
                <w:w w:val="99"/>
              </w:rPr>
            </w:pPr>
            <w:hyperlink r:id="rId51">
              <w:r>
                <w:rPr>
                  <w:rFonts w:ascii="Arial" w:cs="Arial" w:eastAsia="Arial" w:hAnsi="Arial"/>
                  <w:sz w:val="18"/>
                  <w:szCs w:val="18"/>
                  <w:color w:val="auto"/>
                  <w:w w:val="99"/>
                </w:rPr>
                <w:t>Amended and Restated By-Laws of T. Rowe Price Group, Inc. as of December 10, 2015. (Incorporated by reference from</w:t>
              </w:r>
            </w:hyperlink>
          </w:p>
        </w:tc>
      </w:tr>
      <w:tr>
        <w:trPr>
          <w:trHeight w:val="217"/>
        </w:trPr>
        <w:tc>
          <w:tcPr>
            <w:tcW w:w="1160" w:type="dxa"/>
            <w:vAlign w:val="bottom"/>
          </w:tcPr>
          <w:p>
            <w:pPr>
              <w:spacing w:after="0"/>
              <w:rPr>
                <w:sz w:val="18"/>
                <w:szCs w:val="18"/>
                <w:color w:val="auto"/>
              </w:rPr>
            </w:pPr>
          </w:p>
        </w:tc>
        <w:tc>
          <w:tcPr>
            <w:tcW w:w="10180" w:type="dxa"/>
            <w:vAlign w:val="bottom"/>
          </w:tcPr>
          <w:p>
            <w:pPr>
              <w:ind w:left="560"/>
              <w:spacing w:after="0"/>
              <w:rPr>
                <w:rFonts w:ascii="Arial" w:cs="Arial" w:eastAsia="Arial" w:hAnsi="Arial"/>
                <w:sz w:val="18"/>
                <w:szCs w:val="18"/>
                <w:color w:val="auto"/>
              </w:rPr>
            </w:pPr>
            <w:hyperlink r:id="rId51">
              <w:r>
                <w:rPr>
                  <w:rFonts w:ascii="Arial" w:cs="Arial" w:eastAsia="Arial" w:hAnsi="Arial"/>
                  <w:sz w:val="18"/>
                  <w:szCs w:val="18"/>
                  <w:color w:val="auto"/>
                </w:rPr>
                <w:t>Form 8-K Current Report filed on December 10, 2015.)</w:t>
              </w:r>
            </w:hyperlink>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10.03</w:t>
            </w:r>
          </w:p>
        </w:tc>
        <w:tc>
          <w:tcPr>
            <w:tcW w:w="10180" w:type="dxa"/>
            <w:vAlign w:val="bottom"/>
          </w:tcPr>
          <w:p>
            <w:pPr>
              <w:ind w:left="560"/>
              <w:spacing w:after="0"/>
              <w:rPr>
                <w:rFonts w:ascii="Arial" w:cs="Arial" w:eastAsia="Arial" w:hAnsi="Arial"/>
                <w:sz w:val="18"/>
                <w:szCs w:val="18"/>
                <w:color w:val="auto"/>
              </w:rPr>
            </w:pPr>
            <w:hyperlink r:id="rId52">
              <w:r>
                <w:rPr>
                  <w:rFonts w:ascii="Arial" w:cs="Arial" w:eastAsia="Arial" w:hAnsi="Arial"/>
                  <w:sz w:val="18"/>
                  <w:szCs w:val="18"/>
                  <w:color w:val="auto"/>
                </w:rPr>
                <w:t>Transfer Agency and Service Agreement as of January 1, 2018, between T. Rowe Price Services, Inc. and the T. Rowe</w:t>
              </w:r>
            </w:hyperlink>
          </w:p>
        </w:tc>
      </w:tr>
      <w:tr>
        <w:trPr>
          <w:trHeight w:val="217"/>
        </w:trPr>
        <w:tc>
          <w:tcPr>
            <w:tcW w:w="1160" w:type="dxa"/>
            <w:vAlign w:val="bottom"/>
          </w:tcPr>
          <w:p>
            <w:pPr>
              <w:spacing w:after="0"/>
              <w:rPr>
                <w:sz w:val="18"/>
                <w:szCs w:val="18"/>
                <w:color w:val="auto"/>
              </w:rPr>
            </w:pPr>
          </w:p>
        </w:tc>
        <w:tc>
          <w:tcPr>
            <w:tcW w:w="10180" w:type="dxa"/>
            <w:vAlign w:val="bottom"/>
          </w:tcPr>
          <w:p>
            <w:pPr>
              <w:ind w:left="560"/>
              <w:spacing w:after="0"/>
              <w:rPr>
                <w:rFonts w:ascii="Arial" w:cs="Arial" w:eastAsia="Arial" w:hAnsi="Arial"/>
                <w:sz w:val="18"/>
                <w:szCs w:val="18"/>
                <w:color w:val="auto"/>
              </w:rPr>
            </w:pPr>
            <w:hyperlink r:id="rId52">
              <w:r>
                <w:rPr>
                  <w:rFonts w:ascii="Arial" w:cs="Arial" w:eastAsia="Arial" w:hAnsi="Arial"/>
                  <w:sz w:val="18"/>
                  <w:szCs w:val="18"/>
                  <w:color w:val="auto"/>
                </w:rPr>
                <w:t>Price Funds. (Incorporated by reference from Form 485BPOS filed on April 26, 2018.)</w:t>
              </w:r>
            </w:hyperlink>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10.04</w:t>
            </w:r>
          </w:p>
        </w:tc>
        <w:tc>
          <w:tcPr>
            <w:tcW w:w="10180" w:type="dxa"/>
            <w:vAlign w:val="bottom"/>
          </w:tcPr>
          <w:p>
            <w:pPr>
              <w:ind w:left="560"/>
              <w:spacing w:after="0"/>
              <w:rPr>
                <w:rFonts w:ascii="Arial" w:cs="Arial" w:eastAsia="Arial" w:hAnsi="Arial"/>
                <w:sz w:val="18"/>
                <w:szCs w:val="18"/>
                <w:color w:val="auto"/>
              </w:rPr>
            </w:pPr>
            <w:hyperlink r:id="rId53">
              <w:r>
                <w:rPr>
                  <w:rFonts w:ascii="Arial" w:cs="Arial" w:eastAsia="Arial" w:hAnsi="Arial"/>
                  <w:sz w:val="18"/>
                  <w:szCs w:val="18"/>
                  <w:color w:val="auto"/>
                </w:rPr>
                <w:t>Agreement as of January 1, 2018, between T. Rowe Price Retirement Plan Services, Inc. and certain of the T. Rowe</w:t>
              </w:r>
            </w:hyperlink>
          </w:p>
        </w:tc>
      </w:tr>
      <w:tr>
        <w:trPr>
          <w:trHeight w:val="217"/>
        </w:trPr>
        <w:tc>
          <w:tcPr>
            <w:tcW w:w="1160" w:type="dxa"/>
            <w:vAlign w:val="bottom"/>
          </w:tcPr>
          <w:p>
            <w:pPr>
              <w:spacing w:after="0"/>
              <w:rPr>
                <w:sz w:val="18"/>
                <w:szCs w:val="18"/>
                <w:color w:val="auto"/>
              </w:rPr>
            </w:pPr>
          </w:p>
        </w:tc>
        <w:tc>
          <w:tcPr>
            <w:tcW w:w="10180" w:type="dxa"/>
            <w:vAlign w:val="bottom"/>
          </w:tcPr>
          <w:p>
            <w:pPr>
              <w:ind w:left="560"/>
              <w:spacing w:after="0"/>
              <w:rPr>
                <w:rFonts w:ascii="Arial" w:cs="Arial" w:eastAsia="Arial" w:hAnsi="Arial"/>
                <w:sz w:val="18"/>
                <w:szCs w:val="18"/>
                <w:color w:val="auto"/>
              </w:rPr>
            </w:pPr>
            <w:hyperlink r:id="rId53">
              <w:r>
                <w:rPr>
                  <w:rFonts w:ascii="Arial" w:cs="Arial" w:eastAsia="Arial" w:hAnsi="Arial"/>
                  <w:sz w:val="18"/>
                  <w:szCs w:val="18"/>
                  <w:color w:val="auto"/>
                </w:rPr>
                <w:t>Price Funds. (Incorporated by reference from Form 485BPOS filed on April 26, 2018.)</w:t>
              </w:r>
            </w:hyperlink>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10.05</w:t>
            </w:r>
          </w:p>
        </w:tc>
        <w:tc>
          <w:tcPr>
            <w:tcW w:w="10180" w:type="dxa"/>
            <w:vAlign w:val="bottom"/>
          </w:tcPr>
          <w:p>
            <w:pPr>
              <w:ind w:left="560"/>
              <w:spacing w:after="0"/>
              <w:rPr>
                <w:rFonts w:ascii="Arial" w:cs="Arial" w:eastAsia="Arial" w:hAnsi="Arial"/>
                <w:sz w:val="18"/>
                <w:szCs w:val="18"/>
                <w:color w:val="auto"/>
              </w:rPr>
            </w:pPr>
            <w:hyperlink r:id="rId54">
              <w:r>
                <w:rPr>
                  <w:rFonts w:ascii="Arial" w:cs="Arial" w:eastAsia="Arial" w:hAnsi="Arial"/>
                  <w:sz w:val="18"/>
                  <w:szCs w:val="18"/>
                  <w:color w:val="auto"/>
                </w:rPr>
                <w:t>Fund Accounting Services Agreement as of August 1, 2015 between T. Rowe Price Associates, Inc. and the T. Rowe</w:t>
              </w:r>
            </w:hyperlink>
          </w:p>
        </w:tc>
      </w:tr>
      <w:tr>
        <w:trPr>
          <w:trHeight w:val="217"/>
        </w:trPr>
        <w:tc>
          <w:tcPr>
            <w:tcW w:w="1160" w:type="dxa"/>
            <w:vAlign w:val="bottom"/>
          </w:tcPr>
          <w:p>
            <w:pPr>
              <w:spacing w:after="0"/>
              <w:rPr>
                <w:sz w:val="18"/>
                <w:szCs w:val="18"/>
                <w:color w:val="auto"/>
              </w:rPr>
            </w:pPr>
          </w:p>
        </w:tc>
        <w:tc>
          <w:tcPr>
            <w:tcW w:w="10180" w:type="dxa"/>
            <w:vAlign w:val="bottom"/>
          </w:tcPr>
          <w:p>
            <w:pPr>
              <w:ind w:left="560"/>
              <w:spacing w:after="0"/>
              <w:rPr>
                <w:rFonts w:ascii="Arial" w:cs="Arial" w:eastAsia="Arial" w:hAnsi="Arial"/>
                <w:sz w:val="18"/>
                <w:szCs w:val="18"/>
                <w:color w:val="auto"/>
              </w:rPr>
            </w:pPr>
            <w:hyperlink r:id="rId54">
              <w:r>
                <w:rPr>
                  <w:rFonts w:ascii="Arial" w:cs="Arial" w:eastAsia="Arial" w:hAnsi="Arial"/>
                  <w:sz w:val="18"/>
                  <w:szCs w:val="18"/>
                  <w:color w:val="auto"/>
                </w:rPr>
                <w:t>Price Funds. (Incorporated by reference from Form 485BPOS filed on April 26, 2018.)</w:t>
              </w:r>
            </w:hyperlink>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10.16.1</w:t>
            </w:r>
          </w:p>
        </w:tc>
        <w:tc>
          <w:tcPr>
            <w:tcW w:w="10180" w:type="dxa"/>
            <w:vAlign w:val="bottom"/>
          </w:tcPr>
          <w:p>
            <w:pPr>
              <w:ind w:left="560"/>
              <w:spacing w:after="0"/>
              <w:rPr>
                <w:rFonts w:ascii="Arial" w:cs="Arial" w:eastAsia="Arial" w:hAnsi="Arial"/>
                <w:sz w:val="18"/>
                <w:szCs w:val="18"/>
                <w:color w:val="auto"/>
              </w:rPr>
            </w:pPr>
            <w:hyperlink r:id="rId55">
              <w:r>
                <w:rPr>
                  <w:rFonts w:ascii="Arial" w:cs="Arial" w:eastAsia="Arial" w:hAnsi="Arial"/>
                  <w:sz w:val="18"/>
                  <w:szCs w:val="18"/>
                  <w:color w:val="auto"/>
                </w:rPr>
                <w:t>T. Rowe Price Group, Inc. 2018 Annual Incentive Compensation Pool for Executive Officers. (Incorporated by reference</w:t>
              </w:r>
            </w:hyperlink>
          </w:p>
        </w:tc>
      </w:tr>
      <w:tr>
        <w:trPr>
          <w:trHeight w:val="217"/>
        </w:trPr>
        <w:tc>
          <w:tcPr>
            <w:tcW w:w="1160" w:type="dxa"/>
            <w:vAlign w:val="bottom"/>
          </w:tcPr>
          <w:p>
            <w:pPr>
              <w:spacing w:after="0"/>
              <w:rPr>
                <w:sz w:val="18"/>
                <w:szCs w:val="18"/>
                <w:color w:val="auto"/>
              </w:rPr>
            </w:pPr>
          </w:p>
        </w:tc>
        <w:tc>
          <w:tcPr>
            <w:tcW w:w="10180" w:type="dxa"/>
            <w:vAlign w:val="bottom"/>
          </w:tcPr>
          <w:p>
            <w:pPr>
              <w:ind w:left="560"/>
              <w:spacing w:after="0"/>
              <w:rPr>
                <w:rFonts w:ascii="Arial" w:cs="Arial" w:eastAsia="Arial" w:hAnsi="Arial"/>
                <w:sz w:val="18"/>
                <w:szCs w:val="18"/>
                <w:color w:val="auto"/>
              </w:rPr>
            </w:pPr>
            <w:hyperlink r:id="rId55">
              <w:r>
                <w:rPr>
                  <w:rFonts w:ascii="Arial" w:cs="Arial" w:eastAsia="Arial" w:hAnsi="Arial"/>
                  <w:sz w:val="18"/>
                  <w:szCs w:val="18"/>
                  <w:color w:val="auto"/>
                </w:rPr>
                <w:t>from Form 8-K Current Report filed on February 16, 2018).</w:t>
              </w:r>
            </w:hyperlink>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15</w:t>
            </w:r>
          </w:p>
        </w:tc>
        <w:tc>
          <w:tcPr>
            <w:tcW w:w="10180" w:type="dxa"/>
            <w:vAlign w:val="bottom"/>
          </w:tcPr>
          <w:p>
            <w:pPr>
              <w:ind w:left="560"/>
              <w:spacing w:after="0"/>
              <w:rPr>
                <w:rFonts w:ascii="Arial" w:cs="Arial" w:eastAsia="Arial" w:hAnsi="Arial"/>
                <w:sz w:val="18"/>
                <w:szCs w:val="18"/>
                <w:color w:val="auto"/>
              </w:rPr>
            </w:pPr>
            <w:hyperlink w:anchor="page59">
              <w:r>
                <w:rPr>
                  <w:rFonts w:ascii="Arial" w:cs="Arial" w:eastAsia="Arial" w:hAnsi="Arial"/>
                  <w:sz w:val="18"/>
                  <w:szCs w:val="18"/>
                  <w:color w:val="auto"/>
                </w:rPr>
                <w:t>Letter from KPMG LLP, independent registered public accounting firm, re unaudited interim financial information.</w:t>
              </w:r>
            </w:hyperlink>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31(i).1</w:t>
            </w:r>
          </w:p>
        </w:tc>
        <w:tc>
          <w:tcPr>
            <w:tcW w:w="10180" w:type="dxa"/>
            <w:vAlign w:val="bottom"/>
          </w:tcPr>
          <w:p>
            <w:pPr>
              <w:ind w:left="560"/>
              <w:spacing w:after="0"/>
              <w:rPr>
                <w:rFonts w:ascii="Arial" w:cs="Arial" w:eastAsia="Arial" w:hAnsi="Arial"/>
                <w:sz w:val="18"/>
                <w:szCs w:val="18"/>
                <w:color w:val="auto"/>
              </w:rPr>
            </w:pPr>
            <w:hyperlink w:anchor="page60">
              <w:r>
                <w:rPr>
                  <w:rFonts w:ascii="Arial" w:cs="Arial" w:eastAsia="Arial" w:hAnsi="Arial"/>
                  <w:sz w:val="18"/>
                  <w:szCs w:val="18"/>
                  <w:color w:val="auto"/>
                </w:rPr>
                <w:t>Rule 13a-14(a) Certification of Principal Executive Officer.</w:t>
              </w:r>
            </w:hyperlink>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31(i).2</w:t>
            </w:r>
          </w:p>
        </w:tc>
        <w:tc>
          <w:tcPr>
            <w:tcW w:w="10180" w:type="dxa"/>
            <w:vAlign w:val="bottom"/>
          </w:tcPr>
          <w:p>
            <w:pPr>
              <w:ind w:left="560"/>
              <w:spacing w:after="0"/>
              <w:rPr>
                <w:rFonts w:ascii="Arial" w:cs="Arial" w:eastAsia="Arial" w:hAnsi="Arial"/>
                <w:sz w:val="18"/>
                <w:szCs w:val="18"/>
                <w:color w:val="auto"/>
              </w:rPr>
            </w:pPr>
            <w:hyperlink w:anchor="page61">
              <w:r>
                <w:rPr>
                  <w:rFonts w:ascii="Arial" w:cs="Arial" w:eastAsia="Arial" w:hAnsi="Arial"/>
                  <w:sz w:val="18"/>
                  <w:szCs w:val="18"/>
                  <w:color w:val="auto"/>
                </w:rPr>
                <w:t>Rule 13a-14(a) Certification of Principal Financial Officer.</w:t>
              </w:r>
            </w:hyperlink>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560"/>
              <w:spacing w:after="0"/>
              <w:rPr>
                <w:rFonts w:ascii="Arial" w:cs="Arial" w:eastAsia="Arial" w:hAnsi="Arial"/>
                <w:sz w:val="18"/>
                <w:szCs w:val="18"/>
                <w:color w:val="auto"/>
              </w:rPr>
            </w:pPr>
            <w:hyperlink w:anchor="page62">
              <w:r>
                <w:rPr>
                  <w:rFonts w:ascii="Arial" w:cs="Arial" w:eastAsia="Arial" w:hAnsi="Arial"/>
                  <w:sz w:val="18"/>
                  <w:szCs w:val="18"/>
                  <w:color w:val="auto"/>
                </w:rPr>
                <w:t>Section 1350 Certifications.</w:t>
              </w:r>
            </w:hyperlink>
          </w:p>
        </w:tc>
      </w:tr>
      <w:tr>
        <w:trPr>
          <w:trHeight w:val="39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180" w:type="dxa"/>
            <w:vAlign w:val="bottom"/>
          </w:tcPr>
          <w:p>
            <w:pPr>
              <w:ind w:left="560"/>
              <w:spacing w:after="0"/>
              <w:rPr>
                <w:rFonts w:ascii="Arial" w:cs="Arial" w:eastAsia="Arial" w:hAnsi="Arial"/>
                <w:sz w:val="18"/>
                <w:szCs w:val="18"/>
                <w:color w:val="auto"/>
              </w:rPr>
            </w:pPr>
            <w:hyperlink w:anchor="page63">
              <w:r>
                <w:rPr>
                  <w:rFonts w:ascii="Arial" w:cs="Arial" w:eastAsia="Arial" w:hAnsi="Arial"/>
                  <w:sz w:val="18"/>
                  <w:szCs w:val="18"/>
                  <w:color w:val="auto"/>
                </w:rPr>
                <w:t>Earnings release issued July 25, 2018, reporting our results of operations for the second quarter and first half of 2018.</w:t>
              </w:r>
            </w:hyperlink>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180" w:type="dxa"/>
            <w:vAlign w:val="bottom"/>
          </w:tcPr>
          <w:p>
            <w:pPr>
              <w:ind w:left="560"/>
              <w:spacing w:after="0"/>
              <w:rPr>
                <w:sz w:val="20"/>
                <w:szCs w:val="20"/>
                <w:color w:val="auto"/>
              </w:rPr>
            </w:pPr>
            <w:r>
              <w:rPr>
                <w:rFonts w:ascii="Arial" w:cs="Arial" w:eastAsia="Arial" w:hAnsi="Arial"/>
                <w:sz w:val="18"/>
                <w:szCs w:val="18"/>
                <w:color w:val="auto"/>
              </w:rPr>
              <w:t>The following series of unaudited XBRL-formatted documents are collectively included herewith as Exhibit 101. The</w:t>
            </w:r>
          </w:p>
        </w:tc>
      </w:tr>
      <w:tr>
        <w:trPr>
          <w:trHeight w:val="203"/>
        </w:trPr>
        <w:tc>
          <w:tcPr>
            <w:tcW w:w="1160" w:type="dxa"/>
            <w:vAlign w:val="bottom"/>
          </w:tcPr>
          <w:p>
            <w:pPr>
              <w:spacing w:after="0"/>
              <w:rPr>
                <w:sz w:val="17"/>
                <w:szCs w:val="17"/>
                <w:color w:val="auto"/>
              </w:rPr>
            </w:pPr>
          </w:p>
        </w:tc>
        <w:tc>
          <w:tcPr>
            <w:tcW w:w="10180" w:type="dxa"/>
            <w:vAlign w:val="bottom"/>
          </w:tcPr>
          <w:p>
            <w:pPr>
              <w:ind w:left="560"/>
              <w:spacing w:after="0" w:line="202" w:lineRule="exact"/>
              <w:rPr>
                <w:sz w:val="20"/>
                <w:szCs w:val="20"/>
                <w:color w:val="auto"/>
              </w:rPr>
            </w:pPr>
            <w:r>
              <w:rPr>
                <w:rFonts w:ascii="Arial" w:cs="Arial" w:eastAsia="Arial" w:hAnsi="Arial"/>
                <w:sz w:val="18"/>
                <w:szCs w:val="18"/>
                <w:color w:val="auto"/>
              </w:rPr>
              <w:t>financial information is extracted from T. Rowe Price Group’s unaudited condensed consolidated interim financial</w:t>
            </w:r>
          </w:p>
        </w:tc>
      </w:tr>
      <w:tr>
        <w:trPr>
          <w:trHeight w:val="217"/>
        </w:trPr>
        <w:tc>
          <w:tcPr>
            <w:tcW w:w="1160" w:type="dxa"/>
            <w:vAlign w:val="bottom"/>
          </w:tcPr>
          <w:p>
            <w:pPr>
              <w:spacing w:after="0"/>
              <w:rPr>
                <w:sz w:val="18"/>
                <w:szCs w:val="18"/>
                <w:color w:val="auto"/>
              </w:rPr>
            </w:pPr>
          </w:p>
        </w:tc>
        <w:tc>
          <w:tcPr>
            <w:tcW w:w="10180" w:type="dxa"/>
            <w:vAlign w:val="bottom"/>
          </w:tcPr>
          <w:p>
            <w:pPr>
              <w:ind w:left="560"/>
              <w:spacing w:after="0"/>
              <w:rPr>
                <w:sz w:val="20"/>
                <w:szCs w:val="20"/>
                <w:color w:val="auto"/>
              </w:rPr>
            </w:pPr>
            <w:r>
              <w:rPr>
                <w:rFonts w:ascii="Arial" w:cs="Arial" w:eastAsia="Arial" w:hAnsi="Arial"/>
                <w:sz w:val="18"/>
                <w:szCs w:val="18"/>
                <w:color w:val="auto"/>
              </w:rPr>
              <w:t>statements and notes that are included in this Form 10-Q Report.</w:t>
            </w:r>
          </w:p>
        </w:tc>
      </w:tr>
    </w:tbl>
    <w:p>
      <w:pPr>
        <w:spacing w:after="0" w:line="18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trow-20180630.xml).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trow-20180630.xsd).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00"/>
          </w:cols>
          <w:pgMar w:left="240" w:top="603" w:right="259" w:bottom="1440" w:gutter="0" w:footer="0" w:header="0"/>
        </w:sectPr>
      </w:pPr>
    </w:p>
    <w:bookmarkStart w:id="46" w:name="page47"/>
    <w:bookmarkEnd w:id="46"/>
    <w:p>
      <w:pPr>
        <w:ind w:left="560"/>
        <w:spacing w:after="0"/>
        <w:rPr>
          <w:sz w:val="20"/>
          <w:szCs w:val="20"/>
          <w:color w:val="auto"/>
        </w:rPr>
      </w:pPr>
      <w:r>
        <w:rPr>
          <w:rFonts w:ascii="Arial" w:cs="Arial" w:eastAsia="Arial" w:hAnsi="Arial"/>
          <w:sz w:val="18"/>
          <w:szCs w:val="18"/>
          <w:color w:val="auto"/>
        </w:rPr>
        <w:t>101.CAL XBRL Taxonomy Calculation Linkbase Document (File name: trow-20180630_cal.xml).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101.LAB XBRL Taxonomy Label Linkbase Document (File name: trow-20180630_lab.xml).</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101.PRE XBRL Taxonomy Presentation Linkbase Document (File name: trow-20180630_pre.xml).</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101.DEF XBRL Taxonomy Definition Linkbase Document (File name: trow-20180630_def.xml).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9019"/>
          </w:cols>
          <w:pgMar w:left="1440" w:top="773" w:right="1440" w:bottom="1440" w:gutter="0" w:footer="0" w:header="0"/>
        </w:sectPr>
      </w:pPr>
    </w:p>
    <w:bookmarkStart w:id="47" w:name="page48"/>
    <w:bookmarkEnd w:id="47"/>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25,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Céline S. Dufétel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120"/>
          </w:cols>
          <w:pgMar w:left="240" w:top="360" w:right="539" w:bottom="1440"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ind w:left="4040"/>
        <w:spacing w:after="0"/>
        <w:rPr>
          <w:sz w:val="20"/>
          <w:szCs w:val="20"/>
          <w:color w:val="auto"/>
        </w:rPr>
      </w:pPr>
      <w:r>
        <w:rPr>
          <w:rFonts w:ascii="Arial" w:cs="Arial" w:eastAsia="Arial" w:hAnsi="Arial"/>
          <w:sz w:val="18"/>
          <w:szCs w:val="18"/>
          <w:color w:val="auto"/>
        </w:rPr>
        <w:t>EXHIBIT 15</w:t>
      </w:r>
    </w:p>
    <w:p>
      <w:pPr>
        <w:spacing w:after="0" w:line="20" w:lineRule="exact"/>
        <w:rPr>
          <w:sz w:val="20"/>
          <w:szCs w:val="20"/>
          <w:color w:val="auto"/>
        </w:rPr>
      </w:pPr>
      <w:r>
        <w:rPr>
          <w:sz w:val="20"/>
          <w:szCs w:val="20"/>
          <w:color w:val="auto"/>
        </w:rPr>
        <w:br w:type="column"/>
      </w:r>
    </w:p>
    <w:p>
      <w:pPr>
        <w:jc w:val="right"/>
        <w:spacing w:after="0" w:line="262"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120" w:space="720"/>
            <w:col w:w="5580"/>
          </w:cols>
          <w:pgMar w:left="240" w:top="598"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1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333-199560</w:t>
      </w:r>
      <w:r>
        <w:rPr>
          <w:rFonts w:ascii="Arial" w:cs="Arial" w:eastAsia="Arial" w:hAnsi="Arial"/>
          <w:sz w:val="18"/>
          <w:szCs w:val="18"/>
          <w:color w:val="auto"/>
        </w:rPr>
        <w:t xml:space="preserve">, No. </w:t>
      </w:r>
      <w:r>
        <w:rPr>
          <w:rFonts w:ascii="Arial" w:cs="Arial" w:eastAsia="Arial" w:hAnsi="Arial"/>
          <w:sz w:val="18"/>
          <w:szCs w:val="18"/>
          <w:b w:val="1"/>
          <w:bCs w:val="1"/>
          <w:color w:val="auto"/>
        </w:rPr>
        <w:t>333-212705</w:t>
      </w:r>
      <w:r>
        <w:rPr>
          <w:rFonts w:ascii="Arial" w:cs="Arial" w:eastAsia="Arial" w:hAnsi="Arial"/>
          <w:sz w:val="18"/>
          <w:szCs w:val="18"/>
          <w:color w:val="auto"/>
        </w:rPr>
        <w:t xml:space="preserve"> , and </w:t>
      </w:r>
      <w:r>
        <w:rPr>
          <w:rFonts w:ascii="Arial" w:cs="Arial" w:eastAsia="Arial" w:hAnsi="Arial"/>
          <w:sz w:val="18"/>
          <w:szCs w:val="18"/>
          <w:b w:val="1"/>
          <w:bCs w:val="1"/>
          <w:color w:val="auto"/>
        </w:rPr>
        <w:t>333-217483</w:t>
      </w:r>
      <w:r>
        <w:rPr>
          <w:rFonts w:ascii="Arial" w:cs="Arial" w:eastAsia="Arial" w:hAnsi="Arial"/>
          <w:sz w:val="18"/>
          <w:szCs w:val="18"/>
          <w:color w:val="auto"/>
        </w:rPr>
        <w:t>.</w:t>
      </w:r>
    </w:p>
    <w:p>
      <w:pPr>
        <w:spacing w:after="0" w:line="17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25, 2018 related to our review of interim financial information.</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ectPr>
          <w:pgSz w:w="11900" w:h="16838" w:orient="portrait"/>
          <w:cols w:equalWidth="0" w:num="1">
            <w:col w:w="11420"/>
          </w:cols>
          <w:pgMar w:left="240" w:top="598" w:right="239" w:bottom="1440" w:gutter="0" w:footer="0" w:header="0"/>
          <w:type w:val="continuous"/>
        </w:sectPr>
      </w:pPr>
    </w:p>
    <w:bookmarkStart w:id="59" w:name="page60"/>
    <w:bookmarkEnd w:id="59"/>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2018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79" w:right="279" w:bottom="1440" w:gutter="0" w:footer="0" w:header="0"/>
        </w:sectPr>
      </w:pPr>
    </w:p>
    <w:bookmarkStart w:id="60" w:name="page61"/>
    <w:bookmarkEnd w:id="60"/>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Céline S. Dufétel,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2018 of T. Rowe Price Group, Inc.;</w:t>
      </w:r>
    </w:p>
    <w:p>
      <w:pPr>
        <w:spacing w:after="0" w:line="171" w:lineRule="exact"/>
        <w:rPr>
          <w:rFonts w:ascii="Arial" w:cs="Arial" w:eastAsia="Arial" w:hAnsi="Arial"/>
          <w:sz w:val="18"/>
          <w:szCs w:val="18"/>
          <w:color w:val="auto"/>
        </w:rPr>
      </w:pPr>
    </w:p>
    <w:p>
      <w:pPr>
        <w:ind w:left="180" w:right="80" w:hanging="172"/>
        <w:spacing w:after="0" w:line="256"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180" w:right="20" w:hanging="172"/>
        <w:spacing w:after="0" w:line="262"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left="180" w:right="120" w:hanging="172"/>
        <w:spacing w:after="0" w:line="256"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80" w:right="440" w:firstLine="71"/>
        <w:spacing w:after="0" w:line="256" w:lineRule="auto"/>
        <w:tabs>
          <w:tab w:leader="none" w:pos="5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80" w:right="100" w:firstLine="71"/>
        <w:spacing w:after="0" w:line="256" w:lineRule="auto"/>
        <w:tabs>
          <w:tab w:leader="none" w:pos="5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80" w:right="60" w:firstLine="71"/>
        <w:spacing w:after="0" w:line="291" w:lineRule="auto"/>
        <w:tabs>
          <w:tab w:leader="none" w:pos="521"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7"/>
          <w:szCs w:val="17"/>
          <w:color w:val="auto"/>
        </w:rPr>
      </w:pPr>
    </w:p>
    <w:p>
      <w:pPr>
        <w:ind w:left="180" w:firstLine="71"/>
        <w:spacing w:after="0" w:line="256" w:lineRule="auto"/>
        <w:tabs>
          <w:tab w:leader="none" w:pos="5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180" w:right="160" w:hanging="172"/>
        <w:spacing w:after="0" w:line="291"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180" w:right="540" w:firstLine="71"/>
        <w:spacing w:after="0" w:line="262" w:lineRule="auto"/>
        <w:tabs>
          <w:tab w:leader="none" w:pos="5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180" w:right="120" w:firstLine="71"/>
        <w:spacing w:after="0" w:line="262" w:lineRule="auto"/>
        <w:tabs>
          <w:tab w:leader="none" w:pos="5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79" w:right="279" w:bottom="1440" w:gutter="0" w:footer="0" w:header="0"/>
        </w:sectPr>
      </w:pPr>
    </w:p>
    <w:bookmarkStart w:id="61" w:name="page62"/>
    <w:bookmarkEnd w:id="61"/>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2018, of T. Rowe Price Group, Inc., that:</w:t>
      </w:r>
    </w:p>
    <w:p>
      <w:pPr>
        <w:spacing w:after="0" w:line="142" w:lineRule="exact"/>
        <w:rPr>
          <w:sz w:val="20"/>
          <w:szCs w:val="20"/>
          <w:color w:val="auto"/>
        </w:rPr>
      </w:pPr>
    </w:p>
    <w:p>
      <w:pPr>
        <w:ind w:right="20" w:firstLine="8"/>
        <w:spacing w:after="0" w:line="262"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42" w:lineRule="exact"/>
        <w:rPr>
          <w:rFonts w:ascii="Arial" w:cs="Arial" w:eastAsia="Arial" w:hAnsi="Arial"/>
          <w:sz w:val="18"/>
          <w:szCs w:val="18"/>
          <w:color w:val="auto"/>
        </w:rPr>
      </w:pPr>
    </w:p>
    <w:p>
      <w:pPr>
        <w:ind w:right="240" w:firstLine="8"/>
        <w:spacing w:after="0" w:line="262"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Céline S. Dufétel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679" w:right="239" w:bottom="1440" w:gutter="0" w:footer="0" w:header="0"/>
        </w:sectPr>
      </w:pPr>
    </w:p>
    <w:bookmarkStart w:id="62" w:name="page63"/>
    <w:bookmarkEnd w:id="6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636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4"/>
    </w:lvl>
  </w:abstractNum>
  <w:abstractNum w:abstractNumId="17">
    <w:nsid w:val="257130A3"/>
    <w:multiLevelType w:val="hybridMultilevel"/>
    <w:lvl w:ilvl="0">
      <w:lvlJc w:val="left"/>
      <w:lvlText w:val="(%1)"/>
      <w:numFmt w:val="decimal"/>
      <w:start w:val="6"/>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51" Type="http://schemas.openxmlformats.org/officeDocument/2006/relationships/hyperlink" Target="http://www.sec.gov/Archives/edgar/data/1113169/000111316915000029/trow-amendedandrestatedbyl.htm" TargetMode="External"/><Relationship Id="rId52" Type="http://schemas.openxmlformats.org/officeDocument/2006/relationships/hyperlink" Target="http://www.sec.gov/Archives/edgar/data/902259/000090225918000003/c2018transferagencyagr-20182.htm" TargetMode="External"/><Relationship Id="rId53" Type="http://schemas.openxmlformats.org/officeDocument/2006/relationships/hyperlink" Target="http://www.sec.gov/Archives/edgar/data/902259/000090225918000003/c2018rpsagmt-20183.htm" TargetMode="External"/><Relationship Id="rId54" Type="http://schemas.openxmlformats.org/officeDocument/2006/relationships/hyperlink" Target="http://www.sec.gov/Archives/edgar/data/819930/000081993017000005/retainedfaagmtre-foraugtoaug.htm" TargetMode="External"/><Relationship Id="rId55" Type="http://schemas.openxmlformats.org/officeDocument/2006/relationships/hyperlink" Target="http://www.sec.gov/Archives/edgar/data/1113169/000111316918000010/a2018aicppool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2019-12-28T20:52:34Z</dcterms:created>
  <dcterms:modified xsi:type="dcterms:W3CDTF">2019-12-28T20:52:34Z</dcterms:modified>
</cp:coreProperties>
</file>