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2011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2243455</wp:posOffset>
            </wp:positionH>
            <wp:positionV relativeFrom="paragraph">
              <wp:posOffset>-130175</wp:posOffset>
            </wp:positionV>
            <wp:extent cx="2778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-130175</wp:posOffset>
            </wp:positionV>
            <wp:extent cx="2452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97"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2" w:right="239" w:bottom="1440" w:gutter="0" w:footer="0" w:header="0"/>
        </w:sectPr>
      </w:pPr>
    </w:p>
    <w:p>
      <w:pPr>
        <w:spacing w:after="0" w:line="46"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4"/>
          <w:szCs w:val="24"/>
          <w:color w:val="auto"/>
        </w:rPr>
      </w:pPr>
    </w:p>
    <w:p>
      <w:pPr>
        <w:sectPr>
          <w:pgSz w:w="11900" w:h="16838" w:orient="portrait"/>
          <w:cols w:equalWidth="0" w:num="4">
            <w:col w:w="2040" w:space="720"/>
            <w:col w:w="1360" w:space="720"/>
            <w:col w:w="3720" w:space="720"/>
            <w:col w:w="2140"/>
          </w:cols>
          <w:pgMar w:left="240" w:top="522"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w:t>
      </w:r>
    </w:p>
    <w:p>
      <w:pPr>
        <w:spacing w:after="0" w:line="168" w:lineRule="exact"/>
        <w:rPr>
          <w:sz w:val="24"/>
          <w:szCs w:val="24"/>
          <w:color w:val="auto"/>
        </w:rPr>
      </w:pPr>
    </w:p>
    <w:p>
      <w:pPr>
        <w:sectPr>
          <w:pgSz w:w="11900" w:h="16838" w:orient="portrait"/>
          <w:cols w:equalWidth="0" w:num="2">
            <w:col w:w="8620" w:space="140"/>
            <w:col w:w="2660"/>
          </w:cols>
          <w:pgMar w:left="240" w:top="5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22, 2011, is 256,368,787</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813.1</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747.9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209.7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3,642.0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71.9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$.20 par value — authorized 750,000,000; issued 258,760,000 shares in 2010 and 256,518,000 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506.3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2,599.4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3,296.5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3,412.8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3,642.0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492.0</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611.7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963.8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101.4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714.5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1,135.4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1,133.6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1,396.1</w:t>
            </w:r>
          </w:p>
        </w:tc>
        <w:tc>
          <w:tcPr>
            <w:tcW w:w="0" w:type="dxa"/>
            <w:vAlign w:val="bottom"/>
          </w:tcPr>
          <w:p>
            <w:pPr>
              <w:spacing w:after="0"/>
              <w:rPr>
                <w:sz w:val="1"/>
                <w:szCs w:val="1"/>
                <w:color w:val="auto"/>
              </w:rPr>
            </w:pP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248.8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387.1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326.6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Non-operating investment income</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332.2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127.5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158.5</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6"/>
              </w:rPr>
              <w:t>The accompanying notes are an integral part of these statements.</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60" w:type="dxa"/>
            <w:vAlign w:val="bottom"/>
            <w:gridSpan w:val="2"/>
          </w:tcPr>
          <w:p>
            <w:pPr>
              <w:jc w:val="right"/>
              <w:ind w:right="687"/>
              <w:spacing w:after="0"/>
              <w:rPr>
                <w:sz w:val="20"/>
                <w:szCs w:val="20"/>
                <w:color w:val="auto"/>
              </w:rPr>
            </w:pPr>
            <w:r>
              <w:rPr>
                <w:rFonts w:ascii="Arial" w:cs="Arial" w:eastAsia="Arial" w:hAnsi="Arial"/>
                <w:sz w:val="18"/>
                <w:szCs w:val="18"/>
                <w:color w:val="auto"/>
              </w:rPr>
              <w:t>Page 3</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6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6/30/2010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311.5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Investment in UTI Asset Management Company Limited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debt securities held by savings bank subsidiary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(139.8)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(237.4)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change during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color w:val="auto"/>
              </w:rPr>
              <w:t>Additional</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620" w:type="dxa"/>
            <w:vAlign w:val="bottom"/>
          </w:tcPr>
          <w:p>
            <w:pPr>
              <w:spacing w:after="0"/>
              <w:rPr>
                <w:sz w:val="12"/>
                <w:szCs w:val="12"/>
                <w:color w:val="auto"/>
              </w:rPr>
            </w:pPr>
          </w:p>
        </w:tc>
        <w:tc>
          <w:tcPr>
            <w:tcW w:w="136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1"/>
              </w:rPr>
              <w:t>Common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capital in</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3620" w:type="dxa"/>
            <w:vAlign w:val="bottom"/>
          </w:tcPr>
          <w:p>
            <w:pPr>
              <w:spacing w:after="0"/>
              <w:rPr>
                <w:sz w:val="12"/>
                <w:szCs w:val="12"/>
                <w:color w:val="auto"/>
              </w:rPr>
            </w:pPr>
          </w:p>
        </w:tc>
        <w:tc>
          <w:tcPr>
            <w:tcW w:w="136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85"/>
              </w:rPr>
              <w:t>shares</w:t>
            </w:r>
          </w:p>
        </w:tc>
        <w:tc>
          <w:tcPr>
            <w:tcW w:w="10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Common</w:t>
            </w:r>
          </w:p>
        </w:tc>
        <w:tc>
          <w:tcPr>
            <w:tcW w:w="170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91"/>
              </w:rPr>
              <w:t>excess of par</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Retained</w:t>
            </w:r>
          </w:p>
        </w:tc>
        <w:tc>
          <w:tcPr>
            <w:tcW w:w="1820" w:type="dxa"/>
            <w:vAlign w:val="bottom"/>
            <w:gridSpan w:val="4"/>
          </w:tcPr>
          <w:p>
            <w:pPr>
              <w:jc w:val="center"/>
              <w:ind w:right="3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r>
      <w:tr>
        <w:trPr>
          <w:trHeight w:val="167"/>
        </w:trPr>
        <w:tc>
          <w:tcPr>
            <w:tcW w:w="36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6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7"/>
              </w:rPr>
              <w:t>stock</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value</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earnings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2"/>
              </w:rPr>
              <w:t>income</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258,760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506.3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$ 2,599.4</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3,296.5</w:t>
            </w: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Net unrealized holding gains, net of tax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02"/>
        </w:trPr>
        <w:tc>
          <w:tcPr>
            <w:tcW w:w="36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Currency translation adjustment, net of</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w:t>
            </w: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23"/>
        </w:trPr>
        <w:tc>
          <w:tcPr>
            <w:tcW w:w="362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19"/>
                <w:szCs w:val="19"/>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(160.7)</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Common stock-based compensation plans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activity</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option exercises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r>
      <w:tr>
        <w:trPr>
          <w:trHeight w:val="202"/>
        </w:trPr>
        <w:tc>
          <w:tcPr>
            <w:tcW w:w="3620" w:type="dxa"/>
            <w:vAlign w:val="bottom"/>
          </w:tcPr>
          <w:p>
            <w:pPr>
              <w:ind w:left="220"/>
              <w:spacing w:after="0" w:line="201" w:lineRule="exact"/>
              <w:rPr>
                <w:sz w:val="20"/>
                <w:szCs w:val="20"/>
                <w:color w:val="auto"/>
              </w:rPr>
            </w:pPr>
            <w:r>
              <w:rPr>
                <w:rFonts w:ascii="Arial" w:cs="Arial" w:eastAsia="Arial" w:hAnsi="Arial"/>
                <w:sz w:val="18"/>
                <w:szCs w:val="18"/>
                <w:color w:val="auto"/>
              </w:rPr>
              <w:t>Restricted shares issued, net of shares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20" w:type="dxa"/>
            <w:vAlign w:val="bottom"/>
          </w:tcPr>
          <w:p>
            <w:pPr>
              <w:ind w:left="420"/>
              <w:spacing w:after="0"/>
              <w:rPr>
                <w:sz w:val="20"/>
                <w:szCs w:val="20"/>
                <w:color w:val="auto"/>
              </w:rPr>
            </w:pPr>
            <w:r>
              <w:rPr>
                <w:rFonts w:ascii="Arial" w:cs="Arial" w:eastAsia="Arial" w:hAnsi="Arial"/>
                <w:sz w:val="18"/>
                <w:szCs w:val="18"/>
                <w:color w:val="auto"/>
              </w:rPr>
              <w:t>withheld for taxes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36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Shares issued upon vesting of restricted</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units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Forfeiture of restricted awards</w:t>
            </w: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tax benefits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46.4</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(241.1)</w:t>
            </w: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Balances at June 30, 2011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256,518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$ 2,744.2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3,412.8</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brokerage; and trust services.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5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2010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$154.0 million at December 31, 2010, and $158.4 million at June 30, 2011.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320"/>
              <w:spacing w:after="0"/>
              <w:rPr>
                <w:sz w:val="20"/>
                <w:szCs w:val="20"/>
                <w:color w:val="auto"/>
              </w:rPr>
            </w:pPr>
            <w:r>
              <w:rPr>
                <w:rFonts w:ascii="Arial" w:cs="Arial" w:eastAsia="Arial" w:hAnsi="Arial"/>
                <w:sz w:val="14"/>
                <w:szCs w:val="14"/>
                <w:color w:val="auto"/>
              </w:rPr>
              <w:t>Six months ended</w:t>
            </w: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9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275.1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341.2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537.9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668.2</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418.1</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121.4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160.8</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241.7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315.6</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193.6</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advisory fees</w:t>
            </w:r>
          </w:p>
        </w:tc>
        <w:tc>
          <w:tcPr>
            <w:tcW w:w="1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492.0</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611.7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963.8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1,200.5</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4"/>
                <w:szCs w:val="14"/>
                <w:color w:val="auto"/>
              </w:rPr>
              <w:t>Average during</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left="313"/>
              <w:spacing w:after="0"/>
              <w:rPr>
                <w:sz w:val="20"/>
                <w:szCs w:val="20"/>
                <w:color w:val="auto"/>
              </w:rPr>
            </w:pPr>
            <w:r>
              <w:rPr>
                <w:rFonts w:ascii="Arial" w:cs="Arial" w:eastAsia="Arial" w:hAnsi="Arial"/>
                <w:sz w:val="14"/>
                <w:szCs w:val="14"/>
                <w:color w:val="auto"/>
                <w:w w:val="92"/>
              </w:rPr>
              <w:t>Average during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the second quarter</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13"/>
              <w:spacing w:after="0"/>
              <w:rPr>
                <w:sz w:val="20"/>
                <w:szCs w:val="20"/>
                <w:color w:val="auto"/>
              </w:rPr>
            </w:pPr>
            <w:r>
              <w:rPr>
                <w:rFonts w:ascii="Arial" w:cs="Arial" w:eastAsia="Arial" w:hAnsi="Arial"/>
                <w:sz w:val="14"/>
                <w:szCs w:val="14"/>
                <w:color w:val="auto"/>
                <w:w w:val="99"/>
              </w:rPr>
              <w:t>the first half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89"/>
              </w:rPr>
              <w:t>2011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182.6</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228.0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179.1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122.2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120.0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As of</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4"/>
              </w:rPr>
              <w:t>12/31/2010</w:t>
            </w:r>
          </w:p>
        </w:tc>
        <w:tc>
          <w:tcPr>
            <w:tcW w:w="8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212.4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148.2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160"/>
        <w:spacing w:after="0" w:line="277"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domiciled outside the United States account for nearly 12% of our assets under management at June 30, 2011.</w:t>
      </w:r>
    </w:p>
    <w:p>
      <w:pPr>
        <w:spacing w:after="0" w:line="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Fees for advisory-related administrative services provided to our sponsored mutual funds during the first half of the year were $131.6 million in 2010 and $158.2 million in 2011. Fees for these services during the second quarter were $66.0 million in 2010 and $83.2 million in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720"/>
              <w:spacing w:after="0" w:line="149" w:lineRule="exact"/>
              <w:rPr>
                <w:sz w:val="20"/>
                <w:szCs w:val="20"/>
                <w:color w:val="auto"/>
              </w:rPr>
            </w:pPr>
            <w:r>
              <w:rPr>
                <w:rFonts w:ascii="Arial" w:cs="Arial" w:eastAsia="Arial" w:hAnsi="Arial"/>
                <w:sz w:val="14"/>
                <w:szCs w:val="14"/>
                <w:color w:val="auto"/>
                <w:w w:val="92"/>
              </w:rPr>
              <w:t>Aggregate</w:t>
            </w:r>
          </w:p>
        </w:tc>
        <w:tc>
          <w:tcPr>
            <w:tcW w:w="120" w:type="dxa"/>
            <w:vAlign w:val="bottom"/>
          </w:tcPr>
          <w:p>
            <w:pPr>
              <w:spacing w:after="0"/>
              <w:rPr>
                <w:sz w:val="12"/>
                <w:szCs w:val="12"/>
                <w:color w:val="auto"/>
              </w:rPr>
            </w:pP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2"/>
              </w:rPr>
              <w:t>holding</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840"/>
              <w:spacing w:after="0"/>
              <w:rPr>
                <w:sz w:val="20"/>
                <w:szCs w:val="20"/>
                <w:color w:val="auto"/>
              </w:rPr>
            </w:pPr>
            <w:r>
              <w:rPr>
                <w:rFonts w:ascii="Arial" w:cs="Arial" w:eastAsia="Arial" w:hAnsi="Arial"/>
                <w:sz w:val="14"/>
                <w:szCs w:val="14"/>
                <w:color w:val="auto"/>
                <w:w w:val="85"/>
              </w:rPr>
              <w:t>cost</w:t>
            </w: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color w:val="auto"/>
              </w:rPr>
              <w:t>gains</w:t>
            </w:r>
          </w:p>
        </w:tc>
        <w:tc>
          <w:tcPr>
            <w:tcW w:w="34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2010</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281.7</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178.6</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June 30, 2011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281.7</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201.6</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12/31/2010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6/30/2011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holding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holding</w:t>
            </w: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Fair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gains</w:t>
            </w:r>
          </w:p>
        </w:tc>
        <w:tc>
          <w:tcPr>
            <w:tcW w:w="14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Fair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gains</w:t>
            </w:r>
          </w:p>
        </w:tc>
      </w:t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color w:val="auto"/>
              </w:rPr>
              <w:t>value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color w:val="auto"/>
                <w:w w:val="89"/>
              </w:rPr>
              <w:t>(losses)</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(losses)</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 (41 securities in 2011) of</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debt securities</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79"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The estimated fair value of our customer deposit liability, based on discounting expected cash outflows at maturity dates that range up to five years, using current interest rates offered for deposits with the same dates of maturity, was $164.1 million at December 31, 2010, and $170.1 million at June 30,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2840" w:type="dxa"/>
            <w:vAlign w:val="bottom"/>
            <w:gridSpan w:val="3"/>
          </w:tcPr>
          <w:p>
            <w:pPr>
              <w:ind w:left="2160"/>
              <w:spacing w:after="0"/>
              <w:rPr>
                <w:sz w:val="20"/>
                <w:szCs w:val="20"/>
                <w:color w:val="auto"/>
              </w:rPr>
            </w:pPr>
            <w:r>
              <w:rPr>
                <w:rFonts w:ascii="Arial" w:cs="Arial" w:eastAsia="Arial" w:hAnsi="Arial"/>
                <w:sz w:val="14"/>
                <w:szCs w:val="14"/>
                <w:color w:val="auto"/>
                <w:w w:val="94"/>
              </w:rPr>
              <w:t>12/31/2010</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10% interest in Daiwa SB Investments Ltd. (Japan)</w:t>
            </w:r>
          </w:p>
        </w:tc>
        <w:tc>
          <w:tcPr>
            <w:tcW w:w="23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26% interest in UTI Asset Management Company Limited (India)</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U.S. Treasury note</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0"/>
        </w:trPr>
        <w:tc>
          <w:tcPr>
            <w:tcW w:w="7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r>
      <w:tr>
        <w:trPr>
          <w:trHeight w:val="20"/>
        </w:trPr>
        <w:tc>
          <w:tcPr>
            <w:tcW w:w="7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31" w:lineRule="exact"/>
        <w:rPr>
          <w:sz w:val="20"/>
          <w:szCs w:val="20"/>
          <w:color w:val="auto"/>
        </w:rPr>
      </w:pPr>
    </w:p>
    <w:p>
      <w:pPr>
        <w:ind w:left="1100" w:right="160" w:hanging="877"/>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76" w:lineRule="exact"/>
        <w:rPr>
          <w:sz w:val="20"/>
          <w:szCs w:val="20"/>
          <w:color w:val="auto"/>
        </w:rPr>
      </w:pPr>
    </w:p>
    <w:p>
      <w:pPr>
        <w:ind w:left="1100" w:right="260" w:hanging="877"/>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 investments. There have been no transfers in or out of the levels. The following table summarizes our investments (in millions) that are recognized in our balance sheet using fair value measurements determined based on the differing levels of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Level 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2010</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Cash equivalents</w:t>
            </w:r>
          </w:p>
        </w:tc>
        <w:tc>
          <w:tcPr>
            <w:tcW w:w="7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726.9</w:t>
            </w: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Held as available-for-sale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747.9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1,479.6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
        </w:trPr>
        <w:tc>
          <w:tcPr>
            <w:tcW w:w="9280" w:type="dxa"/>
            <w:vAlign w:val="bottom"/>
            <w:gridSpan w:val="4"/>
            <w:vMerge w:val="restart"/>
          </w:tcPr>
          <w:p>
            <w:pPr>
              <w:spacing w:after="0"/>
              <w:rPr>
                <w:sz w:val="20"/>
                <w:szCs w:val="20"/>
                <w:color w:val="auto"/>
              </w:rPr>
            </w:pPr>
            <w:r>
              <w:rPr>
                <w:rFonts w:ascii="Arial" w:cs="Arial" w:eastAsia="Arial" w:hAnsi="Arial"/>
                <w:sz w:val="18"/>
                <w:szCs w:val="18"/>
                <w:color w:val="auto"/>
              </w:rPr>
              <w:t>June 30, 2011</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Held as available-for-sale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Held as trading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23"/>
        </w:trPr>
        <w:tc>
          <w:tcPr>
            <w:tcW w:w="9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1,727.5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7 — COMMON STOCK REPURCHASES.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June 30, 2011, accounts payable and accrued expenses includes $5.8 million representing the liability for common stock repurchases that settled the first week of July.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grants.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six months of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r>
      <w:tr>
        <w:trPr>
          <w:trHeight w:val="167"/>
        </w:trPr>
        <w:tc>
          <w:tcPr>
            <w:tcW w:w="8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37,759,580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$41.34</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Semiannual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2,894,480</w:t>
            </w:r>
          </w:p>
        </w:tc>
        <w:tc>
          <w:tcPr>
            <w:tcW w:w="32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$70.33</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27,278</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$67.11</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New hire grants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23,850</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$63.93</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 grants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$64.94</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(2,200,462)</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$32.85</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(260,560)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$48.12</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38,252,166</w:t>
            </w:r>
          </w:p>
        </w:tc>
        <w:tc>
          <w:tcPr>
            <w:tcW w:w="32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$44.01</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19,638,524</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$38.09</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six months of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Restricted</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Restricted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480" w:type="dxa"/>
            <w:vAlign w:val="bottom"/>
          </w:tcPr>
          <w:p>
            <w:pPr>
              <w:spacing w:after="0"/>
              <w:rPr>
                <w:sz w:val="12"/>
                <w:szCs w:val="12"/>
                <w:color w:val="auto"/>
              </w:rPr>
            </w:pPr>
          </w:p>
        </w:tc>
        <w:tc>
          <w:tcPr>
            <w:tcW w:w="1300" w:type="dxa"/>
            <w:vAlign w:val="bottom"/>
          </w:tcPr>
          <w:p>
            <w:pPr>
              <w:ind w:left="140"/>
              <w:spacing w:after="0" w:line="149" w:lineRule="exact"/>
              <w:rPr>
                <w:sz w:val="20"/>
                <w:szCs w:val="20"/>
                <w:color w:val="auto"/>
              </w:rPr>
            </w:pPr>
            <w:r>
              <w:rPr>
                <w:rFonts w:ascii="Arial" w:cs="Arial" w:eastAsia="Arial" w:hAnsi="Arial"/>
                <w:sz w:val="14"/>
                <w:szCs w:val="14"/>
                <w:color w:val="auto"/>
                <w:w w:val="99"/>
              </w:rPr>
              <w:t>Weighted-average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4"/>
              </w:rPr>
              <w:t>units</w:t>
            </w:r>
          </w:p>
        </w:tc>
        <w:tc>
          <w:tcPr>
            <w:tcW w:w="480" w:type="dxa"/>
            <w:vAlign w:val="bottom"/>
          </w:tcPr>
          <w:p>
            <w:pPr>
              <w:spacing w:after="0"/>
              <w:rPr>
                <w:sz w:val="14"/>
                <w:szCs w:val="14"/>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638,532</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368,201</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128,975</w:t>
            </w:r>
          </w:p>
        </w:tc>
        <w:tc>
          <w:tcPr>
            <w:tcW w:w="1680" w:type="dxa"/>
            <w:vAlign w:val="bottom"/>
            <w:gridSpan w:val="4"/>
          </w:tcPr>
          <w:p>
            <w:pPr>
              <w:jc w:val="right"/>
              <w:ind w:right="300"/>
              <w:spacing w:after="0"/>
              <w:rPr>
                <w:sz w:val="20"/>
                <w:szCs w:val="20"/>
                <w:color w:val="auto"/>
              </w:rPr>
            </w:pPr>
            <w:r>
              <w:rPr>
                <w:rFonts w:ascii="Arial" w:cs="Arial" w:eastAsia="Arial" w:hAnsi="Arial"/>
                <w:sz w:val="18"/>
                <w:szCs w:val="18"/>
                <w:color w:val="auto"/>
              </w:rPr>
              <w:t>73,550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(8,675)</w:t>
            </w:r>
          </w:p>
        </w:tc>
        <w:tc>
          <w:tcPr>
            <w:tcW w:w="16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(11,032)</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(13,490)</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(38,103)</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745,342</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392,616</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jc w:val="both"/>
        <w:ind w:right="76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June 30, 2011.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2011</w:t>
            </w:r>
          </w:p>
        </w:tc>
        <w:tc>
          <w:tcPr>
            <w:tcW w:w="4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Fourth quarter 2011</w:t>
            </w: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2013 through 2016</w:t>
            </w:r>
          </w:p>
        </w:tc>
        <w:tc>
          <w:tcPr>
            <w:tcW w:w="4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9 — EARNINGS PER SHARE CALCULATIONS.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 average shares (in millions) that are used in calculating the basic and the diluted earnings per share on our common stock. Weighted average common shares outstanding assuming dilution reflects the potential additional dilution, determined using the treasury stock method that could occur if outstanding stock options were exercised.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6/30/2011</w:t>
            </w:r>
          </w:p>
        </w:tc>
        <w:tc>
          <w:tcPr>
            <w:tcW w:w="6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6/30/2011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158.5</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311.5</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5"/>
              </w:rPr>
              <w:t>Less: net income allocated to outstanding restricted stock and stock unit holders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310.2</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397.6</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266.7</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weighted average outstanding stock options (in millions) and their average exercise price excluded from the calculation of diluted earnings per share on our common stock as the inclusion of such shares would be anti-dilutive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ind w:left="420"/>
              <w:spacing w:after="0"/>
              <w:rPr>
                <w:sz w:val="20"/>
                <w:szCs w:val="20"/>
                <w:color w:val="auto"/>
              </w:rPr>
            </w:pPr>
            <w:r>
              <w:rPr>
                <w:rFonts w:ascii="Arial" w:cs="Arial" w:eastAsia="Arial" w:hAnsi="Arial"/>
                <w:sz w:val="14"/>
                <w:szCs w:val="14"/>
                <w:color w:val="auto"/>
              </w:rPr>
              <w:t>Three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Weighted average outstanding stock options excluded</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6/30/2010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6/30/2011</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6/30/2010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Average exercise price</w:t>
            </w:r>
          </w:p>
        </w:tc>
        <w:tc>
          <w:tcPr>
            <w:tcW w:w="7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52.39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67.61</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8"/>
          </w:tcPr>
          <w:p>
            <w:pPr>
              <w:spacing w:after="0"/>
              <w:rPr>
                <w:sz w:val="20"/>
                <w:szCs w:val="20"/>
                <w:color w:val="auto"/>
              </w:rPr>
            </w:pPr>
            <w:r>
              <w:rPr>
                <w:rFonts w:ascii="Arial" w:cs="Arial" w:eastAsia="Arial" w:hAnsi="Arial"/>
                <w:sz w:val="18"/>
                <w:szCs w:val="18"/>
                <w:color w:val="auto"/>
              </w:rPr>
              <w:t>NOTE 10 — COMPREHENSIVE INCOME AND ACCUMULATED OTHER COMPREHENSIVE INCOME.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tcPr>
          <w:p>
            <w:pPr>
              <w:spacing w:after="0"/>
              <w:rPr>
                <w:sz w:val="20"/>
                <w:szCs w:val="20"/>
                <w:color w:val="auto"/>
              </w:rPr>
            </w:pPr>
            <w:r>
              <w:rPr>
                <w:rFonts w:ascii="Arial" w:cs="Arial" w:eastAsia="Arial" w:hAnsi="Arial"/>
                <w:sz w:val="18"/>
                <w:szCs w:val="18"/>
                <w:color w:val="auto"/>
                <w:w w:val="97"/>
              </w:rPr>
              <w:t>The following table presents the components (in millions) of comprehensive income.</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6/30/2010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6/30/2011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311.5</w:t>
            </w:r>
          </w:p>
        </w:tc>
        <w:tc>
          <w:tcPr>
            <w:tcW w:w="5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399.3</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620"/>
              <w:spacing w:after="0"/>
              <w:rPr>
                <w:sz w:val="20"/>
                <w:szCs w:val="20"/>
                <w:color w:val="auto"/>
              </w:rPr>
            </w:pPr>
            <w:r>
              <w:rPr>
                <w:rFonts w:ascii="Arial" w:cs="Arial" w:eastAsia="Arial" w:hAnsi="Arial"/>
                <w:sz w:val="18"/>
                <w:szCs w:val="18"/>
                <w:color w:val="auto"/>
              </w:rPr>
              <w:t>Net unrealized holding gains (losses)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620"/>
              <w:spacing w:after="0"/>
              <w:rPr>
                <w:sz w:val="20"/>
                <w:szCs w:val="20"/>
                <w:color w:val="auto"/>
              </w:rPr>
            </w:pPr>
            <w:r>
              <w:rPr>
                <w:rFonts w:ascii="Arial" w:cs="Arial" w:eastAsia="Arial" w:hAnsi="Arial"/>
                <w:sz w:val="18"/>
                <w:szCs w:val="18"/>
                <w:color w:val="auto"/>
              </w:rPr>
              <w:t>Deferred tax benefits (income taxes)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1"/>
              </w:rPr>
              <w:t>Net unrealized holding gains (losses) recognized in other comprehensive income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6540" w:type="dxa"/>
            <w:vAlign w:val="bottom"/>
          </w:tcPr>
          <w:p>
            <w:pPr>
              <w:ind w:left="4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unrealized holding gains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40" w:type="dxa"/>
            <w:vAlign w:val="bottom"/>
          </w:tcPr>
          <w:p>
            <w:pPr>
              <w:ind w:left="6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unrealized holding gains recognized in other comprehensive income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gridSpan w:val="5"/>
            <w:vMerge w:val="restart"/>
          </w:tcPr>
          <w:p>
            <w:pPr>
              <w:ind w:left="42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gridSpan w:val="5"/>
            <w:vMerge w:val="continue"/>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UTI Asset Management Company Limited</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620"/>
              <w:spacing w:after="0"/>
              <w:rPr>
                <w:sz w:val="20"/>
                <w:szCs w:val="20"/>
                <w:color w:val="auto"/>
              </w:rPr>
            </w:pPr>
            <w:r>
              <w:rPr>
                <w:rFonts w:ascii="Arial" w:cs="Arial" w:eastAsia="Arial" w:hAnsi="Arial"/>
                <w:sz w:val="18"/>
                <w:szCs w:val="18"/>
                <w:color w:val="auto"/>
              </w:rPr>
              <w:t>Change in currency translation adjustment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540" w:type="dxa"/>
            <w:vAlign w:val="bottom"/>
          </w:tcPr>
          <w:p>
            <w:pPr>
              <w:ind w:left="420"/>
              <w:spacing w:after="0"/>
              <w:rPr>
                <w:sz w:val="20"/>
                <w:szCs w:val="20"/>
                <w:color w:val="auto"/>
              </w:rPr>
            </w:pPr>
            <w:r>
              <w:rPr>
                <w:rFonts w:ascii="Arial" w:cs="Arial" w:eastAsia="Arial" w:hAnsi="Arial"/>
                <w:sz w:val="18"/>
                <w:szCs w:val="18"/>
                <w:color w:val="auto"/>
              </w:rPr>
              <w:t>Total currency translation adjustment</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second quarter was $128.3 million in 2010 and $207.2 million in 2011.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80"/>
        <w:spacing w:after="0" w:line="264" w:lineRule="auto"/>
        <w:rPr>
          <w:sz w:val="20"/>
          <w:szCs w:val="20"/>
          <w:color w:val="auto"/>
        </w:rPr>
      </w:pPr>
      <w:r>
        <w:rPr>
          <w:rFonts w:ascii="Arial" w:cs="Arial" w:eastAsia="Arial" w:hAnsi="Arial"/>
          <w:sz w:val="18"/>
          <w:szCs w:val="18"/>
          <w:color w:val="auto"/>
        </w:rPr>
        <w:t>The currency translation adjustment results from translating our proportionate share of the financial statements of UTI, our equity method investment, into U.S. dollars. Assets and liabilities are translated into U.S. dollars using quarter-end exchange rates, and revenues and expenses are translated using weighted-average exchange rates for the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(in millions) at June 30, 2011,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Investments in sponsored mutual funds</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246.2</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(96.6)</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unrealized holding gains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deferred income taxes of $2.1 million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reviewed the condensed consolidated balance sheet of T. Rowe Price Group, Inc. and subsidiaries (“the Company”) as of June 30, 2011, the related condensed consolidated statements of income for the three- and six-month periods ended June 30, 2011 and 2010, the related condensed consolidated statement of stockholders’ equity for the six-month period ended June 30, 2011 and the related condensed consolidated statements of cash flows for the six-month periods ended June 30, 2011 and 2010. These condensed consolidated financial statements are the responsibility of the Company’s management.</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2010, and the related consolidated statements of income, stockholders’ equity, and cash flows for the year then ended (not presented herein); and in our report dated February 8, 2011, we expressed an unqualified opinion on those consolidated financial statements. In our opinion, the information set forth in the accompanying condensed consolidated balance sheet as of December 31, 2010,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domiciled outside the United States account for nearly 12% of our assets under management at June 30, 2011.</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volatility experienced in the first quarter of 2011 by equity markets around the world continued throughout the second quarter as economic and geopolitical concerns weighed on investors at different times in the quarter. This volatility led to mixed performance results across equity markets for the quarter. Healthy corporate earnings and merger activity in the early part of the second quarter continued the positive momentum of late March and helped lift major indexes to new highs by the end of April. However, soft U.S. economic data, elevated energy costs, and worries that Greece could default or be forced to restructure its sovereign debt prompted a market sell-off in May and early June as investors looked to reduce risk. These losses were trimmed significantly in the closing days of the quarter. Several major concerns continue to weigh on investor confidence, including the sluggishness of economic recoveries in many developed countries, the broader European debt crisis, the U.S. government’s ability to raise its debt ceiling, inflation in emerging markets, and the impact of the Japanese disaster.</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Amid this volatility in the second quarter, the S&amp;P 500 Index of large-cap companies in leading industries of the U.S. economy returned .1% while the Russell 2000 Index, which measures the performance of small-cap U.S. companies, and the NASDAQ Composite Index, which is heavily weighted in technology companies, declined 1.6% and .3% (excluding dividends), respectively. Their relatively flat performance in the second quarter enabled these major U.S. indexes to maintain the solid returns of the first quarter. For the first six months of the year, the S&amp;P 500 Index is up 6.0%, the Russell 2000 Index increased 6.2% and the NASDAQ Composite Index returned 4.6%.</w:t>
      </w:r>
    </w:p>
    <w:p>
      <w:pPr>
        <w:spacing w:after="0" w:line="8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Developed equity markets outside the U.S. outperformed the U.S. markets in the second quarter of 2011 while emerging equity markets lagged behind. Specifically, the MSCI EAFE Index, which measures the performance of mostly large-cap stocks in Europe, Australasia and the Far East, returned 1.8%, and the MSCI Emerging Markets Index declined 1.0%. These indexes have returned 5.4% and 1.0%, respectively, for the first half of 2011.</w:t>
      </w:r>
    </w:p>
    <w:p>
      <w:pPr>
        <w:spacing w:after="0" w:line="3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Similar to the first three months of 2011, long-term Treasury yields experienced volatility in the second quarter, as investors periodically sought the safety of U.S. government bonds. Disappointing economic data and reductions in U.S. GDP growth estimates in May and early June drove long-term yields to their lowest levels in several months. Rates steadied toward the end of the quarter, however, as market anxieties regarding recent global developments diminished somewhat, and the Federal Reserve reassured investors that they would keep the fed funds target rate very low “for an extended period” of time. The yield on the benchmark 10-year bond decreased 29 basis points during the quarter to 3.18% at June 30, 2011.</w:t>
      </w:r>
    </w:p>
    <w:p>
      <w:pPr>
        <w:spacing w:after="0" w:line="64"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U.S. fixed income securities experienced good returns in the second quarter of 2011. Municipal bonds led the way as demand improved and fears of default subsided. Returns on high yield securities lagged others amid a large supply and equity market weakness; however, they still outperformed investment-grade issues for the first half of 2011. For the quarter, the Barclays Capital U.S. Aggregate Index gained 2.3% while the Credit Suisse High Yield Index gained</w:t>
      </w:r>
    </w:p>
    <w:p>
      <w:pPr>
        <w:ind w:right="160"/>
        <w:spacing w:after="0" w:line="323" w:lineRule="auto"/>
        <w:rPr>
          <w:sz w:val="20"/>
          <w:szCs w:val="20"/>
          <w:color w:val="auto"/>
        </w:rPr>
      </w:pPr>
      <w:r>
        <w:rPr>
          <w:rFonts w:ascii="Arial" w:cs="Arial" w:eastAsia="Arial" w:hAnsi="Arial"/>
          <w:sz w:val="16"/>
          <w:szCs w:val="16"/>
          <w:color w:val="auto"/>
        </w:rPr>
        <w:t>1.0%. These indexes are up 2.7% and 4.8%, respectively, for the first six months of 2011. The Barclays Capital Global Aggregate Ex-US Dollar Bond Index was up 3.7% in the second quarter of 2011, due in part to a weakening U.S. dollar, and the J.P. Morgan Emerging Markets Index Plus gained 4.3%.</w:t>
      </w:r>
    </w:p>
    <w:p>
      <w:pPr>
        <w:spacing w:after="0" w:line="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this volatile environment, investors added net inflows of $15.6 billion to our management during the first six months of 2011, including $9.8 billion in the second quarter. Assets under management totaled $520.9 billion at the end of the second quarter of 2011, an increase of $11.0 billion from the March 31, 2011 record level of $509.9 billion. The change (in billions) in 2011 occurred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800"/>
              <w:spacing w:after="0"/>
              <w:rPr>
                <w:sz w:val="20"/>
                <w:szCs w:val="20"/>
                <w:color w:val="auto"/>
              </w:rPr>
            </w:pPr>
            <w:r>
              <w:rPr>
                <w:rFonts w:ascii="Arial" w:cs="Arial" w:eastAsia="Arial" w:hAnsi="Arial"/>
                <w:sz w:val="14"/>
                <w:szCs w:val="14"/>
                <w:color w:val="auto"/>
                <w:w w:val="92"/>
              </w:rPr>
              <w:t>Quarter</w:t>
            </w:r>
          </w:p>
        </w:tc>
        <w:tc>
          <w:tcPr>
            <w:tcW w:w="120" w:type="dxa"/>
            <w:vAlign w:val="bottom"/>
          </w:tcPr>
          <w:p>
            <w:pPr>
              <w:spacing w:after="0"/>
              <w:rPr>
                <w:sz w:val="14"/>
                <w:szCs w:val="14"/>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Quarter</w:t>
            </w: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6"/>
              </w:rPr>
              <w:t>First half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w w:val="87"/>
              </w:rPr>
              <w:t>ended</w:t>
            </w:r>
          </w:p>
        </w:tc>
        <w:tc>
          <w:tcPr>
            <w:tcW w:w="12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7"/>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3/31/2011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6/30/2011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6/30/2011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w:t>
            </w:r>
          </w:p>
        </w:tc>
        <w:tc>
          <w:tcPr>
            <w:tcW w:w="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Assets under management at June 30, 2011, include $388.6 billion in stock and blended asset investment portfolios and $132.3 billion in fixed income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investment portfolios. The investment portfolios that we manage consist of $305.6 billion in the T. Rowe Price mutual funds distributed in the U.S.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$215.3 billion in other investment portfolios, including separately managed accounts, sub-advised funds, and other sponsored investment portfolios including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trust funds and mutual funds offered to investors outside the U.S. and through variable annuity life insurance plans.</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2011 versus second quarter 2010.</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Investment advisory revenues increased 24.3%, or $119.7 million, to $611.7 million in the second quarter of 2011 as average assets under our management increased $101.4 billion to $514.9 billion. The average annualized fee rate of 47.7 basis points earned on our assets under management during the second quarter of 2011 was unchanged from the rate earned in the 2010 quarter, and down slightly from the fee rate of 47.9 basis points earned in the first quarter 2011. We continue to voluntarily waive money market fees to maintain a positive yield for fund investors. Fees of $8.3 million were waived in the second quarter of 2011, an increase of $1.9 million from the fees waived in the comparable 2010 quarter. We anticipate such fee waivers could continue for the remainder of 2011.</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$136.3 million, or 23.6%, to $713.7 million. Operating expenses of $387.1 million in the second quarter of 2011 were up</w:t>
      </w:r>
    </w:p>
    <w:p>
      <w:pPr>
        <w:spacing w:after="0" w:line="35"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$62.8 million, or 19.4% from the comparable 2010 quarter. Overall, net operating income of $326.6 million for the second quarter of 2011 was 29% higher than the $253.1 million earned in the 2010 quarter. The increase in our average assets under management and resulting advisory revenue increased our operating margin for the second quarter of 2011 to 45.8% from 43.8% in the comparable 2010 quarter. Net income increased $46.2 million from the second quarter of 2010 to $204.7 million and diluted earnings per share on our common stock increased 28.8% to $.76 from $.59 in the 2010 quarter.</w:t>
      </w:r>
    </w:p>
    <w:p>
      <w:pPr>
        <w:spacing w:after="0" w:line="5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Investment advisory revenues earned from the T. Rowe Price mutual funds distributed in the U.S. increased 22.0%, or $75.3 million, to $418.1 million. Average mutual fund assets under management in the second quarter of 2011 were $302.6 billion, an increase of 22.3% from the average for the comparable 2010 quarter. Mutual fund assets at June 30, 2011 were $305.6 billion, an increase of $5.4 billion from the end of March 2011.</w:t>
      </w:r>
    </w:p>
    <w:p>
      <w:pPr>
        <w:spacing w:after="0" w:line="5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Net inflows to the sponsored mutual funds were $4.6 billion during the second quarter of 2011, including $2.2 billion added to the stock and blended asset funds, $2.2 billion added to the bond funds, and $.2 billion added to the money market funds. The Institutional Floating Rate, New Income, Equity Income, International Stock, and U.S. Bond Index funds each received net inflows of more than $400 million for a total of $2.7 billion during the 2011 quarter. Net inflows of $1.9 billion originated in our target-date retirement funds, which had total assets under management at June 30, 2011 of $63.5 billion. Market appreciation and income increased our mutual fund assets under management by $800 million during the second quarter of 2011.</w:t>
      </w:r>
    </w:p>
    <w:p>
      <w:pPr>
        <w:spacing w:after="0" w:line="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Investment advisory revenues earned on the other investment portfolios that we manage increased $44.4 million, or 29.8%, from the second quarter of 2010, to $193.6 million. Average assets in these portfolios were $212.3 billion during the second quarter of 2011, an increase of $46.2 billion, or 27.8%, from the 2010 quarter. Ending assets at June 30, 2011 were $215.3 billion, up $5.6 billion from the end of March 2011. Net inflows, primarily from third party financial intermediaries, were $5.2 billion for the second quarter of 2011. Market appreciation and income increased assets under management in these portfolios by $400 million.</w:t>
      </w:r>
    </w:p>
    <w:p>
      <w:pPr>
        <w:spacing w:after="0" w:line="8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Administrative fees were up $16.7 million, or 19.7%, from the second quarter of 2010, including a $6.5 million increase in our mutual fund servicing revenue that is generally offset by a similar charge in the related operating expenses that are incurred to provide such services. The change also includes an increase of $10.7 million in 12b-1 distribution and service fees earned on the Advisor and R classes of our sponsored mutual funds, and is entirely offset by the increase in related operating expenses incurred to distribute Advisor and R class shares through third party intermediaries. The increase in 12b-1 fees includes</w:t>
      </w:r>
    </w:p>
    <w:p>
      <w:pPr>
        <w:spacing w:after="0" w:line="2"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$2.6 million based on greater fund assets under management and $8.1 million earned on R class shares in the second quarter of 2011 for which the comparable 2010 quarter fees were netted against related distribution expenses.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Compensation and related costs increased $33.7 million, or 15.7%, compared to the second quarter of 2010. Almost half of this increase is attributable to an increase in our annual variable compensation programs, which are based on our operating results and other factors such as our relative risk-adjusted investment performance, and the quality of our client service. The change also includes an increase of $12.8 million in salaries expense and employee benefits from the 2010 quarter, which results from an increase in our average staff size of 6.2% coupled with an increase in our associates’ base salaries at the beginning of the year. Increases in temporary staffing expenses, non-cash stock-based compensation expense, and other employee costs make up the balance of the change from the 2010 period. At June 30, 2011, we employed 5,162 associates, up 2.2% from the 5,052 associated employed at the end of 2010.</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t>Advertising and promotion expenditures were $20.6 million, up 2.5%, compared to the second quarter of 2010 in response to investor interest. We currently expect that our advertising and promotion expenditures in the third quarter of 2011 will be comparable to the second quarter of this year, while our spending for the full year 2011 could increase about 15% from 2010. We vary our level of spending based on market conditions and investor demand as well as our efforts to expand our investor base in the U.S. and abroad.</w:t>
      </w:r>
    </w:p>
    <w:p>
      <w:pPr>
        <w:spacing w:after="0" w:line="7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Occupancy and facility costs together with depreciation and amortization expense were up $5.5 million, or 13.3%, versus the 2010 quarter. The change includes the impact of placing our new technology support facility into service in February 2011, as well as higher operating costs for our existing facilities and the added cost to update our technology capabilities, including related maintenance programs, to meet increasing business demands.</w:t>
      </w:r>
    </w:p>
    <w:p>
      <w:pPr>
        <w:spacing w:after="0" w:line="3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operating expenses were up $23.1 million, or 48.3%, from the second quarter of 2010, including rising consulting and professional fees, travel expenses, and other costs incurred to meet increased business demands. The change also includes an increase of $10.7 million in distribution expenses recognized on fees paid to financial intermediaries for sourcing assets into the Advisor and R classes of the T. Rowe Price funds, and is entirely offset by the increase in administrative revenues from 12b-1 fees. This increase in distribution expenses includes $2.6 million based on greater fund assets under management and $8.1 million incurred on R class shares in the second quarter of 2011 for which the comparable 2010 expenses were netted against related 12b-1 revenues.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non-operating investment activity, which includes interest income as well as the recognition of investment gains and losses, was up $1.7 million from the comparable 2010 quarter. The change includes higher dividend income earned on our mutual fund investments and larger foreign currency transaction gains recognized in the second quarter of 2011. We recognized equity earnings from our investment in UTI of $1.3 million in the second quarter of 2011, an increase of $.3 million versus the second quarter of 2010.</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second quarter of 2011 provision for income taxes as a percentage of pretax income is 38.4%. We currently estimate that our effective tax rate for the 2011 year will be 38.2%.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half 2011 versus first half 2010.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were up 24.6%, or $236.7 million, to $1.2 billion as average assets under our management increased $101.5 billion to</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$506.7 billion. The average annualized fee rate earned on our assets under management was 47.8 basis points in the first half of 2011, down slightly from the 48.0 basis points earned during the comparable 2010 period and the 2010 year. We waived $15.3 million in money market advisory fees in the first six months of 2011, an increase of $2.1 million from the $13.2 million waived in the first half of 2010.</w:t>
      </w:r>
    </w:p>
    <w:p>
      <w:pPr>
        <w:spacing w:after="0" w:line="8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Net revenues increased 23.2%, or $262.5 million, to nearly $1.4 billion. Operating expenses were $758.0 million in the first half of 2011, up 18.1% or $116.2 million from the 2010 period. Overall, net operating income for the first half of 2011 increased $146.3 million, or 29.7%, to $638.1 million. The increase in our average assets under management and resulting advisory revenue increased our operating margin for the first six months of 2011 to 45.7% from 43.4% in the comparable 2010 period. Net income increased $87.8 million, or 28.2%, to $399.3 million for the first half of 2011, boosting diluted earnings per share up 27.4% to $1.49 from $1.17.</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22.5%, or $150.4 million, to</w:t>
      </w:r>
    </w:p>
    <w:p>
      <w:pPr>
        <w:spacing w:after="0" w:line="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$818.6 million. Average mutual fund assets were $297.3 billion in the first half of 2011, an increase of 22.6% over the average for the 2010 period. Mutual fund assets increased $23.0 billion during the first half of 2011 to $305.6 billion at June 30, 2011.</w:t>
      </w:r>
    </w:p>
    <w:p>
      <w:pPr>
        <w:spacing w:after="0" w:line="7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Net inflows to the mutual funds were $9.0 billion during the first half of 2011, including $4.4 billion that originated in our target-date Retirement Funds. Our stock and blended asset funds had net inflows of $5.1 billion and our bond funds added $4.0 billion. The New Income Fund added $1.4 billion of net investments while the Equity Income and Institutional Floating Rate funds combined to account for net inflows of $2.2 billion; each adding more than $1.0 billion. Our money market funds had net outflows of $100 million. Higher market valuations and income increased fund assets by $14.0 billion.</w:t>
      </w:r>
    </w:p>
    <w:p>
      <w:pPr>
        <w:spacing w:after="0" w:line="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Investment advisory revenues earned on the other investment portfolios that we manage increased $86.3 million, or 29.2%, to $381.9 million. Average assets in these portfolios were $209.4 billion in the first half of 2011, up 28.6% from the average in the comparable 2010 period. Net inflows were $6.6 billion for the first six months of 2011. Strong net inflows into our sub-advised funds from third party financial intermediaries and into our other sponsored portfolios were partially offset by net outflows from a few institutional investors who restructured their equity investment portfolios. Market appreciation and income increased assets under management in these portfolios by $9.3 billion.</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Administrative fees increased $26.2 million, or 15.6%, to $194.5 million. The change in these revenues includes $13.4 million from our mutual fund servicing activities. The balance of the increase is primarily attributable to the $13.2 million increase in 12b-1 distribution fees earned on the Advisor and R classes of our sponsored mutual fund shares. The year-to-date 2011 increase includes $5.1 million based on greater fund assets under management and $8.1 million earned on R class shares in the second quarter of 2011 for which the comparable 2010 quarter fees were netted against related distribution expenses.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right="200"/>
        <w:spacing w:after="0" w:line="302" w:lineRule="auto"/>
        <w:rPr>
          <w:sz w:val="20"/>
          <w:szCs w:val="20"/>
          <w:color w:val="auto"/>
        </w:rPr>
      </w:pPr>
      <w:r>
        <w:rPr>
          <w:rFonts w:ascii="Arial" w:cs="Arial" w:eastAsia="Arial" w:hAnsi="Arial"/>
          <w:sz w:val="16"/>
          <w:szCs w:val="16"/>
          <w:color w:val="auto"/>
        </w:rPr>
        <w:t>Our largest expense, compensation and related costs, increased $68.9 million or 16.3% over the comparable 2010 period. The largest part of the increase is attributable to a $31.0 million increase to our interim annual variable compensation accrual and an increase of $24.5 million in salaries and related benefits. Our average number of associates has increased 6.3% from the comparable 2010 period. Higher temporary staffing expenses, non-cash stock-based compensation expense, and other employee costs account for the remainder of the increase in our compensation and related costs.</w:t>
      </w:r>
    </w:p>
    <w:p>
      <w:pPr>
        <w:spacing w:after="0" w:line="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Occupancy and facility costs together with depreciation expense increased $8.7 million. Our operating costs for technology and other equipment, maintenance and other rented facility costs have increased as we continue to invest in our capabilities to meet increasing business needs.</w:t>
      </w:r>
    </w:p>
    <w:p>
      <w:pPr>
        <w:spacing w:after="0" w:line="3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Other operating expenses were up $36.2 million, or 38.9%, from the first half of 2010, including rising consulting and professional fees, information services, travel expenses, and other costs incurred to meet increased business demands. The change also includes an increase of $13.2 million in distribution expenses recognized on fees paid to financial intermediaries for sourcing assets into the Advisor and R classes of the T. Rowe Price funds. This year-to-date increase includes $5.1 million based on greater fund assets under management and $8.1 million incurred on R class shares in the second quarter of 2011 for which the comparable 2010 expenses were netted against related 12b-1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Operating activities during the first six months of 2011 provided cash flows of $610.5 million, up $158.3 million from the 2010 period, including an</w:t>
      </w:r>
    </w:p>
    <w:p>
      <w:pPr>
        <w:spacing w:after="0" w:line="3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$87.8 million increase in net income and a $6.9 million increase in non-cash expenses for depreciation, amortization and stock-based compensation. Timing differences in the cash settlement of our assets and liabilities increased our cash flows by $63.6 million compared to the first six months of 2010. Our interim operating cash flows do not include variable compensation that is accrued throughout the year before being substantially paid out in December.</w:t>
      </w:r>
    </w:p>
    <w:p>
      <w:pPr>
        <w:spacing w:after="0" w:line="4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Net cash used in investing activities totaled $66.4 million in the first half of 2011, down $156.6 million from the 2010 period. The 2010 period included our $143.6 million purchase of a 26% equity interest in UTI. Our capital spending for property and equipment decreased $35.0 million from the 2010 period primarily because we completed the construction of our technology support facility in late 2010. These reductions in cash outflows period over period were offset by a $23.5 million increase in net new investments into our sponsored mutual funds and in debt securities held by our savings bank subsidiary.</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financing activities was $334.5 million in the first six months of 2011, an increase of $97.1 million from the 2010 period. A larger number of shares repurchased combined with a higher price per common share resulted in an $80.8 million increase over the comparable 2010 period in the amount expended on stock repurchases. Additionally, dividends paid during the first half of 2011 increased $20.9 million from the 2010 period due primarily to a $.04 increase in our quarterly per-share dividend. The increase in the dividends paid and amount expended on share repurchases was partially offset by the change in cash flows from our savings bank deposits.</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cash and mutual fund investments at June 30, 2011 were more than $1.8 billion, and we have no debt. Given the availability of these financial resources, we do not maintain an available external source of liquidity. We anticipate property and equipment expenditures for the full year 2011 to be about $106 million and expect to fund them from our cash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May 2011, the FASB issued amended guidance clarifying how to measure and disclose fair value. Although we continue to evaluate the impact, we do not believe the adoption of such amended guidance on January 1, 2012 will have a significant effect on our consolidated financial statements.</w:t>
      </w:r>
    </w:p>
    <w:p>
      <w:pPr>
        <w:spacing w:after="0" w:line="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also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and investments,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2010.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and changes in their market valuations.</w:t>
      </w:r>
    </w:p>
    <w:p>
      <w:pPr>
        <w:spacing w:after="0" w:line="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2011. Based on that evaluation, our principal executive and principal financial officers have concluded that our disclosure controls and procedures as of June 30, 2011,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2011, and has concluded that there was no change during the second quarter of 2011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2011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color w:val="auto"/>
                <w:w w:val="95"/>
              </w:rPr>
              <w:t>Total Number of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6"/>
              </w:rPr>
              <w:t>Shares Purchased as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5"/>
              </w:rPr>
              <w:t>Total Number of</w:t>
            </w:r>
          </w:p>
        </w:tc>
        <w:tc>
          <w:tcPr>
            <w:tcW w:w="28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Price</w:t>
            </w:r>
          </w:p>
        </w:tc>
        <w:tc>
          <w:tcPr>
            <w:tcW w:w="17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8"/>
              </w:rPr>
              <w:t>Part of Publicly</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Be Purchased Under</w:t>
            </w:r>
          </w:p>
        </w:tc>
        <w:tc>
          <w:tcPr>
            <w:tcW w:w="0" w:type="dxa"/>
            <w:vAlign w:val="bottom"/>
          </w:tcPr>
          <w:p>
            <w:pPr>
              <w:spacing w:after="0"/>
              <w:rPr>
                <w:sz w:val="1"/>
                <w:szCs w:val="1"/>
                <w:color w:val="auto"/>
              </w:rPr>
            </w:pPr>
          </w:p>
        </w:tc>
      </w:tr>
      <w:tr>
        <w:trPr>
          <w:trHeight w:val="167"/>
        </w:trPr>
        <w:tc>
          <w:tcPr>
            <w:tcW w:w="4720" w:type="dxa"/>
            <w:vAlign w:val="bottom"/>
            <w:gridSpan w:val="2"/>
          </w:tcPr>
          <w:p>
            <w:pPr>
              <w:spacing w:after="0"/>
              <w:rPr>
                <w:sz w:val="20"/>
                <w:szCs w:val="20"/>
                <w:color w:val="auto"/>
              </w:rPr>
            </w:pPr>
            <w:r>
              <w:rPr>
                <w:rFonts w:ascii="Arial" w:cs="Arial" w:eastAsia="Arial" w:hAnsi="Arial"/>
                <w:sz w:val="14"/>
                <w:szCs w:val="14"/>
                <w:color w:val="auto"/>
              </w:rPr>
              <w:t>Month</w:t>
            </w:r>
          </w:p>
        </w:tc>
        <w:tc>
          <w:tcPr>
            <w:tcW w:w="56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color w:val="auto"/>
                <w:w w:val="88"/>
              </w:rPr>
              <w:t>Shares Purchased</w:t>
            </w:r>
          </w:p>
        </w:tc>
        <w:tc>
          <w:tcPr>
            <w:tcW w:w="1700" w:type="dxa"/>
            <w:vAlign w:val="bottom"/>
            <w:gridSpan w:val="4"/>
          </w:tcPr>
          <w:p>
            <w:pPr>
              <w:ind w:left="280"/>
              <w:spacing w:after="0"/>
              <w:rPr>
                <w:sz w:val="20"/>
                <w:szCs w:val="20"/>
                <w:color w:val="auto"/>
              </w:rPr>
            </w:pPr>
            <w:r>
              <w:rPr>
                <w:rFonts w:ascii="Arial" w:cs="Arial" w:eastAsia="Arial" w:hAnsi="Arial"/>
                <w:sz w:val="14"/>
                <w:szCs w:val="14"/>
                <w:color w:val="auto"/>
              </w:rPr>
              <w:t>Paid per Share</w:t>
            </w: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Announced Program</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the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April</w:t>
            </w:r>
          </w:p>
        </w:tc>
        <w:tc>
          <w:tcPr>
            <w:tcW w:w="5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37,107</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5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May</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1,299,101</w:t>
            </w:r>
          </w:p>
        </w:tc>
        <w:tc>
          <w:tcPr>
            <w:tcW w:w="28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62.44</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1,277,189</w:t>
            </w:r>
          </w:p>
        </w:tc>
        <w:tc>
          <w:tcPr>
            <w:tcW w:w="5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20,633,721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June</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2,252,758</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18,383,721</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3,588,966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59.58</w:t>
            </w:r>
          </w:p>
        </w:tc>
        <w:tc>
          <w:tcPr>
            <w:tcW w:w="5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3,527,189</w:t>
            </w: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and pre-existing outstanding shares surrendered to the company to pay the exercise price in connection with swap exercises of employee stock options. Of the shares repurchased in the second quarter of 2011, 3,527,189 were repurchased pursuant to the Board of Directors’ June 5, 2008 publicly announced authorization. All other shares repurchased during the quarter related to swap exercises.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July 26, 2011, we issued a press release reporting our results of operations for the second quarter and the first six months of 2011.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3(i).1</w:t>
            </w:r>
          </w:p>
        </w:tc>
        <w:tc>
          <w:tcPr>
            <w:tcW w:w="10600" w:type="dxa"/>
            <w:vAlign w:val="bottom"/>
          </w:tcPr>
          <w:p>
            <w:pPr>
              <w:ind w:left="30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 Form 10-</w:t>
            </w:r>
          </w:p>
        </w:tc>
      </w:tr>
      <w:tr>
        <w:trPr>
          <w:trHeight w:val="230"/>
        </w:trPr>
        <w:tc>
          <w:tcPr>
            <w:tcW w:w="740" w:type="dxa"/>
            <w:vAlign w:val="bottom"/>
          </w:tcPr>
          <w:p>
            <w:pPr>
              <w:spacing w:after="0"/>
              <w:rPr>
                <w:sz w:val="20"/>
                <w:szCs w:val="20"/>
                <w:color w:val="auto"/>
              </w:rPr>
            </w:pPr>
          </w:p>
        </w:tc>
        <w:tc>
          <w:tcPr>
            <w:tcW w:w="10600" w:type="dxa"/>
            <w:vAlign w:val="bottom"/>
          </w:tcPr>
          <w:p>
            <w:pPr>
              <w:ind w:left="300"/>
              <w:spacing w:after="0"/>
              <w:rPr>
                <w:sz w:val="20"/>
                <w:szCs w:val="20"/>
                <w:color w:val="auto"/>
              </w:rPr>
            </w:pPr>
            <w:r>
              <w:rPr>
                <w:rFonts w:ascii="Arial" w:cs="Arial" w:eastAsia="Arial" w:hAnsi="Arial"/>
                <w:sz w:val="18"/>
                <w:szCs w:val="18"/>
                <w:color w:val="auto"/>
              </w:rPr>
              <w:t>Q Report for the quarterly period ended March 31, 2008 filed on April 10, 2008; File No. 033-07012-99).</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3(ii)</w:t>
            </w:r>
          </w:p>
        </w:tc>
        <w:tc>
          <w:tcPr>
            <w:tcW w:w="10600" w:type="dxa"/>
            <w:vAlign w:val="bottom"/>
          </w:tcPr>
          <w:p>
            <w:pPr>
              <w:ind w:left="300"/>
              <w:spacing w:after="0"/>
              <w:rPr>
                <w:sz w:val="20"/>
                <w:szCs w:val="20"/>
                <w:color w:val="auto"/>
              </w:rPr>
            </w:pPr>
            <w:r>
              <w:rPr>
                <w:rFonts w:ascii="Arial" w:cs="Arial" w:eastAsia="Arial" w:hAnsi="Arial"/>
                <w:sz w:val="18"/>
                <w:szCs w:val="18"/>
                <w:color w:val="auto"/>
                <w:w w:val="93"/>
              </w:rPr>
              <w:t>Amended and Restated By-Laws of T. Rowe Price Group, Inc. as of February 12, 2009. (Incorporated by reference from Form 8-K Current</w:t>
            </w:r>
          </w:p>
        </w:tc>
      </w:tr>
      <w:tr>
        <w:trPr>
          <w:trHeight w:val="230"/>
        </w:trPr>
        <w:tc>
          <w:tcPr>
            <w:tcW w:w="740" w:type="dxa"/>
            <w:vAlign w:val="bottom"/>
          </w:tcPr>
          <w:p>
            <w:pPr>
              <w:spacing w:after="0"/>
              <w:rPr>
                <w:sz w:val="20"/>
                <w:szCs w:val="20"/>
                <w:color w:val="auto"/>
              </w:rPr>
            </w:pPr>
          </w:p>
        </w:tc>
        <w:tc>
          <w:tcPr>
            <w:tcW w:w="10600" w:type="dxa"/>
            <w:vAlign w:val="bottom"/>
          </w:tcPr>
          <w:p>
            <w:pPr>
              <w:ind w:left="300"/>
              <w:spacing w:after="0"/>
              <w:rPr>
                <w:sz w:val="20"/>
                <w:szCs w:val="20"/>
                <w:color w:val="auto"/>
              </w:rPr>
            </w:pPr>
            <w:r>
              <w:rPr>
                <w:rFonts w:ascii="Arial" w:cs="Arial" w:eastAsia="Arial" w:hAnsi="Arial"/>
                <w:sz w:val="18"/>
                <w:szCs w:val="18"/>
                <w:color w:val="auto"/>
              </w:rPr>
              <w:t>Report file on February 17, 2009; File No. 033-07012-99).</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10.03</w:t>
            </w:r>
          </w:p>
        </w:tc>
        <w:tc>
          <w:tcPr>
            <w:tcW w:w="10600" w:type="dxa"/>
            <w:vAlign w:val="bottom"/>
          </w:tcPr>
          <w:p>
            <w:pPr>
              <w:ind w:left="300"/>
              <w:spacing w:after="0"/>
              <w:rPr>
                <w:sz w:val="20"/>
                <w:szCs w:val="20"/>
                <w:color w:val="auto"/>
              </w:rPr>
            </w:pPr>
            <w:r>
              <w:rPr>
                <w:rFonts w:ascii="Arial" w:cs="Arial" w:eastAsia="Arial" w:hAnsi="Arial"/>
                <w:sz w:val="18"/>
                <w:szCs w:val="18"/>
                <w:color w:val="auto"/>
                <w:w w:val="97"/>
              </w:rPr>
              <w:t>Transfer Agency and Service Agreement as of January 1, 2011, between T. Rowe Price Services, Inc. and the T. Rowe Price Funds.</w:t>
            </w:r>
          </w:p>
        </w:tc>
      </w:tr>
      <w:tr>
        <w:trPr>
          <w:trHeight w:val="230"/>
        </w:trPr>
        <w:tc>
          <w:tcPr>
            <w:tcW w:w="740" w:type="dxa"/>
            <w:vAlign w:val="bottom"/>
          </w:tcPr>
          <w:p>
            <w:pPr>
              <w:spacing w:after="0"/>
              <w:rPr>
                <w:sz w:val="20"/>
                <w:szCs w:val="20"/>
                <w:color w:val="auto"/>
              </w:rPr>
            </w:pPr>
          </w:p>
        </w:tc>
        <w:tc>
          <w:tcPr>
            <w:tcW w:w="10600" w:type="dxa"/>
            <w:vAlign w:val="bottom"/>
          </w:tcPr>
          <w:p>
            <w:pPr>
              <w:ind w:left="300"/>
              <w:spacing w:after="0"/>
              <w:rPr>
                <w:sz w:val="20"/>
                <w:szCs w:val="20"/>
                <w:color w:val="auto"/>
              </w:rPr>
            </w:pPr>
            <w:r>
              <w:rPr>
                <w:rFonts w:ascii="Arial" w:cs="Arial" w:eastAsia="Arial" w:hAnsi="Arial"/>
                <w:sz w:val="18"/>
                <w:szCs w:val="18"/>
                <w:color w:val="auto"/>
              </w:rPr>
              <w:t>(Incorporated by reference from Form 485BPOS filed on April 29, 2011; File No. 033-38791).</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10.04</w:t>
            </w:r>
          </w:p>
        </w:tc>
        <w:tc>
          <w:tcPr>
            <w:tcW w:w="10600" w:type="dxa"/>
            <w:vAlign w:val="bottom"/>
          </w:tcPr>
          <w:p>
            <w:pPr>
              <w:ind w:left="300"/>
              <w:spacing w:after="0"/>
              <w:rPr>
                <w:sz w:val="20"/>
                <w:szCs w:val="20"/>
                <w:color w:val="auto"/>
              </w:rPr>
            </w:pPr>
            <w:r>
              <w:rPr>
                <w:rFonts w:ascii="Arial" w:cs="Arial" w:eastAsia="Arial" w:hAnsi="Arial"/>
                <w:sz w:val="18"/>
                <w:szCs w:val="18"/>
                <w:color w:val="auto"/>
                <w:w w:val="89"/>
              </w:rPr>
              <w:t>Agreement as of January 1, 2011, between T. Rowe Price Retirement Plan Services, Inc. and certain of the T. Rowe Price Funds. (Incorporated</w:t>
            </w:r>
          </w:p>
        </w:tc>
      </w:tr>
      <w:tr>
        <w:trPr>
          <w:trHeight w:val="230"/>
        </w:trPr>
        <w:tc>
          <w:tcPr>
            <w:tcW w:w="740" w:type="dxa"/>
            <w:vAlign w:val="bottom"/>
          </w:tcPr>
          <w:p>
            <w:pPr>
              <w:spacing w:after="0"/>
              <w:rPr>
                <w:sz w:val="20"/>
                <w:szCs w:val="20"/>
                <w:color w:val="auto"/>
              </w:rPr>
            </w:pPr>
          </w:p>
        </w:tc>
        <w:tc>
          <w:tcPr>
            <w:tcW w:w="10600" w:type="dxa"/>
            <w:vAlign w:val="bottom"/>
          </w:tcPr>
          <w:p>
            <w:pPr>
              <w:ind w:left="300"/>
              <w:spacing w:after="0"/>
              <w:rPr>
                <w:sz w:val="20"/>
                <w:szCs w:val="20"/>
                <w:color w:val="auto"/>
              </w:rPr>
            </w:pPr>
            <w:r>
              <w:rPr>
                <w:rFonts w:ascii="Arial" w:cs="Arial" w:eastAsia="Arial" w:hAnsi="Arial"/>
                <w:sz w:val="18"/>
                <w:szCs w:val="18"/>
                <w:color w:val="auto"/>
              </w:rPr>
              <w:t>by reference from Form 485BPOS filed on April 29, 2011; File No. 033-38791).</w:t>
            </w:r>
          </w:p>
        </w:tc>
      </w:tr>
    </w:tbl>
    <w:p>
      <w:pPr>
        <w:spacing w:after="0" w:line="94" w:lineRule="exact"/>
        <w:rPr>
          <w:sz w:val="20"/>
          <w:szCs w:val="20"/>
          <w:color w:val="auto"/>
        </w:rPr>
      </w:pPr>
    </w:p>
    <w:p>
      <w:pPr>
        <w:ind w:left="1040" w:hanging="1032"/>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31(i).1</w:t>
      </w:r>
      <w:r>
        <w:rPr>
          <w:rFonts w:ascii="Arial" w:cs="Arial" w:eastAsia="Arial" w:hAnsi="Arial"/>
          <w:sz w:val="16"/>
          <w:szCs w:val="16"/>
          <w:color w:val="auto"/>
        </w:rPr>
        <w:t>Rule 13a-14(a) Certification of Principal Executive Officer.</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31(i).2</w:t>
      </w:r>
      <w:r>
        <w:rPr>
          <w:rFonts w:ascii="Arial" w:cs="Arial" w:eastAsia="Arial" w:hAnsi="Arial"/>
          <w:sz w:val="16"/>
          <w:szCs w:val="16"/>
          <w:color w:val="auto"/>
        </w:rPr>
        <w:t>Rule 13a-14(a) Certification of Principal Financial Officer.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50"/>
              <w:spacing w:after="0"/>
              <w:rPr>
                <w:sz w:val="20"/>
                <w:szCs w:val="20"/>
                <w:color w:val="auto"/>
              </w:rPr>
            </w:pPr>
            <w:r>
              <w:rPr>
                <w:rFonts w:ascii="Arial" w:cs="Arial" w:eastAsia="Arial" w:hAnsi="Arial"/>
                <w:sz w:val="18"/>
                <w:szCs w:val="18"/>
                <w:color w:val="auto"/>
                <w:w w:val="79"/>
              </w:rPr>
              <w:t>32</w:t>
            </w:r>
          </w:p>
        </w:tc>
        <w:tc>
          <w:tcPr>
            <w:tcW w:w="9400" w:type="dxa"/>
            <w:vAlign w:val="bottom"/>
          </w:tcPr>
          <w:p>
            <w:pPr>
              <w:ind w:left="420"/>
              <w:spacing w:after="0"/>
              <w:rPr>
                <w:sz w:val="20"/>
                <w:szCs w:val="20"/>
                <w:color w:val="auto"/>
              </w:rPr>
            </w:pPr>
            <w:r>
              <w:rPr>
                <w:rFonts w:ascii="Arial" w:cs="Arial" w:eastAsia="Arial" w:hAnsi="Arial"/>
                <w:sz w:val="18"/>
                <w:szCs w:val="18"/>
                <w:color w:val="auto"/>
              </w:rPr>
              <w:t>Section 1350 Certifications.</w:t>
            </w:r>
          </w:p>
        </w:tc>
      </w:tr>
      <w:tr>
        <w:trPr>
          <w:trHeight w:val="324"/>
        </w:trPr>
        <w:tc>
          <w:tcPr>
            <w:tcW w:w="620" w:type="dxa"/>
            <w:vAlign w:val="bottom"/>
          </w:tcPr>
          <w:p>
            <w:pPr>
              <w:jc w:val="right"/>
              <w:ind w:right="350"/>
              <w:spacing w:after="0"/>
              <w:rPr>
                <w:sz w:val="20"/>
                <w:szCs w:val="20"/>
                <w:color w:val="auto"/>
              </w:rPr>
            </w:pPr>
            <w:r>
              <w:rPr>
                <w:rFonts w:ascii="Arial" w:cs="Arial" w:eastAsia="Arial" w:hAnsi="Arial"/>
                <w:sz w:val="18"/>
                <w:szCs w:val="18"/>
                <w:color w:val="auto"/>
                <w:w w:val="79"/>
              </w:rPr>
              <w:t>99</w:t>
            </w:r>
          </w:p>
        </w:tc>
        <w:tc>
          <w:tcPr>
            <w:tcW w:w="9400" w:type="dxa"/>
            <w:vAlign w:val="bottom"/>
          </w:tcPr>
          <w:p>
            <w:pPr>
              <w:ind w:left="420"/>
              <w:spacing w:after="0"/>
              <w:rPr>
                <w:sz w:val="20"/>
                <w:szCs w:val="20"/>
                <w:color w:val="auto"/>
              </w:rPr>
            </w:pPr>
            <w:r>
              <w:rPr>
                <w:rFonts w:ascii="Arial" w:cs="Arial" w:eastAsia="Arial" w:hAnsi="Arial"/>
                <w:sz w:val="18"/>
                <w:szCs w:val="18"/>
                <w:color w:val="auto"/>
                <w:w w:val="89"/>
              </w:rPr>
              <w:t>Press release issued July 26, 2011, reporting our results of operations for the second quarter and the first six months of 2011.</w:t>
            </w:r>
          </w:p>
        </w:tc>
      </w:tr>
    </w:tbl>
    <w:p>
      <w:pPr>
        <w:spacing w:after="0" w:line="94" w:lineRule="exact"/>
        <w:rPr>
          <w:sz w:val="20"/>
          <w:szCs w:val="20"/>
          <w:color w:val="auto"/>
        </w:rPr>
      </w:pPr>
    </w:p>
    <w:p>
      <w:pPr>
        <w:jc w:val="both"/>
        <w:ind w:left="1040" w:right="160" w:hanging="1032"/>
        <w:spacing w:after="0" w:line="264"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ind w:left="1040"/>
              <w:spacing w:after="0"/>
              <w:rPr>
                <w:sz w:val="20"/>
                <w:szCs w:val="20"/>
                <w:color w:val="auto"/>
              </w:rPr>
            </w:pPr>
            <w:r>
              <w:rPr>
                <w:rFonts w:ascii="Arial" w:cs="Arial" w:eastAsia="Arial" w:hAnsi="Arial"/>
                <w:sz w:val="18"/>
                <w:szCs w:val="18"/>
                <w:color w:val="auto"/>
              </w:rPr>
              <w:t>101.INS</w:t>
            </w:r>
          </w:p>
        </w:tc>
        <w:tc>
          <w:tcPr>
            <w:tcW w:w="9540" w:type="dxa"/>
            <w:vAlign w:val="bottom"/>
          </w:tcPr>
          <w:p>
            <w:pPr>
              <w:ind w:left="140"/>
              <w:spacing w:after="0"/>
              <w:rPr>
                <w:sz w:val="20"/>
                <w:szCs w:val="20"/>
                <w:color w:val="auto"/>
              </w:rPr>
            </w:pPr>
            <w:r>
              <w:rPr>
                <w:rFonts w:ascii="Arial" w:cs="Arial" w:eastAsia="Arial" w:hAnsi="Arial"/>
                <w:sz w:val="18"/>
                <w:szCs w:val="18"/>
                <w:color w:val="auto"/>
              </w:rPr>
              <w:t>XBRL Instance Document (File name: trow-20110630.xml).</w:t>
            </w:r>
          </w:p>
        </w:tc>
      </w:tr>
      <w:tr>
        <w:trPr>
          <w:trHeight w:val="324"/>
        </w:trPr>
        <w:tc>
          <w:tcPr>
            <w:tcW w:w="1880" w:type="dxa"/>
            <w:vAlign w:val="bottom"/>
          </w:tcPr>
          <w:p>
            <w:pPr>
              <w:ind w:left="1040"/>
              <w:spacing w:after="0"/>
              <w:rPr>
                <w:sz w:val="20"/>
                <w:szCs w:val="20"/>
                <w:color w:val="auto"/>
              </w:rPr>
            </w:pPr>
            <w:r>
              <w:rPr>
                <w:rFonts w:ascii="Arial" w:cs="Arial" w:eastAsia="Arial" w:hAnsi="Arial"/>
                <w:sz w:val="18"/>
                <w:szCs w:val="18"/>
                <w:color w:val="auto"/>
              </w:rPr>
              <w:t>101.SCH</w:t>
            </w:r>
          </w:p>
        </w:tc>
        <w:tc>
          <w:tcPr>
            <w:tcW w:w="95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 (File name: trow-20110630.xsd).</w:t>
            </w:r>
          </w:p>
        </w:tc>
      </w:tr>
      <w:tr>
        <w:trPr>
          <w:trHeight w:val="324"/>
        </w:trPr>
        <w:tc>
          <w:tcPr>
            <w:tcW w:w="1880" w:type="dxa"/>
            <w:vAlign w:val="bottom"/>
          </w:tcPr>
          <w:p>
            <w:pPr>
              <w:ind w:left="1040"/>
              <w:spacing w:after="0"/>
              <w:rPr>
                <w:sz w:val="20"/>
                <w:szCs w:val="20"/>
                <w:color w:val="auto"/>
              </w:rPr>
            </w:pPr>
            <w:r>
              <w:rPr>
                <w:rFonts w:ascii="Arial" w:cs="Arial" w:eastAsia="Arial" w:hAnsi="Arial"/>
                <w:sz w:val="18"/>
                <w:szCs w:val="18"/>
                <w:color w:val="auto"/>
              </w:rPr>
              <w:t>101.CAL</w:t>
            </w:r>
          </w:p>
        </w:tc>
        <w:tc>
          <w:tcPr>
            <w:tcW w:w="954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 (File name: trow-20110630_cal.xml).</w:t>
            </w:r>
          </w:p>
        </w:tc>
      </w:tr>
      <w:tr>
        <w:trPr>
          <w:trHeight w:val="324"/>
        </w:trPr>
        <w:tc>
          <w:tcPr>
            <w:tcW w:w="1880" w:type="dxa"/>
            <w:vAlign w:val="bottom"/>
          </w:tcPr>
          <w:p>
            <w:pPr>
              <w:ind w:left="1040"/>
              <w:spacing w:after="0"/>
              <w:rPr>
                <w:sz w:val="20"/>
                <w:szCs w:val="20"/>
                <w:color w:val="auto"/>
              </w:rPr>
            </w:pPr>
            <w:r>
              <w:rPr>
                <w:rFonts w:ascii="Arial" w:cs="Arial" w:eastAsia="Arial" w:hAnsi="Arial"/>
                <w:sz w:val="18"/>
                <w:szCs w:val="18"/>
                <w:color w:val="auto"/>
              </w:rPr>
              <w:t>101.LAB</w:t>
            </w:r>
          </w:p>
        </w:tc>
        <w:tc>
          <w:tcPr>
            <w:tcW w:w="9540" w:type="dxa"/>
            <w:vAlign w:val="bottom"/>
          </w:tcPr>
          <w:p>
            <w:pPr>
              <w:ind w:left="140"/>
              <w:spacing w:after="0"/>
              <w:rPr>
                <w:sz w:val="20"/>
                <w:szCs w:val="20"/>
                <w:color w:val="auto"/>
              </w:rPr>
            </w:pPr>
            <w:r>
              <w:rPr>
                <w:rFonts w:ascii="Arial" w:cs="Arial" w:eastAsia="Arial" w:hAnsi="Arial"/>
                <w:sz w:val="18"/>
                <w:szCs w:val="18"/>
                <w:color w:val="auto"/>
              </w:rPr>
              <w:t>XBRL Taxonomy Label Linkbase Document (File name: trow-20110630_lab.xml).</w:t>
            </w:r>
          </w:p>
        </w:tc>
      </w:tr>
      <w:tr>
        <w:trPr>
          <w:trHeight w:val="324"/>
        </w:trPr>
        <w:tc>
          <w:tcPr>
            <w:tcW w:w="1880" w:type="dxa"/>
            <w:vAlign w:val="bottom"/>
          </w:tcPr>
          <w:p>
            <w:pPr>
              <w:ind w:left="1040"/>
              <w:spacing w:after="0"/>
              <w:rPr>
                <w:sz w:val="20"/>
                <w:szCs w:val="20"/>
                <w:color w:val="auto"/>
              </w:rPr>
            </w:pPr>
            <w:r>
              <w:rPr>
                <w:rFonts w:ascii="Arial" w:cs="Arial" w:eastAsia="Arial" w:hAnsi="Arial"/>
                <w:sz w:val="18"/>
                <w:szCs w:val="18"/>
                <w:color w:val="auto"/>
              </w:rPr>
              <w:t>101.PRE</w:t>
            </w:r>
          </w:p>
        </w:tc>
        <w:tc>
          <w:tcPr>
            <w:tcW w:w="954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 (File name: trow-20110630_pre.xml).</w:t>
            </w:r>
          </w:p>
        </w:tc>
      </w:tr>
      <w:tr>
        <w:trPr>
          <w:trHeight w:val="324"/>
        </w:trPr>
        <w:tc>
          <w:tcPr>
            <w:tcW w:w="1880" w:type="dxa"/>
            <w:vAlign w:val="bottom"/>
          </w:tcPr>
          <w:p>
            <w:pPr>
              <w:ind w:left="1040"/>
              <w:spacing w:after="0"/>
              <w:rPr>
                <w:sz w:val="20"/>
                <w:szCs w:val="20"/>
                <w:color w:val="auto"/>
              </w:rPr>
            </w:pPr>
            <w:r>
              <w:rPr>
                <w:rFonts w:ascii="Arial" w:cs="Arial" w:eastAsia="Arial" w:hAnsi="Arial"/>
                <w:sz w:val="18"/>
                <w:szCs w:val="18"/>
                <w:color w:val="auto"/>
              </w:rPr>
              <w:t>101.DEF</w:t>
            </w:r>
          </w:p>
        </w:tc>
        <w:tc>
          <w:tcPr>
            <w:tcW w:w="9540" w:type="dxa"/>
            <w:vAlign w:val="bottom"/>
          </w:tcPr>
          <w:p>
            <w:pPr>
              <w:ind w:left="140"/>
              <w:spacing w:after="0"/>
              <w:rPr>
                <w:sz w:val="20"/>
                <w:szCs w:val="20"/>
                <w:color w:val="auto"/>
              </w:rPr>
            </w:pPr>
            <w:r>
              <w:rPr>
                <w:rFonts w:ascii="Arial" w:cs="Arial" w:eastAsia="Arial" w:hAnsi="Arial"/>
                <w:sz w:val="18"/>
                <w:szCs w:val="18"/>
                <w:color w:val="auto"/>
              </w:rPr>
              <w:t>XBRL Taxonomy Definition Linkbase Document (File name: trow-20110630_def.xml).</w:t>
            </w:r>
          </w:p>
        </w:tc>
      </w:tr>
      <w:tr>
        <w:trPr>
          <w:trHeight w:val="405"/>
        </w:trPr>
        <w:tc>
          <w:tcPr>
            <w:tcW w:w="1880" w:type="dxa"/>
            <w:vAlign w:val="bottom"/>
          </w:tcPr>
          <w:p>
            <w:pPr>
              <w:spacing w:after="0"/>
              <w:rPr>
                <w:sz w:val="24"/>
                <w:szCs w:val="24"/>
                <w:color w:val="auto"/>
              </w:rPr>
            </w:pPr>
          </w:p>
        </w:tc>
        <w:tc>
          <w:tcPr>
            <w:tcW w:w="9540" w:type="dxa"/>
            <w:vAlign w:val="bottom"/>
          </w:tcPr>
          <w:p>
            <w:pPr>
              <w:ind w:left="3540"/>
              <w:spacing w:after="0"/>
              <w:rPr>
                <w:sz w:val="20"/>
                <w:szCs w:val="20"/>
                <w:color w:val="auto"/>
              </w:rPr>
            </w:pPr>
            <w:r>
              <w:rPr>
                <w:rFonts w:ascii="Arial" w:cs="Arial" w:eastAsia="Arial" w:hAnsi="Arial"/>
                <w:sz w:val="18"/>
                <w:szCs w:val="18"/>
                <w:color w:val="auto"/>
              </w:rPr>
              <w:t>Page 17</w:t>
            </w:r>
          </w:p>
        </w:tc>
      </w:tr>
      <w:tr>
        <w:trPr>
          <w:trHeight w:val="226"/>
        </w:trPr>
        <w:tc>
          <w:tcPr>
            <w:tcW w:w="1880" w:type="dxa"/>
            <w:vAlign w:val="bottom"/>
            <w:tcBorders>
              <w:bottom w:val="single" w:sz="8" w:color="808080"/>
            </w:tcBorders>
          </w:tcPr>
          <w:p>
            <w:pPr>
              <w:spacing w:after="0"/>
              <w:rPr>
                <w:sz w:val="19"/>
                <w:szCs w:val="19"/>
                <w:color w:val="auto"/>
              </w:rPr>
            </w:pPr>
          </w:p>
        </w:tc>
        <w:tc>
          <w:tcPr>
            <w:tcW w:w="9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343" w:gutter="0" w:footer="0" w:header="0"/>
        </w:sectPr>
      </w:pPr>
    </w:p>
    <w:bookmarkStart w:id="17" w:name="page18"/>
    <w:bookmarkEnd w:id="1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26,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5558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20"/>
          </w:cols>
          <w:pgMar w:left="240" w:top="959" w:right="439" w:bottom="1440" w:gutter="0" w:footer="0" w:header="0"/>
        </w:sectPr>
      </w:pPr>
    </w:p>
    <w:bookmarkStart w:id="18" w:name="page19"/>
    <w:bookmarkEnd w:id="18"/>
    <w:p>
      <w:pPr>
        <w:jc w:val="center"/>
        <w:ind w:right="5320"/>
        <w:spacing w:after="0"/>
        <w:rPr>
          <w:sz w:val="20"/>
          <w:szCs w:val="20"/>
          <w:color w:val="auto"/>
        </w:rPr>
      </w:pPr>
      <w:r>
        <w:rPr>
          <w:rFonts w:ascii="Arial" w:cs="Arial" w:eastAsia="Arial" w:hAnsi="Arial"/>
          <w:sz w:val="16"/>
          <w:szCs w:val="16"/>
          <w:color w:val="auto"/>
        </w:rPr>
        <w:t>Exhibit 15 Letter from KPMG LLP, independent registered public accounting firm,</w:t>
      </w:r>
    </w:p>
    <w:p>
      <w:pPr>
        <w:spacing w:after="0" w:line="46" w:lineRule="exact"/>
        <w:rPr>
          <w:sz w:val="20"/>
          <w:szCs w:val="20"/>
          <w:color w:val="auto"/>
        </w:rPr>
      </w:pPr>
    </w:p>
    <w:p>
      <w:pPr>
        <w:jc w:val="center"/>
        <w:ind w:right="5420"/>
        <w:spacing w:after="0"/>
        <w:rPr>
          <w:sz w:val="20"/>
          <w:szCs w:val="20"/>
          <w:color w:val="auto"/>
        </w:rPr>
      </w:pPr>
      <w:r>
        <w:rPr>
          <w:rFonts w:ascii="Arial" w:cs="Arial" w:eastAsia="Arial" w:hAnsi="Arial"/>
          <w:sz w:val="18"/>
          <w:szCs w:val="18"/>
          <w:b w:val="1"/>
          <w:bCs w:val="1"/>
          <w:color w:val="auto"/>
        </w:rPr>
        <w:t>re unaudited interim 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No. 333-142092, and No. 333-167317.</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26, 2011 related to our review of interim financial information.</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2011</w:t>
      </w:r>
    </w:p>
    <w:p>
      <w:pPr>
        <w:sectPr>
          <w:pgSz w:w="11900" w:h="16838" w:orient="portrait"/>
          <w:cols w:equalWidth="0" w:num="1">
            <w:col w:w="11380"/>
          </w:cols>
          <w:pgMar w:left="240" w:top="125"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2011, of T. Rowe Price Group,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2011, of T. Rowe Price Group,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tabs>
          <w:tab w:leader="none" w:pos="766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2011, of T. Rowe Price Group, Inc., that:</w:t>
      </w:r>
    </w:p>
    <w:p>
      <w:pPr>
        <w:spacing w:after="0" w:line="6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20" w:firstLine="8"/>
        <w:spacing w:after="0" w:line="277" w:lineRule="auto"/>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121" w:right="2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706235" cy="814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623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5480"/>
        <w:spacing w:after="0" w:line="378" w:lineRule="auto"/>
        <w:rPr>
          <w:sz w:val="20"/>
          <w:szCs w:val="20"/>
          <w:color w:val="auto"/>
        </w:rPr>
      </w:pPr>
      <w:r>
        <w:rPr>
          <w:rFonts w:ascii="Arial" w:cs="Arial" w:eastAsia="Arial" w:hAnsi="Arial"/>
          <w:sz w:val="18"/>
          <w:szCs w:val="18"/>
          <w:b w:val="1"/>
          <w:bCs w:val="1"/>
          <w:color w:val="auto"/>
        </w:rPr>
        <w:t xml:space="preserve">T. ROWE PRICE GROUP REPORTS SECOND QUARTER 2011 RESULTS </w:t>
      </w:r>
      <w:r>
        <w:rPr>
          <w:rFonts w:ascii="Arial" w:cs="Arial" w:eastAsia="Arial" w:hAnsi="Arial"/>
          <w:sz w:val="18"/>
          <w:szCs w:val="18"/>
          <w:b w:val="1"/>
          <w:bCs w:val="1"/>
          <w:i w:val="1"/>
          <w:iCs w:val="1"/>
          <w:color w:val="auto"/>
        </w:rPr>
        <w:t>Assets Under Management Reach $521 Billion</w:t>
      </w:r>
    </w:p>
    <w:p>
      <w:pPr>
        <w:ind w:right="20"/>
        <w:spacing w:after="0" w:line="264" w:lineRule="auto"/>
        <w:rPr>
          <w:sz w:val="20"/>
          <w:szCs w:val="20"/>
          <w:color w:val="auto"/>
        </w:rPr>
      </w:pPr>
      <w:r>
        <w:rPr>
          <w:rFonts w:ascii="Arial" w:cs="Arial" w:eastAsia="Arial" w:hAnsi="Arial"/>
          <w:sz w:val="18"/>
          <w:szCs w:val="18"/>
          <w:color w:val="auto"/>
        </w:rPr>
        <w:t>BALTIMORE (July 26, 2011) — T. Rowe Price Group, Inc. (NASDAQ-GS: TROW) today reported its second quarter 2011 results, including net revenues of $713.7 million, net income of $204.7 million, and diluted earnings per common share of $.76, an increase of 29% from the $.59 per share in the comparable 2010 quarter. Net revenues were $577.4 million in the second quarter of 2010, and net income was $158.5 million.</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Assets under management increased $11.0 billion from $509.9 billion at March 31, 2011, to a record $520.9 billion at June 30, 2011, including $305.6 billion in the T. Rowe Price mutual funds distributed in the United States and $215.3 billion in other managed investment portfolios. Net cash inflows in the second quarter of 2011 totaled $9.8 billion, and market appreciation and income added $1.2 billion to assets under management. Investment advisory revenues increased 24%, or $119.7 million, from the comparable 2010 quarter.</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Results for the first half of 2011 include net revenues of nearly $1.4 billion, net income of $399.3 million, and diluted earnings per common share of $1.49, an increase of 27% from the $1.17 per share in the first half of 2010. Net cash inflows of $15.6 billion and market appreciation and income of $23.3 billion increased assets under management $38.9 billion, or 8%, from $482.0 billion at the end of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Relative to the 2010 second quarter, investment advisory revenues earned from the T. Rowe Price mutual funds distributed in the U.S. increased 22%, or</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$75.3 million, to $418.1 million. Average mutual fund assets under management in the second quarter of 2011 were $302.6 billion, an increase of 22% from the average for the comparable 2010 quarter. Mutual fund assets at June 30, 2011 were $305.6 billion, an increase of $5.4 billion from the end of March 2011, and up $23.0 billion from the end of 2010. The firm voluntarily waived money market fund fees of $8.3 million in the second quarter of 2011 in order to maintain a positive yield for fund investors, compared to fee waivers of $6.4 million in the comparable 2010 quarter. During the 2011 year-to-date period, the firm has waived $15.3 million in such fees, an increase of $2.1 million from the similar 2010 period.</w:t>
      </w:r>
    </w:p>
    <w:p>
      <w:pPr>
        <w:spacing w:after="0" w:line="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inflows to the sponsored mutual funds were $4.6 billion during the second quarter of 2011, including $2.2 billion added to the stock and blended asset funds, $2.2 billion added to the bond funds, and $.2 billion added to the money market funds. The Institutional Floating Rate, New Income, Equity Income, International Stock, and U.S. Bond Index funds each received net inflows of more than $400 million for a total of $2.7 billion during the 2011 quarter. Market appreciation and income increased mutual fund assets under management by $800 million during the second quarter of 2011.</w:t>
      </w:r>
    </w:p>
    <w:p>
      <w:pPr>
        <w:spacing w:after="0" w:line="6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From a performance standpoint, 85% of the T. Rowe Price funds across their share classes outperformed their comparable Lipper averages on a total return basis for the three-year period ended June 30, 2011, 90% outperformed for the five-year period, 78% outperformed for the 10-year period, and 69% outperformed for the one-year period. In addition, T. Rowe Price stock, bond and blended asset funds that ended the quarter with an overall rating of four or five stars from Morningstar account for nearly 77% of the firm’s rated funds’ assets under management.</w:t>
      </w:r>
    </w:p>
    <w:p>
      <w:pPr>
        <w:spacing w:after="0" w:line="6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Investment advisory revenues earned on the other investment portfolios that the firm manages increased $44.4 million, or 30%, from the second quarter of 2010, to $193.6 million. Average assets in these portfolios were $212.3 billion during the second quarter of 2011, an increase of $46.2 billion, or 28%, from the 2010 quarter. Ending assets at June 30, 2011 were $215.3 billion, up $5.6 billion from the end of March 2011. Net inflows, primarily from third-party financial intermediaries, were $5.2 billion for the second quarter of 2011. Market appreciation and income increased assets under management in these portfolios by $400 million. Investors domiciled outside the United States accounted for nearly 12% of the firm’s assets under management at June 30, 2011.</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target-date retirement investment portfolios continue to be a steady source of assets under management. During the second quarter of 2011, net inflows of $2.2 billion originated in these portfolios. Assets in the target-date retirement portfolios were $68.0 billion at June 30, 2011, accounting for 13% of the firm’s assets under management and nearly 21% of its mutual fund assets.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right="100"/>
        <w:spacing w:after="0" w:line="259" w:lineRule="auto"/>
        <w:rPr>
          <w:sz w:val="20"/>
          <w:szCs w:val="20"/>
          <w:color w:val="auto"/>
        </w:rPr>
      </w:pPr>
      <w:r>
        <w:rPr>
          <w:rFonts w:ascii="Arial" w:cs="Arial" w:eastAsia="Arial" w:hAnsi="Arial"/>
          <w:sz w:val="18"/>
          <w:szCs w:val="18"/>
          <w:color w:val="auto"/>
        </w:rPr>
        <w:t>Operating expenses were $387.1 million in the second quarter of 2011, up $62.8 million from the 2010 quarter. Compensation and related costs increased $33.7 million, or 16%, from the comparable 2010 quarter, due primarily to an increase in the accrual for the firm’s annual variable compensation program, salaries, employee benefits and temporary staffing. At June 30, 2011, we employed 5,162 associates, up 2.2% from the 5,052 associates employed at the end of 2010.</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Advertising and promotion expenditures were relatively flat compared to the second quarter of 2010. The firm currently expects that its advertising and promotion expenditures for the third quarter of 2011 will be comparable to the second quarter of this year, while spending for the full year 2011 could increase about 15% from 2010 levels. The firm varies its level of spending based on market conditions and investor demand as well as its efforts to expand its investor base in the United States and abroad.</w:t>
      </w:r>
    </w:p>
    <w:p>
      <w:pPr>
        <w:spacing w:after="0" w:line="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Other operating expenses were up $23.1 million, or 48%, from the second quarter of 2010, including rising consulting and professional fees, travel expenses, and other costs to meet increased business demands. This change also includes an increase of $10.7 million in distribution expenses recognized on fees paid to financial intermediaries for sourcing assets into the Advisor and R classes of the T. Rowe Price funds, and is entirely offset by increases in administrative revenues from 12b-1 fees. This increase in distribution expenses includes $2.6 million based on greater fund assets under management and $8.1 million incurred in the second quarter of 2011 on R class shares for which the comparable 2010 quarterly expenses were netted against related 12b-1 revenues.</w:t>
      </w:r>
    </w:p>
    <w:p>
      <w:pPr>
        <w:spacing w:after="0" w:line="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second quarter of 2011 provision for income taxes as a percentage of pretax income is 38.4%. The firm currently estimates its effective tax rate for the year 2011 will be 38.2%.</w:t>
      </w:r>
    </w:p>
    <w:p>
      <w:pPr>
        <w:spacing w:after="0" w:line="6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 Rowe Price remains debt-free with ample liquidity, including cash and mutual fund investment holdings of more than $1.8 billion. Based on current strategic projects and plans, the company’s capital expenditures for all of 2011 are estimated to be about $106 million. In the first half of 2011, the firm has expended $241 million to repurchase four million shares of its common stock. These cash expenditures are being funded from available liquid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James A.C. Kennedy, the company’s chief executive officer and president, commented: “We are proud that such a broad spectrum of our portfolios, including our asset allocation strategies, continue to deliver very attractive long-term returns. This solid track record, combined with our investment and industry expertise, has enabled us to provide sought-after investment solutions to institutional and individual investors alike, helping our clients achieve their financial goals.</w:t>
      </w:r>
    </w:p>
    <w:p>
      <w:pPr>
        <w:spacing w:after="0" w:line="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“Despite choppy markets, strong net new client inflows across equity and fixed income portfolios helped to boost the firm’s assets under management at the end of the second quarter to a record high. Our quarterly net revenues, net income, and earnings also reached new highs. This second quarter financial performance was achieved during another volatile period in which bonds produced modest gains and equities were narrowly mixed. Through most of the quarter economic and geopolitical concerns weighed on the markets, including questions about the strength and sustainability of the economic recoveries around the world, especially given the debt challenges facing the European and U.S. governments.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Commentary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the modestly paced global economic recovery appears to be continuing, global markets will likely remain volatile. Eurozone sovereign debt issues, global political turmoil, inflation in developing economies, continued weakness in the U.S. housing market, and high unemployment in many developed countries remain as headwinds. And while the current U.S. debt ceiling crisis will likely be resolved in the days ahead, the need for a strategy to put the federal budget on a sustainable longer-term path continues to weigh on market confidence. A stark contrast still persists between these lingering macro concerns and healthy corporate balance sheets. Companies are growing earnings, valuations are reasonable, and solid fundamentals should provide attractive investment opportunities. As a result we remain optimistic about the long-term outlook for equities. With interest rates expected to eventually trend higher we do anticipate more modest bond market returns than in the recent past.”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Comment</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closing, Mr. Kennedy said: “The outlook for T. Rowe Price remains strong and we are very well positioned for the future. A healthy balance sheet and strong operating cash flows combine to give us the financial flexibility to weather challenging markets and to continue to invest in our capabilities. In addition, demand for our investment expertise remains high, and our 5,162 talented associates continue to add value for our clients around the globe. Given the ebbs and flows of the markets, we believe investors will continue to be well served over the long term by our disciplined investment approach.”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second quarter of 2011 with the U.S. Securities and Exchange Commission later today. The Form 10-Q will include additional information on the firm’s unaudited financial results at June 30, 2011.</w:t>
      </w:r>
    </w:p>
    <w:p>
      <w:pPr>
        <w:spacing w:after="0" w:line="7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common share, anticipated changes in the amount and composition of assets under management, anticipated expense levels, estimated tax rates, and expectations regarding financial results, future transactions, investments, capital expenditures, and other market conditions. For a discussion concerning risks and other factors that could affect future results, see the firm’s 2010 Form 10-K report.</w:t>
      </w:r>
    </w:p>
    <w:p>
      <w:pPr>
        <w:spacing w:after="0" w:line="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Founded in 1937, Baltimore-based T. Rowe Price </w:t>
      </w:r>
      <w:r>
        <w:rPr>
          <w:rFonts w:ascii="Arial" w:cs="Arial" w:eastAsia="Arial" w:hAnsi="Arial"/>
          <w:sz w:val="18"/>
          <w:szCs w:val="18"/>
          <w:u w:val="single" w:color="auto"/>
          <w:color w:val="auto"/>
        </w:rPr>
        <w:t>(troweprice.com)</w:t>
      </w:r>
      <w:r>
        <w:rPr>
          <w:rFonts w:ascii="Arial" w:cs="Arial" w:eastAsia="Arial" w:hAnsi="Arial"/>
          <w:sz w:val="18"/>
          <w:szCs w:val="18"/>
          <w:color w:val="auto"/>
        </w:rPr>
        <w:t xml:space="preserv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UNAUDITED CONDENSED CONSOLIDATED STATEMENTS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492.0</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611.7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963.8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101.4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714.5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1,135.4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1,133.6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1,396.1</w:t>
            </w:r>
          </w:p>
        </w:tc>
        <w:tc>
          <w:tcPr>
            <w:tcW w:w="0" w:type="dxa"/>
            <w:vAlign w:val="bottom"/>
          </w:tcPr>
          <w:p>
            <w:pPr>
              <w:spacing w:after="0"/>
              <w:rPr>
                <w:sz w:val="1"/>
                <w:szCs w:val="1"/>
                <w:color w:val="auto"/>
              </w:rPr>
            </w:pP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248.8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387.1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326.6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Non-operating investment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127.5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158.5</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Net income allocated to common stockholders</w:t>
            </w: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158.5</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ind w:left="200"/>
              <w:spacing w:after="0" w:line="201" w:lineRule="exact"/>
              <w:rPr>
                <w:sz w:val="20"/>
                <w:szCs w:val="20"/>
                <w:color w:val="auto"/>
              </w:rPr>
            </w:pPr>
            <w:r>
              <w:rPr>
                <w:rFonts w:ascii="Arial" w:cs="Arial" w:eastAsia="Arial" w:hAnsi="Arial"/>
                <w:sz w:val="18"/>
                <w:szCs w:val="18"/>
                <w:color w:val="auto"/>
                <w:w w:val="91"/>
              </w:rPr>
              <w:t>Less: net income allocated to outstanding restricted stock and stock unit</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holders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allocated to common stockholders</w:t>
            </w:r>
          </w:p>
        </w:tc>
        <w:tc>
          <w:tcPr>
            <w:tcW w:w="1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157.8</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266.7</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60" w:type="dxa"/>
            <w:vAlign w:val="bottom"/>
            <w:vMerge w:val="restart"/>
          </w:tcPr>
          <w:p>
            <w:pPr>
              <w:jc w:val="right"/>
              <w:ind w:right="590"/>
              <w:spacing w:after="0"/>
              <w:rPr>
                <w:sz w:val="20"/>
                <w:szCs w:val="20"/>
                <w:color w:val="auto"/>
              </w:rPr>
            </w:pPr>
            <w:r>
              <w:rPr>
                <w:rFonts w:ascii="Arial" w:cs="Arial" w:eastAsia="Arial" w:hAnsi="Arial"/>
                <w:sz w:val="18"/>
                <w:szCs w:val="18"/>
                <w:color w:val="auto"/>
              </w:rPr>
              <w:t>- 3 -</w:t>
            </w: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6/30/2010</w:t>
            </w:r>
          </w:p>
        </w:tc>
        <w:tc>
          <w:tcPr>
            <w:tcW w:w="3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6/30/2011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6/30/2010</w:t>
            </w:r>
          </w:p>
        </w:tc>
        <w:tc>
          <w:tcPr>
            <w:tcW w:w="40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1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4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275.1</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341.2</w:t>
            </w: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537.9</w:t>
            </w:r>
          </w:p>
        </w:tc>
        <w:tc>
          <w:tcPr>
            <w:tcW w:w="540" w:type="dxa"/>
            <w:vAlign w:val="bottom"/>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130.3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668.2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portfolios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160.8</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Bond, money market and stable value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963.8</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vMerge w:val="restart"/>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4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182.6</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228.0</w:t>
            </w: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179.1</w:t>
            </w:r>
          </w:p>
        </w:tc>
        <w:tc>
          <w:tcPr>
            <w:tcW w:w="540" w:type="dxa"/>
            <w:vAlign w:val="bottom"/>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portfolios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157.8</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Bond, money market and stable value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vMerge w:val="restart"/>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12/31/2010</w:t>
            </w:r>
          </w:p>
        </w:tc>
        <w:tc>
          <w:tcPr>
            <w:tcW w:w="4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6/30/2011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Sponsored mutual funds in the U.S.</w:t>
            </w: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40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portfolios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Bond, money market and stable value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portfolios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40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Fixed income portfolios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40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6/30/2010</w:t>
            </w:r>
          </w:p>
        </w:tc>
        <w:tc>
          <w:tcPr>
            <w:tcW w:w="40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Condensed Consolidated Cash Flows Information (in millions)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w w:val="91"/>
              </w:rPr>
              <w:t>Cash provided by operating activities, including $46.4 of stock-based compensation in 2011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452.2</w:t>
            </w:r>
          </w:p>
        </w:tc>
        <w:tc>
          <w:tcPr>
            <w:tcW w:w="540" w:type="dxa"/>
            <w:vAlign w:val="bottom"/>
            <w:gridSpan w:val="3"/>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Cash used in investing activities, including ($33.0) for additions to property and equipment in 2011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gridSpan w:val="9"/>
          </w:tcPr>
          <w:p>
            <w:pPr>
              <w:spacing w:after="0" w:line="201" w:lineRule="exact"/>
              <w:rPr>
                <w:sz w:val="20"/>
                <w:szCs w:val="20"/>
                <w:color w:val="auto"/>
              </w:rPr>
            </w:pPr>
            <w:r>
              <w:rPr>
                <w:rFonts w:ascii="Arial" w:cs="Arial" w:eastAsia="Arial" w:hAnsi="Arial"/>
                <w:sz w:val="18"/>
                <w:szCs w:val="18"/>
                <w:color w:val="auto"/>
                <w:w w:val="95"/>
              </w:rPr>
              <w:t>Cash used in financing activities, including common stock repurchases of ($235.3) and dividends paid of ($160.7) in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2011</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(237.4)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540" w:type="dxa"/>
            <w:vAlign w:val="bottom"/>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4"/>
          </w:tcPr>
          <w:p>
            <w:pPr>
              <w:ind w:left="420"/>
              <w:spacing w:after="0"/>
              <w:rPr>
                <w:sz w:val="20"/>
                <w:szCs w:val="20"/>
                <w:color w:val="auto"/>
              </w:rPr>
            </w:pPr>
            <w:r>
              <w:rPr>
                <w:rFonts w:ascii="Arial" w:cs="Arial" w:eastAsia="Arial" w:hAnsi="Arial"/>
                <w:sz w:val="14"/>
                <w:szCs w:val="14"/>
                <w:color w:val="auto"/>
                <w:w w:val="82"/>
              </w:rPr>
              <w:t>12/31/2010</w:t>
            </w:r>
          </w:p>
        </w:tc>
        <w:tc>
          <w:tcPr>
            <w:tcW w:w="4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color w:val="auto"/>
              </w:rPr>
              <w:t>6/30/2011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Condensed Consolidated Balance Sheet Information (in millions)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813.1</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$ 1,022.7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747.9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investments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209.7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Goodwill</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665.7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645.3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3,642.0</w:t>
            </w:r>
          </w:p>
        </w:tc>
        <w:tc>
          <w:tcPr>
            <w:tcW w:w="4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09"/>
        </w:trPr>
        <w:tc>
          <w:tcPr>
            <w:tcW w:w="8860" w:type="dxa"/>
            <w:vAlign w:val="bottom"/>
            <w:gridSpan w:val="10"/>
          </w:tcPr>
          <w:p>
            <w:pPr>
              <w:spacing w:after="0"/>
              <w:rPr>
                <w:sz w:val="20"/>
                <w:szCs w:val="20"/>
                <w:color w:val="auto"/>
              </w:rPr>
            </w:pPr>
            <w:r>
              <w:rPr>
                <w:rFonts w:ascii="Arial" w:cs="Arial" w:eastAsia="Arial" w:hAnsi="Arial"/>
                <w:sz w:val="18"/>
                <w:szCs w:val="18"/>
                <w:color w:val="auto"/>
                <w:w w:val="96"/>
              </w:rPr>
              <w:t>Stockholders’ equity, 256.5 common shares outstanding in 2011, including net unrealized holding gains of $153.0 in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2011</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8"/>
                <w:szCs w:val="18"/>
                <w:color w:val="auto"/>
              </w:rPr>
              <w:t>$ 3,296.5</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$ 3,412.8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vMerge w:val="restart"/>
          </w:tcPr>
          <w:p>
            <w:pPr>
              <w:jc w:val="right"/>
              <w:ind w:right="590"/>
              <w:spacing w:after="0"/>
              <w:rPr>
                <w:sz w:val="20"/>
                <w:szCs w:val="20"/>
                <w:color w:val="auto"/>
              </w:rPr>
            </w:pPr>
            <w:r>
              <w:rPr>
                <w:rFonts w:ascii="Arial" w:cs="Arial" w:eastAsia="Arial" w:hAnsi="Arial"/>
                <w:sz w:val="18"/>
                <w:szCs w:val="18"/>
                <w:color w:val="auto"/>
              </w:rPr>
              <w:t>- 4 -</w:t>
            </w: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77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5"/>
    </w:lvl>
  </w:abstractNum>
  <w:abstractNum w:abstractNumId="1">
    <w:nsid w:val="2AE8944A"/>
    <w:multiLevelType w:val="hybridMultilevel"/>
    <w:lvl w:ilvl="0">
      <w:lvlJc w:val="left"/>
      <w:lvlText w:val="%1"/>
      <w:numFmt w:val="decimal"/>
      <w:start w:val="10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2019-12-10T19:42:06Z</dcterms:created>
  <dcterms:modified xsi:type="dcterms:W3CDTF">2019-12-10T19:42:06Z</dcterms:modified>
</cp:coreProperties>
</file>