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ANNUAL REPORT PURSUANT TO SECTION 13 OF THE SECURITIES EXCHANGE ACT OF 1934</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fiscal year ended </w:t>
      </w:r>
      <w:r>
        <w:rPr>
          <w:rFonts w:ascii="Arial" w:cs="Arial" w:eastAsia="Arial" w:hAnsi="Arial"/>
          <w:sz w:val="18"/>
          <w:szCs w:val="18"/>
          <w:b w:val="1"/>
          <w:bCs w:val="1"/>
          <w:u w:val="single" w:color="auto"/>
          <w:color w:val="auto"/>
        </w:rPr>
        <w:t>December 31, 2009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p>
      <w:pPr>
        <w:ind w:left="1560"/>
        <w:spacing w:after="0"/>
        <w:tabs>
          <w:tab w:leader="none" w:pos="7040" w:val="left"/>
        </w:tabs>
        <w:rPr>
          <w:sz w:val="20"/>
          <w:szCs w:val="20"/>
          <w:color w:val="auto"/>
        </w:rPr>
      </w:pPr>
      <w:r>
        <w:rPr>
          <w:rFonts w:ascii="Arial" w:cs="Arial" w:eastAsia="Arial" w:hAnsi="Arial"/>
          <w:sz w:val="18"/>
          <w:szCs w:val="18"/>
          <w:color w:val="auto"/>
        </w:rPr>
        <w:t xml:space="preserve">State of incorporation </w:t>
      </w:r>
      <w:r>
        <w:rPr>
          <w:rFonts w:ascii="Arial" w:cs="Arial" w:eastAsia="Arial" w:hAnsi="Arial"/>
          <w:sz w:val="18"/>
          <w:szCs w:val="18"/>
          <w:u w:val="single" w:color="auto"/>
          <w:color w:val="auto"/>
        </w:rPr>
        <w:t>Maryland</w:t>
      </w:r>
      <w:r>
        <w:rPr>
          <w:sz w:val="20"/>
          <w:szCs w:val="20"/>
          <w:color w:val="auto"/>
        </w:rPr>
        <w:tab/>
      </w:r>
      <w:r>
        <w:rPr>
          <w:rFonts w:ascii="Arial" w:cs="Arial" w:eastAsia="Arial" w:hAnsi="Arial"/>
          <w:sz w:val="16"/>
          <w:szCs w:val="16"/>
          <w:color w:val="auto"/>
        </w:rPr>
        <w:t xml:space="preserve">IRS Employer Identification No. </w:t>
      </w:r>
      <w:r>
        <w:rPr>
          <w:rFonts w:ascii="Arial" w:cs="Arial" w:eastAsia="Arial" w:hAnsi="Arial"/>
          <w:sz w:val="16"/>
          <w:szCs w:val="16"/>
          <w:u w:val="single" w:color="auto"/>
          <w:color w:val="auto"/>
        </w:rPr>
        <w:t>52-2264646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Address, including zip code, of principal executive offices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100 East Pratt Street, Baltimore, Maryland 21202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(410) 345-2000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Common stock, $.20 par value per share</w:t>
            </w:r>
          </w:p>
        </w:tc>
        <w:tc>
          <w:tcPr>
            <w:tcW w:w="5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224"/>
        </w:trPr>
        <w:tc>
          <w:tcPr>
            <w:tcW w:w="5420" w:type="dxa"/>
            <w:vAlign w:val="bottom"/>
          </w:tcPr>
          <w:p>
            <w:pPr>
              <w:jc w:val="center"/>
              <w:spacing w:after="0"/>
              <w:rPr>
                <w:sz w:val="20"/>
                <w:szCs w:val="20"/>
                <w:color w:val="auto"/>
              </w:rPr>
            </w:pPr>
            <w:r>
              <w:rPr>
                <w:rFonts w:ascii="Arial" w:cs="Arial" w:eastAsia="Arial" w:hAnsi="Arial"/>
                <w:sz w:val="18"/>
                <w:szCs w:val="18"/>
                <w:color w:val="auto"/>
                <w:w w:val="92"/>
              </w:rPr>
              <w:t>(Title of class)</w:t>
            </w:r>
          </w:p>
        </w:tc>
        <w:tc>
          <w:tcPr>
            <w:tcW w:w="580" w:type="dxa"/>
            <w:vAlign w:val="bottom"/>
          </w:tcPr>
          <w:p>
            <w:pPr>
              <w:spacing w:after="0"/>
              <w:rPr>
                <w:sz w:val="19"/>
                <w:szCs w:val="19"/>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(Name of exchange on which registered)</w:t>
            </w:r>
          </w:p>
        </w:tc>
      </w:tr>
    </w:tbl>
    <w:p>
      <w:pPr>
        <w:spacing w:after="0" w:line="60" w:lineRule="exact"/>
        <w:rPr>
          <w:sz w:val="24"/>
          <w:szCs w:val="24"/>
          <w:color w:val="auto"/>
        </w:rPr>
      </w:pPr>
    </w:p>
    <w:p>
      <w:pPr>
        <w:ind w:right="1880"/>
        <w:spacing w:after="0" w:line="304"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Arial" w:cs="Arial" w:eastAsia="Arial" w:hAnsi="Arial"/>
          <w:sz w:val="16"/>
          <w:szCs w:val="16"/>
          <w:color w:val="auto"/>
        </w:rPr>
        <w:t xml:space="preserve"> Yes o No Indicate by check mark if the registrant is not required to file reports pursuant to Section 13 or Section 15(d) of the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74"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o No</w:t>
      </w:r>
    </w:p>
    <w:p>
      <w:pPr>
        <w:spacing w:after="0" w:line="74" w:lineRule="exact"/>
        <w:rPr>
          <w:sz w:val="24"/>
          <w:szCs w:val="24"/>
          <w:color w:val="auto"/>
        </w:rPr>
      </w:pPr>
    </w:p>
    <w:p>
      <w:pPr>
        <w:ind w:right="460"/>
        <w:spacing w:after="0" w:line="23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MS PGothic" w:cs="MS PGothic" w:eastAsia="MS PGothic" w:hAnsi="MS PGothic"/>
          <w:sz w:val="18"/>
          <w:szCs w:val="18"/>
          <w:color w:val="auto"/>
        </w:rPr>
        <w:t>☑</w:t>
      </w:r>
      <w:r>
        <w:rPr>
          <w:rFonts w:ascii="Arial" w:cs="Arial" w:eastAsia="Arial" w:hAnsi="Arial"/>
          <w:sz w:val="18"/>
          <w:szCs w:val="18"/>
          <w:color w:val="auto"/>
        </w:rPr>
        <w:t xml:space="preserve"> Yes o No</w:t>
      </w:r>
    </w:p>
    <w:p>
      <w:pPr>
        <w:spacing w:after="0" w:line="74"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73"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14" w:lineRule="exact"/>
        <w:rPr>
          <w:sz w:val="24"/>
          <w:szCs w:val="24"/>
          <w:color w:val="auto"/>
        </w:rPr>
      </w:pPr>
    </w:p>
    <w:p>
      <w:pPr>
        <w:spacing w:after="0" w:line="304"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o Non-accelerated filer o Smaller reporting company o Indicate by check mark whether the registrant is a shell company (as defined in Rule 12b-2 of the Act).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4" w:lineRule="exact"/>
        <w:rPr>
          <w:sz w:val="24"/>
          <w:szCs w:val="24"/>
          <w:color w:val="auto"/>
        </w:rPr>
      </w:pPr>
    </w:p>
    <w:p>
      <w:pPr>
        <w:ind w:right="200"/>
        <w:spacing w:after="0" w:line="264" w:lineRule="auto"/>
        <w:rPr>
          <w:sz w:val="20"/>
          <w:szCs w:val="20"/>
          <w:color w:val="auto"/>
        </w:rPr>
      </w:pPr>
      <w:r>
        <w:rPr>
          <w:rFonts w:ascii="Arial" w:cs="Arial" w:eastAsia="Arial" w:hAnsi="Arial"/>
          <w:sz w:val="18"/>
          <w:szCs w:val="18"/>
          <w:color w:val="auto"/>
        </w:rPr>
        <w:t xml:space="preserve">The aggregate market value of the common equity (all voting) held by non-affiliates (excludes current executive officers and directors) at January 31, 2010, computed using $41.67 per share (the NASDAQ Official Closing Price on June 30, 2009, the last business day of the registrant’s most recently completed second fiscal quarter) was </w:t>
      </w:r>
      <w:r>
        <w:rPr>
          <w:rFonts w:ascii="Arial" w:cs="Arial" w:eastAsia="Arial" w:hAnsi="Arial"/>
          <w:sz w:val="18"/>
          <w:szCs w:val="18"/>
          <w:u w:val="single" w:color="auto"/>
          <w:color w:val="auto"/>
        </w:rPr>
        <w:t>$10.8 billion</w:t>
      </w:r>
      <w:r>
        <w:rPr>
          <w:rFonts w:ascii="Arial" w:cs="Arial" w:eastAsia="Arial" w:hAnsi="Arial"/>
          <w:sz w:val="18"/>
          <w:szCs w:val="18"/>
          <w:color w:val="auto"/>
        </w:rPr>
        <w:t>.</w:t>
      </w:r>
    </w:p>
    <w:p>
      <w:pPr>
        <w:spacing w:after="0" w:line="73"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The number of shares outstanding of the registrant’s common stock as of the latest practicable date, January 31, 2010, is </w:t>
      </w:r>
      <w:r>
        <w:rPr>
          <w:rFonts w:ascii="Arial" w:cs="Arial" w:eastAsia="Arial" w:hAnsi="Arial"/>
          <w:sz w:val="18"/>
          <w:szCs w:val="18"/>
          <w:u w:val="single" w:color="auto"/>
          <w:color w:val="auto"/>
        </w:rPr>
        <w:t>258,993,142</w:t>
      </w:r>
      <w:r>
        <w:rPr>
          <w:rFonts w:ascii="Arial" w:cs="Arial" w:eastAsia="Arial" w:hAnsi="Arial"/>
          <w:sz w:val="18"/>
          <w:szCs w:val="18"/>
          <w:color w:val="auto"/>
        </w:rPr>
        <w:t>.</w:t>
      </w:r>
    </w:p>
    <w:p>
      <w:pPr>
        <w:spacing w:after="0" w:line="117"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DOCUMENTS INCORPORATED BY REFERENCE: In Part III, the Definitive Proxy Statement for the 2010 Annual Meeting of Stockholders to be filed pursuant to Regulation 14A.</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Exhibit index begins on page 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22"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 Rowe Price Group is a financial services holding company that derives its consolidated revenues and net income primarily from investment advisory services that its subsidiaries provide to individual and institutional investors in the sponsored T. Rowe Price mutual funds and other investment portfolios. Our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3" w:lineRule="exact"/>
        <w:rPr>
          <w:sz w:val="20"/>
          <w:szCs w:val="20"/>
          <w:color w:val="auto"/>
        </w:rPr>
      </w:pPr>
    </w:p>
    <w:p>
      <w:pPr>
        <w:jc w:val="both"/>
        <w:ind w:right="420"/>
        <w:spacing w:after="0" w:line="312" w:lineRule="auto"/>
        <w:rPr>
          <w:sz w:val="20"/>
          <w:szCs w:val="20"/>
          <w:color w:val="auto"/>
        </w:rPr>
      </w:pPr>
      <w:r>
        <w:rPr>
          <w:rFonts w:ascii="Arial" w:cs="Arial" w:eastAsia="Arial" w:hAnsi="Arial"/>
          <w:sz w:val="16"/>
          <w:szCs w:val="16"/>
          <w:color w:val="auto"/>
        </w:rPr>
        <w:t>We operate our investment advisory business through our subsidiary companies, primarily T. Rowe Price Associates, T. Rowe Price International, and T. Rowe Price Global Investment Services. The late Thomas Rowe Price, Jr., began our advisory business in 1937, and the common stock of T. Rowe Price Associates was first offered to the public in 1986. The T. Rowe Price Group corporate holding company structure was established in 2000.</w:t>
      </w:r>
    </w:p>
    <w:p>
      <w:pPr>
        <w:spacing w:after="0" w:line="3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assets under management are accumulated from a diversified client base across four primary distribution channels: third-party financial intermediaries that distribute our managed investment portfolios in the U.S. and other countries; individual U.S. investors on a direct basis; U.S. defined contribution retirement plans; and institutional investors in the U.S. and other countries.</w:t>
      </w:r>
    </w:p>
    <w:p>
      <w:pPr>
        <w:spacing w:after="0" w:line="73"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manage a broad range of U.S. and international stock, blended asset, bond, and money market mutual funds and other investment portfolios that are designed to meet the varied and changing needs and objectives of individual and institutional investors. Mutual fund shareholders can exchange balances among mutual funds as permitted when economic and market conditions and their investment needs change.</w:t>
      </w:r>
    </w:p>
    <w:p>
      <w:pPr>
        <w:spacing w:after="0" w:line="5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From time to time, we introduce new funds and other investment portfolios to complement and expand our investment offerings, respond to competitive developments in the financial marketplace, and meet the changing needs of our investment advisory clients. We will open a new mutual fund or investment portfolio if we believe that we have the appropriate investment management expertise and that its objective will be useful for investors over a long period. Conversely, we may also limit new investments into a mutual fund or investment mandate in order to maintain the integrity of the investment strategy and to protect the interests of its existing fund shareholders and investors. At present, the following funds are closed to all new investors.</w:t>
      </w:r>
    </w:p>
    <w:p>
      <w:pPr>
        <w:spacing w:after="0" w:line="158"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68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Fund</w:t>
            </w:r>
          </w:p>
        </w:tc>
        <w:tc>
          <w:tcPr>
            <w:tcW w:w="43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Date Closed</w:t>
            </w:r>
          </w:p>
        </w:tc>
      </w:tr>
      <w:tr>
        <w:trPr>
          <w:trHeight w:val="209"/>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w w:val="94"/>
              </w:rPr>
              <w:t>Institutional Mid-Cap Equity Growth</w:t>
            </w:r>
          </w:p>
        </w:tc>
        <w:tc>
          <w:tcPr>
            <w:tcW w:w="43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December 8, 2003</w:t>
            </w:r>
          </w:p>
        </w:tc>
      </w:tr>
      <w:tr>
        <w:trPr>
          <w:trHeight w:val="230"/>
        </w:trPr>
        <w:tc>
          <w:tcPr>
            <w:tcW w:w="2700" w:type="dxa"/>
            <w:vAlign w:val="bottom"/>
            <w:gridSpan w:val="2"/>
          </w:tcPr>
          <w:p>
            <w:pPr>
              <w:spacing w:after="0"/>
              <w:rPr>
                <w:sz w:val="20"/>
                <w:szCs w:val="20"/>
                <w:color w:val="auto"/>
              </w:rPr>
            </w:pPr>
            <w:r>
              <w:rPr>
                <w:rFonts w:ascii="Arial" w:cs="Arial" w:eastAsia="Arial" w:hAnsi="Arial"/>
                <w:sz w:val="18"/>
                <w:szCs w:val="18"/>
                <w:color w:val="auto"/>
              </w:rPr>
              <w:t>Institutional Small-Cap Stock</w:t>
            </w:r>
          </w:p>
        </w:tc>
        <w:tc>
          <w:tcPr>
            <w:tcW w:w="5660" w:type="dxa"/>
            <w:vAlign w:val="bottom"/>
            <w:gridSpan w:val="2"/>
          </w:tcPr>
          <w:p>
            <w:pPr>
              <w:jc w:val="center"/>
              <w:ind w:left="4230"/>
              <w:spacing w:after="0"/>
              <w:rPr>
                <w:sz w:val="20"/>
                <w:szCs w:val="20"/>
                <w:color w:val="auto"/>
              </w:rPr>
            </w:pPr>
            <w:r>
              <w:rPr>
                <w:rFonts w:ascii="Arial" w:cs="Arial" w:eastAsia="Arial" w:hAnsi="Arial"/>
                <w:sz w:val="18"/>
                <w:szCs w:val="18"/>
                <w:color w:val="auto"/>
                <w:w w:val="91"/>
              </w:rPr>
              <w:t>February 20, 2004</w:t>
            </w:r>
          </w:p>
        </w:tc>
      </w:tr>
    </w:tbl>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Investment objectives for our managed investment portfolios, including the Price funds, accommodate a variety of strategies. Investors select from among the mutual funds based on the distinct objective that is described in each fund’s prospectus. Investment management of other client portfolios includes approaches similar to those employed in the Price funds. Equity investment strategies may emphasize large-cap, mid-cap or small-cap investing; growth, value or core investing; and U.S., global, or international investing. We also offer systematic, tax-efficient, and blended equity and asset allocation investment strategies including target retirement-date investment portfolios, as well as active, systematic and municipal tax-free management strategies for fixed income investments. Our specialized advisory services include management of stable value investment contracts and a distribution management service for the disposition of equity securities received from third-party venture capital investment pools.</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employ fundamental and quantitative security analyses in the performance of the investment advisory function. We maintain substantial internal equity and fixed income investment research capabilities. We perform original industry and company research using such sources as inspection of corporate activities, management interviews, company-published financial and other information, financial newspapers and magazines, corporate rating services, and field checks with suppliers and competitors in the same industry and particular business sector. Our research staff operates primarily from offices located in the United States and Great Britain with additional staff resident in Argentina, Hong Kong, Japan, and Singapore. We also use research provided by brokerage firms and security analysts in a supportive capacity and information received from private economists, political observers, commentators, government experts, and market analysts. Our stock selection process for some investment portfolios is based on quantitative analyses using computerized data modeling.</w:t>
      </w:r>
    </w:p>
    <w:p>
      <w:pPr>
        <w:spacing w:after="0" w:line="59"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also provide certain administrative services as ancillary services to our investment advisory clients. These administrative services are provided by several of our subsidiaries and include mutual fund transfer agent, accounting, and shareholder services; participant recordkeeping and transfer agent services for defined contribution retirement plans investing in our sponsored mutual funds; discount brokerage; and trust services. Approximately 90% of our administrative revenues in 2009 were determined based generally on the recovery of our related costs to provide the administrative services. Changes in our administrative revenues and related expenses, therefore, do not significantly affect our net operating income or net income.</w:t>
      </w:r>
    </w:p>
    <w:p>
      <w:pPr>
        <w:spacing w:after="0" w:line="64"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Information concerning our revenues, results of operations and total assets, and our investment assets under management during the past three years is contained in our consolidated financial statements and in note 2 thereto, which are both included in Item 8 of this Form 10-K.</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 w:name="page3"/>
    <w:bookmarkEnd w:id="2"/>
    <w:p>
      <w:pPr>
        <w:ind w:right="60"/>
        <w:spacing w:after="0" w:line="291" w:lineRule="auto"/>
        <w:rPr>
          <w:sz w:val="20"/>
          <w:szCs w:val="20"/>
          <w:color w:val="auto"/>
        </w:rPr>
      </w:pPr>
      <w:r>
        <w:rPr>
          <w:rFonts w:ascii="Arial" w:cs="Arial" w:eastAsia="Arial" w:hAnsi="Arial"/>
          <w:sz w:val="16"/>
          <w:szCs w:val="16"/>
          <w:color w:val="auto"/>
        </w:rPr>
        <w:t>2009 DEVELOPMENTS. Total assets under our management ended 2009 at $391.3 billion, a substantial recovery from $276.3 billion at the end of 2008 to a level approaching the historical period-end high of $400.0 billion at December 31, 2007. Retirement accounts and variable annuity investment portfolios account for $249.0 billion of the total. Our year-end assets under management include $290.4 billion in equity and blended asset investment portfolios and $100.9 billion in fixed income investment portfolios. The investment portfolios that we manage consist of $232.7 billion in the T. Rowe Price mutual funds distributed in the United States and $158.6 billion in other investment portfolios, including separately managed accounts for institutional and individual investors, subadvised funds, and other sponsored investment funds offered to investors outside the U.S. and through variable annuity life insurance plans in the U.S. Non-U.S. dollar denominated securities account for about $55 billion of our year-end assets under management.</w:t>
      </w:r>
    </w:p>
    <w:p>
      <w:pPr>
        <w:spacing w:after="0" w:line="5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Six Price funds — Growth Stock, Equity Income, Mid-Cap Growth, Blue Chip Growth, Value, and Capital Appreciation — accounted for 26% of our investment advisory revenues in 2009 and 21% of our assets under management at December 31, 2009.</w:t>
      </w:r>
    </w:p>
    <w:p>
      <w:pPr>
        <w:spacing w:after="0" w:line="6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Our international clients account for nearly 12% of our total assets under management at December 31, 2009, up from nearly 10% at the beginning of the year.</w:t>
      </w:r>
    </w:p>
    <w:p>
      <w:pPr>
        <w:spacing w:after="0" w:line="6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firm’s long-term investment advisory results relative to our peers remain strong, with 89% of the T. Rowe Price funds across their share classes surpassing their comparable Lipper averages on a total return basis for the five-year period ended December 31, 2009, at least 79% outperforming the average for the three- and 10-year periods, and 73% outperforming for the one-year period. In addition, T. Rowe Price stock, bond and blended asset funds that ended the quarter with an overall rating of four or five stars from Morningstar account for more than 73% of our rated funds’ assets under management.</w:t>
      </w:r>
    </w:p>
    <w:p>
      <w:pPr>
        <w:spacing w:after="0" w:line="46"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strong relative investment performance and brand awareness contributed significantly to attracting net inflows of $22.7 billion to our management in 2009, including $14.7 billion that originated during the second half of the year as financial markets were recovering. Higher market valuations and income added $92.3 billion in 2009.</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While we are always vigilant in controlling our operating expenses, we began a series of cost reduction and avoidance initiatives in late 2007 to get ahead of deteriorating market conditions. These efforts were heightened through the last two years, especially with the equity market’s steep decline in the fourth quarter of 2008 and first quarter of 2009, and included a 5.5% reduction of our workforce in April 2009. Overall, our 2009 operating expenses were $102 million less than in 2008, and $66 million lower than in 2007.</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January 20, 2010, we completed the previously announced acquisition of a 26% equity interest in UTI Asset Management Company and an affiliate from existing stockholders for 6.5 billion Indian rupees or $142.4 million, plus transaction costs of about $3.5 million. UTI Asset Management Company is an unlisted company in India with approximately $17.8 billion in average assets under management in December 2009. We will account for this investment using the equity method of accounting.</w:t>
      </w:r>
    </w:p>
    <w:p>
      <w:pPr>
        <w:spacing w:after="0" w:line="7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See the Background section of Management’s Discussion and Analysis of Financial Condition and Results of Operations in Item 7 of this report for more information on the 2009 market environment in which we operated.</w:t>
      </w:r>
    </w:p>
    <w:p>
      <w:pPr>
        <w:spacing w:after="0" w:line="6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PRICE FUNDS. We provide investment advisory, distribution and other administrative services to the Price funds under various agreements. Investment advisory services are provided to each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w:t>
      </w:r>
    </w:p>
    <w:p>
      <w:pPr>
        <w:spacing w:after="0" w:line="70"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u w:val="single" w:color="auto"/>
          <w:color w:val="auto"/>
        </w:rPr>
        <w:t>Advisory Services.</w:t>
      </w:r>
      <w:r>
        <w:rPr>
          <w:rFonts w:ascii="Arial" w:cs="Arial" w:eastAsia="Arial" w:hAnsi="Arial"/>
          <w:sz w:val="16"/>
          <w:szCs w:val="16"/>
          <w:color w:val="auto"/>
        </w:rPr>
        <w:t xml:space="preserve"> Investment advisory revenues are determined daily based on the net assets managed in each fund. Additional revenues are earned for advisory-related administrative services as discussed below. Independent directors and trustees of the Price funds regularly review our fee structures.</w:t>
      </w:r>
    </w:p>
    <w:p>
      <w:pPr>
        <w:spacing w:after="0" w:line="1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advisory fee paid monthly by each of the Price funds is generally computed on a daily basis by multiplying a fund’s net assets by a specific fee rate. For the majority of the Price funds, the fee is equal to the sum of an individual fund charge that is set based on the fund’s specific investment objective and a group charge that is set based on the aggregate net assets of those funds.</w:t>
      </w:r>
    </w:p>
    <w:p>
      <w:pPr>
        <w:spacing w:after="0" w:line="73" w:lineRule="exact"/>
        <w:rPr>
          <w:sz w:val="20"/>
          <w:szCs w:val="20"/>
          <w:color w:val="auto"/>
        </w:rPr>
      </w:pPr>
    </w:p>
    <w:p>
      <w:pPr>
        <w:ind w:right="240"/>
        <w:spacing w:after="0" w:line="271" w:lineRule="auto"/>
        <w:rPr>
          <w:sz w:val="20"/>
          <w:szCs w:val="20"/>
          <w:color w:val="auto"/>
        </w:rPr>
      </w:pPr>
      <w:r>
        <w:rPr>
          <w:rFonts w:ascii="Arial" w:cs="Arial" w:eastAsia="Arial" w:hAnsi="Arial"/>
          <w:sz w:val="17"/>
          <w:szCs w:val="17"/>
          <w:color w:val="auto"/>
        </w:rPr>
        <w:t>The individual fund charge for each of our four largest funds — Growth Stock, Equity Income, Mid-Cap Growth, and Blue Chip Growth – is a weighted average determined by applying a 15% reduction for net assets in excess of $15 billion to the base individual fund rate. The group charge is derived from a tiered fee schedule. The effective group charge when combined net assets exceed $220 billion is calculated based on a weighted-average fee across pricing tiers of nearly 30.5 basis points for the first $220 billion of net assets plus 28.5 basis points for net assets in excess of $220 billion. To the extent that the combined net assets of the funds increase, the group charge component of a fund’s advisory fee rate, and therefore the advisory fee rate paid by each fund, will decrease. Near zero percent yields on very short-term securities in 2009 significantly reduced the yield on money market funds across the mutual fund industry. As a result, we voluntarily reduced our money market advisory fees during the second half of 2009 in order to maintain yields at or above 0% to fund investors. These fee reductions are continuing presently into 2010.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Our calendar-year 2009 fees determined in the above manner for funds that incurred advisory fees of at least $4 million in 2009 varied from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 w:name="page4"/>
    <w:bookmarkEnd w:id="3"/>
    <w:p>
      <w:pPr>
        <w:ind w:right="320"/>
        <w:spacing w:after="0" w:line="277" w:lineRule="auto"/>
        <w:rPr>
          <w:sz w:val="20"/>
          <w:szCs w:val="20"/>
          <w:color w:val="auto"/>
        </w:rPr>
      </w:pPr>
      <w:r>
        <w:rPr>
          <w:rFonts w:ascii="Arial" w:cs="Arial" w:eastAsia="Arial" w:hAnsi="Arial"/>
          <w:sz w:val="18"/>
          <w:szCs w:val="18"/>
          <w:color w:val="auto"/>
        </w:rPr>
        <w:t>low of 22 basis points for the U.S. Treasury money fund to a high of 106 basis points for the Emerging Markets Stock, International Discovery, and Latin America funds. Details of each fund’s fee arrangement are available in its prospectus.</w:t>
      </w:r>
    </w:p>
    <w:p>
      <w:pPr>
        <w:spacing w:after="0" w:line="62"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Each of the Price funds has a distinct investment objective that has been developed as part of our strategy to provide a broad, comprehensive selection of investing opportunities. The Investor class of all Price funds can be purchased in the United States on a no-load basis, without a sales commission or 12b-1 fee. No-load mutual fund shares offer investors a low-cost and relatively easy method of directly investing in a variety of stock and bond portfolios.</w:t>
      </w:r>
    </w:p>
    <w:p>
      <w:pPr>
        <w:spacing w:after="0" w:line="3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Certain of the T. Rowe Price mutual funds also offer Advisor and R classes of shares that are distributed to mutual fund shareholders and defined contribution retirement plans, respectively, through third-party financial intermediaries. These share classes incur 12b-1 fees of 25 and 50 basis points, respectively, for distribution, administration, and personal services. Our subsidiary, T. Rowe Price Investment Services, is the principal distributor of the T. Rowe Price mutual funds and enters into agreements with each intermediary. Payment of 12b-1 fees is made by each fund directly to the applicable intermediaries.</w:t>
      </w:r>
    </w:p>
    <w:p>
      <w:pPr>
        <w:spacing w:after="0" w:line="4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administrative revenue in our consolidated statement of income. We also recognize, as part of our other operating expenses in the consolidated statement of income, the corresponding payment of these fees from each fund to the third-party financial intermediaries. The revenue that we recognize from the funds and the expense that we recognize for the fees paid to third party intermediaries are equal in amount and, therefore, do not impact our net operating income.</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6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Several of the Price funds, including the Index and Summit funds, instead have individual advisory fees or single, all-inclusive fees that cover both investment management and operating expenses. Each of the funds in the series of Spectrum Funds and in the series of target-date Retirement Funds invest in a broadly diversified portfolio of other Price funds and have no separate investment advisory fee. However, they indirectly bear the expenses of the funds in which they invest. Mutual funds for institutional investors each have separate advisory fee arrangements.</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We usually provide that a newly organized fund’s expenses will not exceed a specified percentage of its net assets during an initial operating period.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Generally, during the earlier portion of the period, we will waive advisory fees and absorb other mutual fund expenses in excess of the self-imposed limits.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During the latter portion of the period, we may recover some or all of the waived fees and absorbed costs.</w:t>
      </w:r>
    </w:p>
    <w:p>
      <w:pPr>
        <w:spacing w:after="0" w:line="10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our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the print media, television, and the Internet. In addition, we direct considerable marketing efforts to defined contribution plans that invest in mutual funds. Advertising and promotion expenditures vary over time based on investor interest, market conditions, new investment offerings, and the development and expansion of new marketing initiatives, including enhancements to our website.</w:t>
      </w:r>
    </w:p>
    <w:p>
      <w:pPr>
        <w:spacing w:after="0" w:line="8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u w:val="single" w:color="auto"/>
          <w:color w:val="auto"/>
        </w:rPr>
        <w:t>Administrative Services.</w:t>
      </w:r>
      <w:r>
        <w:rPr>
          <w:rFonts w:ascii="Arial" w:cs="Arial" w:eastAsia="Arial" w:hAnsi="Arial"/>
          <w:sz w:val="17"/>
          <w:szCs w:val="17"/>
          <w:color w:val="auto"/>
        </w:rPr>
        <w:t xml:space="preserve"> We provide advisory-related administrative services to the Price funds through our subsidiaries. T. Rowe Price Services provides mutual fund transfer agency and shareholder services, including maintenance of staff, facilities, and technology and other equipment to respond to inquiries from fund shareholders. T. Rowe Price Associates provides mutual fund accounting services, including maintenance of financial records, preparation of financial statements and reports, daily valuation of portfolio securities and computation of daily net asset values per share. T. Rowe Price Retirement Plan Services provides participant accounting, plan administration and transfer agent services for defined contribution retirement plans that invest in the Price funds. Plan sponsors and participants compensate us for some services while the Price funds compensate us for maintaining and administering the individual participant accounts for those plans that invest in the funds.</w:t>
      </w:r>
    </w:p>
    <w:p>
      <w:pPr>
        <w:spacing w:after="0" w:line="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trustee services are provided by another subsidiary, T. Rowe Price Trust Company. Through this Maryland-chartered limited-service trust company, we offer common trust funds for investment by qualified retirement plans and serve as trustee for retirement plans and IRAs. T. Rowe Price Trust Company may not accept deposits and cannot make personal or commercial loans. Another subsidiary, T. Rowe Price Savings Bank, issues federally insured certificates of deposit.</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remaining on track to achieve their financial goals.</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u w:val="single" w:color="auto"/>
          <w:color w:val="auto"/>
        </w:rPr>
        <w:t>Fund Assets.</w:t>
      </w:r>
      <w:r>
        <w:rPr>
          <w:rFonts w:ascii="Arial" w:cs="Arial" w:eastAsia="Arial" w:hAnsi="Arial"/>
          <w:sz w:val="18"/>
          <w:szCs w:val="18"/>
          <w:color w:val="auto"/>
        </w:rPr>
        <w:t xml:space="preserve"> At December 31, 2009, assets under our management in the Price funds aggregated $232.7 billion, an increase of 41.5% or $68.3 billion from the beginning of the year. The following table presents the net assets (in billions) of our largest funds (net assets in excess of $.5 billion at December 31) and the year each fund was started. The Spectrum and Retirement series of funds are not presented in the table because their assets are already included in the underlying funds.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Stock funds:</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Balanced (1991)</w:t>
            </w:r>
          </w:p>
        </w:tc>
        <w:tc>
          <w:tcPr>
            <w:tcW w:w="5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Blue Chip Growth (1993)</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Capital Appreciation (1986)</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 Growth (1992)</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Emerging Europe &amp; Mediterranean (2000)</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Emerging Markets Stock (1995)</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Equity Income (1985)</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Equity Index 500 (1990)</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European Stock (1990)</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Global Stock (1995)</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Growth &amp; Income (1982)</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Growth Stock (1950)</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Health Sciences (1995)</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Institutional Large-Cap Growth (2001)</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International Discovery (1988)</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International Growth &amp; Income (1998)</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International Stock (1980)</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Latin America (1993)</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Media &amp; Telecommunications (1993)</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Mid-Cap Growth (1992)</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Mid-Cap Value (1996)</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America Growth (1985)</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New Asia (1990)</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Era (1969)</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New Horizons (1960)</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Overseas Stock (2006)</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Personal Strategy Balanced (1994)</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Personal Strategy Growth (1994)</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Personal Strategy Income (1994)</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Real Estate (1997)</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Science &amp; Technology (1987)</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Small-Cap Stock (1992)</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Small-Cap Value (1988)</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 Market Index (1998)</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Value (1994)</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funds</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Bond and money market funds:</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Corporate Income (1995)</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Emerging Markets Bond (1994)</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GNMA (1985)</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High Yield (1984)</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Institutional Floating Rate (2008)</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Institutional High Yield (2002)</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International Bond (1986)</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Maryland Tax-Free Bond (1987)</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New Income (1973)</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Prime Reserve (1976)</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Short-Term Bond (1984)</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Income (2006)</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Summit Cash Reserves (1993)</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Summit Municipal Intermediate (1993)</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Tax-Exempt Money (1981)</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Tax-Free High Yield (1985)</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Tax-Free Income (1976)</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Tax-Free Short-Intermediate (1983)</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U.S. Treasury Intermediate (1989)</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Treasury Money (1982)</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Virginia Tax-Free Bond (1991)</w:t>
            </w:r>
          </w:p>
        </w:tc>
        <w:tc>
          <w:tcPr>
            <w:tcW w:w="4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funds</w:t>
            </w:r>
          </w:p>
        </w:tc>
        <w:tc>
          <w:tcPr>
            <w:tcW w:w="4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164.4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860" w:type="dxa"/>
            <w:vAlign w:val="bottom"/>
            <w:vMerge w:val="restart"/>
          </w:tcPr>
          <w:p>
            <w:pPr>
              <w:jc w:val="right"/>
              <w:ind w:right="3330"/>
              <w:spacing w:after="0"/>
              <w:rPr>
                <w:sz w:val="20"/>
                <w:szCs w:val="20"/>
                <w:color w:val="auto"/>
              </w:rPr>
            </w:pPr>
            <w:r>
              <w:rPr>
                <w:rFonts w:ascii="Arial" w:cs="Arial" w:eastAsia="Arial" w:hAnsi="Arial"/>
                <w:sz w:val="18"/>
                <w:szCs w:val="18"/>
                <w:color w:val="auto"/>
              </w:rPr>
              <w:t>- 5 -</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48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5" w:right="239" w:bottom="721"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Our operating subsidiaries invest in many of the T. Rowe Price funds.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INVESTMENT PORTFOLIOS. We managed $158.6 billion at December 31, 2009, in other client investment portfolios, up $46.7 billion from the beginning of the year. We provide investment advisory services to these clients through our subsidiaries on a separately managed or subadvised account basis and through sponsored investment portfolios, such as common trust funds, Luxembourg-based mutual funds, and variable annuity life insurance plans. At December 31, these portfolios included the following investment assets: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U.S. stocks</w:t>
            </w: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International stocks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16.6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Stable value assets</w:t>
            </w:r>
          </w:p>
        </w:tc>
        <w:tc>
          <w:tcPr>
            <w:tcW w:w="3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Bonds and money market securities</w:t>
            </w:r>
          </w:p>
        </w:tc>
        <w:tc>
          <w:tcPr>
            <w:tcW w:w="3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7"/>
        </w:trPr>
        <w:tc>
          <w:tcPr>
            <w:tcW w:w="59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920" w:type="dxa"/>
            <w:vAlign w:val="bottom"/>
            <w:shd w:val="clear" w:color="auto" w:fill="CCEEFF"/>
          </w:tcPr>
          <w:p>
            <w:pPr>
              <w:spacing w:after="0"/>
              <w:rPr>
                <w:sz w:val="18"/>
                <w:szCs w:val="18"/>
                <w:color w:val="auto"/>
              </w:rPr>
            </w:pPr>
          </w:p>
        </w:tc>
        <w:tc>
          <w:tcPr>
            <w:tcW w:w="3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111.9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158.6</w:t>
            </w:r>
          </w:p>
        </w:tc>
      </w:tr>
      <w:tr>
        <w:trPr>
          <w:trHeight w:val="20"/>
        </w:trPr>
        <w:tc>
          <w:tcPr>
            <w:tcW w:w="59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fees for managing these investment portfolios are computed using the value of assets under our management. In 2009, 49% of these advisory fees were recognized based on daily portfolio valuations. The balance of our managed investment portfolios are generally billed quarterly, with end of billing period values and month-end average values during the billing period accounting for 26% and 21%, respectively, of our 2009 revenues.</w:t>
      </w:r>
    </w:p>
    <w:p>
      <w:pPr>
        <w:spacing w:after="0" w:line="5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charge fees for investment management to these clients based on, among other things, the specific investment services to be provided. Our standard form of investment advisory agreement for client accounts provides that the agreement may be terminated at any time and that any unearned fees paid in advance will be refunded.</w:t>
      </w:r>
    </w:p>
    <w:p>
      <w:pPr>
        <w:spacing w:after="0" w:line="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largest client account relationship outside the T. Rowe Price funds is with a third-party financial intermediary that accounted for about 3% of our investment advisory revenues in 2009.</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REGULATION. T. Rowe Price Associates, T. Rowe Price International, T. Rowe Price Global Investment Services, T. Rowe Price (Canada), and T. Rowe Price Advisory Services are registered with the SEC as investment advisers under the Investment Advisers Act of 1940. T. Rowe Price Global Investment Services and T. Rowe Price International are regulated by the Financial Services Authority (FSA) in Great Britain and, in certain cases, by other foreign regulators. Our transfer agent services subsidiaries are registered under the Securities Exchange Act of 1934, and our trust company is regulated by the State of Maryland, Commissioner of Financial Regulation. T. Rowe Price Savings Bank is regulated by the Office of Thrift Supervision, U.S. Department of the Treasury. T. Rowe Price (Canada) is also registered with several of the provincial securities commissions in Canada.</w:t>
      </w:r>
    </w:p>
    <w:p>
      <w:pPr>
        <w:spacing w:after="0" w:line="5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We provide discount brokerage services through this subsidiary primarily to complement the other services provided to shareholders of the Price funds. Pershing, a third-party clearing broker and affiliate of the Bank of New York, maintains our discount brokerage’s customer accounts and clears all transactions.</w:t>
      </w:r>
    </w:p>
    <w:p>
      <w:pPr>
        <w:spacing w:after="0" w:line="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the Price funds’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6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foreign regulatory agencies. Our subsidiaries’ net capital, as defined, meets or exceeds all minimum requirements.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COMPETITION. 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and other financial institutions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portfolios offered, investment performance, and the scope and quality of investment advice and other client services. 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EMPLOYEES. At December 31, 2009, we employed 4,802 associates, down 10.8% from the end of 2008 due to attrition, retirements, and the 5.5% workforce reduction that we initiated in April 2009. We may add additional temporary and part-time personnel to our staff from time to time to meet periodic and special project demands, primarily for technology and mutual fund administrative services.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60"/>
        <w:spacing w:after="0" w:line="276" w:lineRule="auto"/>
        <w:rPr>
          <w:sz w:val="20"/>
          <w:szCs w:val="20"/>
          <w:color w:val="auto"/>
        </w:rPr>
      </w:pPr>
      <w:r>
        <w:rPr>
          <w:rFonts w:ascii="Arial" w:cs="Arial" w:eastAsia="Arial" w:hAnsi="Arial"/>
          <w:sz w:val="17"/>
          <w:szCs w:val="17"/>
          <w:color w:val="auto"/>
        </w:rPr>
        <w:t xml:space="preserve">SEC FILINGS. We make available free of charge through our Internet web site our annual report on Form 10-K, quarterly reports on Form 10-Q, current reports on Form 8-K, and any amendments to those reports filed or furnished pursuant to Section 13(a) of the Exchange Act as soon as reasonably practicable after we electronically file them with, or furnish them to, the Securities and Exchange Commission. To obtain any of this information, access our web page at </w:t>
      </w:r>
      <w:r>
        <w:rPr>
          <w:rFonts w:ascii="Arial" w:cs="Arial" w:eastAsia="Arial" w:hAnsi="Arial"/>
          <w:sz w:val="17"/>
          <w:szCs w:val="17"/>
          <w:u w:val="single" w:color="auto"/>
          <w:color w:val="auto"/>
        </w:rPr>
        <w:t>http://trow.client.shareholder.com/financials.cfm</w:t>
      </w:r>
      <w:r>
        <w:rPr>
          <w:rFonts w:ascii="Arial" w:cs="Arial" w:eastAsia="Arial" w:hAnsi="Arial"/>
          <w:sz w:val="17"/>
          <w:szCs w:val="17"/>
          <w:color w:val="auto"/>
        </w:rPr>
        <w:t>. We also make our financial statement information from our periodic SEC filings available on our website in the form of XBRL data files that may be used to facilitate computer-assisted investor analysis.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time-to-time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6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derive our revenues primarily from investment advisory services provided by our subsidiaries to individual and institutional investors in the T. Rowe Price mutual funds and other investment portfolios.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investments, there is a significant variation in fees earned from index-based investments at the low end and emerging markets funds and portfolios at the high end. Fees also vary across the fixed income funds and portfolios, though not as widely as equity investments, with stable value portfolios and money market securities at the lower end and non-U.S. dollar denominated bonds at the high end. As a result, our revenues are dependent on the value and composition of the assets under our management, all of which are subject to substantial fluctuation due to many factors, including:</w:t>
      </w:r>
    </w:p>
    <w:p>
      <w:pPr>
        <w:spacing w:after="0" w:line="84" w:lineRule="exact"/>
        <w:rPr>
          <w:sz w:val="20"/>
          <w:szCs w:val="20"/>
          <w:color w:val="auto"/>
        </w:rPr>
      </w:pPr>
    </w:p>
    <w:p>
      <w:pPr>
        <w:ind w:left="200" w:hanging="192"/>
        <w:spacing w:after="0"/>
        <w:tabs>
          <w:tab w:leader="none" w:pos="200"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Investor Mobility. Our investors generally may withdraw their funds at any time, on very short notice and without any significant penalty.</w:t>
      </w:r>
    </w:p>
    <w:p>
      <w:pPr>
        <w:spacing w:after="0" w:line="117" w:lineRule="exact"/>
        <w:rPr>
          <w:rFonts w:ascii="Arial" w:cs="Arial" w:eastAsia="Arial" w:hAnsi="Arial"/>
          <w:sz w:val="18"/>
          <w:szCs w:val="18"/>
          <w:b w:val="1"/>
          <w:bCs w:val="1"/>
          <w:color w:val="auto"/>
        </w:rPr>
      </w:pPr>
    </w:p>
    <w:p>
      <w:pPr>
        <w:ind w:right="120" w:firstLine="8"/>
        <w:spacing w:after="0" w:line="264" w:lineRule="auto"/>
        <w:tabs>
          <w:tab w:leader="none" w:pos="19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General Market Declines. A downturn in stock or bond prices (such as that experienced during the last half of 2008 and first quarter of 2009) would cause the value of assets under our management to decrease, and may also cause investors to withdraw their investments, thereby further decreasing the level of assets under our management.</w:t>
      </w:r>
    </w:p>
    <w:p>
      <w:pPr>
        <w:spacing w:after="0" w:line="73" w:lineRule="exact"/>
        <w:rPr>
          <w:rFonts w:ascii="Arial" w:cs="Arial" w:eastAsia="Arial" w:hAnsi="Arial"/>
          <w:sz w:val="18"/>
          <w:szCs w:val="18"/>
          <w:b w:val="1"/>
          <w:bCs w:val="1"/>
          <w:color w:val="auto"/>
        </w:rPr>
      </w:pPr>
    </w:p>
    <w:p>
      <w:pPr>
        <w:ind w:right="240" w:firstLine="8"/>
        <w:spacing w:after="0" w:line="259" w:lineRule="auto"/>
        <w:tabs>
          <w:tab w:leader="none" w:pos="19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Investment Performance. If the investment performance of our managed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w:t>
      </w:r>
    </w:p>
    <w:p>
      <w:pPr>
        <w:spacing w:after="0" w:line="78" w:lineRule="exact"/>
        <w:rPr>
          <w:rFonts w:ascii="Arial" w:cs="Arial" w:eastAsia="Arial" w:hAnsi="Arial"/>
          <w:sz w:val="18"/>
          <w:szCs w:val="18"/>
          <w:b w:val="1"/>
          <w:bCs w:val="1"/>
          <w:color w:val="auto"/>
        </w:rPr>
      </w:pPr>
    </w:p>
    <w:p>
      <w:pPr>
        <w:ind w:right="200" w:firstLine="8"/>
        <w:spacing w:after="0" w:line="277" w:lineRule="auto"/>
        <w:tabs>
          <w:tab w:leader="none" w:pos="19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Global Economies. National and international political and economic events may cause financial market declines that lower the value of assets under our management, and may cause investors to withdraw funds.</w:t>
      </w:r>
    </w:p>
    <w:p>
      <w:pPr>
        <w:spacing w:after="0" w:line="62" w:lineRule="exact"/>
        <w:rPr>
          <w:rFonts w:ascii="Arial" w:cs="Arial" w:eastAsia="Arial" w:hAnsi="Arial"/>
          <w:sz w:val="18"/>
          <w:szCs w:val="18"/>
          <w:b w:val="1"/>
          <w:bCs w:val="1"/>
          <w:color w:val="auto"/>
        </w:rPr>
      </w:pPr>
    </w:p>
    <w:p>
      <w:pPr>
        <w:ind w:right="420" w:firstLine="8"/>
        <w:spacing w:after="0" w:line="277" w:lineRule="auto"/>
        <w:tabs>
          <w:tab w:leader="none" w:pos="198" w:val="left"/>
        </w:tabs>
        <w:numPr>
          <w:ilvl w:val="0"/>
          <w:numId w:val="1"/>
        </w:numPr>
        <w:rPr>
          <w:rFonts w:ascii="Arial" w:cs="Arial" w:eastAsia="Arial" w:hAnsi="Arial"/>
          <w:sz w:val="18"/>
          <w:szCs w:val="18"/>
          <w:b w:val="1"/>
          <w:bCs w:val="1"/>
          <w:color w:val="auto"/>
        </w:rPr>
      </w:pPr>
      <w:r>
        <w:rPr>
          <w:rFonts w:ascii="Arial" w:cs="Arial" w:eastAsia="Arial" w:hAnsi="Arial"/>
          <w:sz w:val="18"/>
          <w:szCs w:val="18"/>
          <w:color w:val="auto"/>
        </w:rPr>
        <w:t>Investing Trends. Changes in investing trends and, in particular, retirement savings trends, including the prevalence of defined contribution retirement plans, may reduce interest in our funds and portfolios and may alter our mix of assets under management.</w:t>
      </w:r>
    </w:p>
    <w:p>
      <w:pPr>
        <w:spacing w:after="0" w:line="62" w:lineRule="exact"/>
        <w:rPr>
          <w:rFonts w:ascii="Arial" w:cs="Arial" w:eastAsia="Arial" w:hAnsi="Arial"/>
          <w:sz w:val="18"/>
          <w:szCs w:val="18"/>
          <w:b w:val="1"/>
          <w:bCs w:val="1"/>
          <w:color w:val="auto"/>
        </w:rPr>
      </w:pPr>
    </w:p>
    <w:p>
      <w:pPr>
        <w:ind w:left="200" w:hanging="192"/>
        <w:spacing w:after="0"/>
        <w:tabs>
          <w:tab w:leader="none" w:pos="20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Interest Rate Changes. Investor interest in and the valuation of our fixed income investment funds and portfolios are affected by changes in interest rates.</w:t>
      </w:r>
    </w:p>
    <w:p>
      <w:pPr>
        <w:spacing w:after="0" w:line="140" w:lineRule="exact"/>
        <w:rPr>
          <w:rFonts w:ascii="Arial" w:cs="Arial" w:eastAsia="Arial" w:hAnsi="Arial"/>
          <w:sz w:val="16"/>
          <w:szCs w:val="16"/>
          <w:b w:val="1"/>
          <w:bCs w:val="1"/>
          <w:color w:val="auto"/>
        </w:rPr>
      </w:pPr>
    </w:p>
    <w:p>
      <w:pPr>
        <w:ind w:right="240" w:firstLine="8"/>
        <w:spacing w:after="0" w:line="312" w:lineRule="auto"/>
        <w:tabs>
          <w:tab w:leader="none" w:pos="195"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Tax Regulation Changes. Changes in the status of tax deferred retirement plan investments and tax-free municipal bonds, the capital gains and corporate dividend tax rates, and other individual and corporate tax rates and regulations could adversely affect investor behavior and may cause investors to view certain investment offerings less favorably and withdraw their investment assets, thereby decreasing the level of assets under our management.</w:t>
      </w:r>
    </w:p>
    <w:p>
      <w:pPr>
        <w:spacing w:after="0" w:line="39"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1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 notice. If a Price fund seeks to lower the fees that we receive or terminate its contract with us, we would experience a decline in fees earned from the Price funds, which could have a material adverse effect on our revenues and net income.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20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which could cause a loss of customers and their assets, thereby reducing our assets under management and our revenues and net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competition in all aspects of our business from:</w:t>
      </w:r>
    </w:p>
    <w:p>
      <w:pPr>
        <w:spacing w:after="0" w:line="117" w:lineRule="exact"/>
        <w:rPr>
          <w:sz w:val="20"/>
          <w:szCs w:val="20"/>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asset management firms,</w:t>
      </w:r>
    </w:p>
    <w:p>
      <w:pPr>
        <w:spacing w:after="0" w:line="23" w:lineRule="exact"/>
        <w:rPr>
          <w:rFonts w:ascii="Arial" w:cs="Arial" w:eastAsia="Arial" w:hAnsi="Arial"/>
          <w:sz w:val="18"/>
          <w:szCs w:val="18"/>
          <w:b w:val="1"/>
          <w:bCs w:val="1"/>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mutual fund companies,</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commercial banks and thrift institutions,</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insurance companies,</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hedge funds,</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exchange traded funds,</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brokerage and investment banking firms, and</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other financial institutions including multinational firms and subsidiaries of diversified conglomerates.</w:t>
      </w:r>
    </w:p>
    <w:p>
      <w:pPr>
        <w:spacing w:after="0" w:line="10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Many of these financial institutions have substantially greater resources than we do and may offer a broader range of financial products across more markets. Some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portfolios offered, investment performance, and the scope and quality of investment advice and other client services. Some institutions have proprietary products and distribution channels that make it more difficult for us to compete with them. We believe that competition within the investment management industry will intensify as a result of consolidation and acquisition activity and because new competitors face few barriers to entry. Most of our investment portfolios are available without sales or redemption fees, which means that investors may be more willing to transfer assets to competing funds.</w:t>
      </w:r>
    </w:p>
    <w:p>
      <w:pPr>
        <w:spacing w:after="0" w:line="59"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If current or potential customers decide to use one of our competitors, we could face a significant decline in market share, assets under management, revenues, and net income. If we are required to lower our fees in order to remain competitive, our net income could be significantly reduced because some of our expenses are fixed, especially over shorter periods of time, and others may not decrease in proportion to the decrease in revenues.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success depends on our highly skilled personnel, including our portfolio and fund managers, investment analysts, management and client relationship personnel, and corporate officers, many of whom have specialized expertise and extensive experience in our industry. Strong financial services professionals are in demand, and we face significant competition for highly qualified employees. Our key employees do not have employment contracts, and generally can terminate their employment with us at any time. We cannot assure that we will be able to retain or replace key personnel.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u w:val="single" w:color="auto"/>
          <w:color w:val="auto"/>
        </w:rPr>
        <w:t>Certain of the Price funds and other investment portfolios are vulnerable to market-specific risks that could adversely affect investment performance, our reputation and our revenues.</w:t>
      </w:r>
    </w:p>
    <w:p>
      <w:pPr>
        <w:spacing w:after="0" w:line="62"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Several of the Price funds and investment portfolios (for example, emerging market investments) are subject to political and economic instability, wide exchange-rate fluctuations, illiquid and highly volatile markets, and other risks that could materially decrease the investment returns available in foreign markets. A significant decrease in the investment return or net asset value of any Price fund or investment portfolio could harm our reputation and cause a decrease in assets under management, including client asset withdrawals. The result could be a material decline in our revenues and net income.</w:t>
      </w:r>
    </w:p>
    <w:p>
      <w:pPr>
        <w:spacing w:after="0" w:line="4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performance of our money market funds is dependent on the income from the underlying securities exceeding the operating costs of the fund. When interest rates are at the historic lows that presently exist, the operating costs of the funds will become a greater portion of the portfolio’s income and reduce the yield of the funds to very low levels. In 2009 and presently, such an environment has caused us to reduce our advisory fees on money market funds in order to maintain yields at or above 0% to fund investors. Such actions reduce our advisory fee income and net income. Also, bank deposits may become more attractive to investors and money market funds have and could continue to experience redemptions. Client losses decrease our revenues and net income.</w:t>
      </w:r>
    </w:p>
    <w:p>
      <w:pPr>
        <w:spacing w:after="0" w:line="5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u w:val="single" w:color="auto"/>
          <w:color w:val="auto"/>
        </w:rPr>
        <w:t>Our operations are complex and a failure to perform operational tasks or the misrepresentation of products and services could have an adverse affect on our reputation and subject us to regulatory sanctions, fines, penalties, and litigation.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Operating risks include:</w:t>
      </w:r>
    </w:p>
    <w:p>
      <w:pPr>
        <w:spacing w:after="0" w:line="117" w:lineRule="exact"/>
        <w:rPr>
          <w:sz w:val="20"/>
          <w:szCs w:val="20"/>
          <w:color w:val="auto"/>
        </w:rPr>
      </w:pPr>
    </w:p>
    <w:p>
      <w:pPr>
        <w:ind w:right="100" w:firstLine="8"/>
        <w:spacing w:after="0" w:line="264" w:lineRule="auto"/>
        <w:tabs>
          <w:tab w:leader="none" w:pos="19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properly perform fund or portfolio recordkeeping responsibilities, including portfolio accounting, security pricing, corporate actions, investment restrictions compliance, daily net asset value computations, account reconciliations, and required distributions to fund shareholders to comply with tax regulations;</w:t>
      </w:r>
    </w:p>
    <w:p>
      <w:pPr>
        <w:spacing w:after="0" w:line="73" w:lineRule="exact"/>
        <w:rPr>
          <w:rFonts w:ascii="Arial" w:cs="Arial" w:eastAsia="Arial" w:hAnsi="Arial"/>
          <w:sz w:val="18"/>
          <w:szCs w:val="18"/>
          <w:b w:val="1"/>
          <w:bCs w:val="1"/>
          <w:color w:val="auto"/>
        </w:rPr>
      </w:pPr>
    </w:p>
    <w:p>
      <w:pPr>
        <w:ind w:firstLine="8"/>
        <w:spacing w:after="0" w:line="277" w:lineRule="auto"/>
        <w:tabs>
          <w:tab w:leader="none" w:pos="198"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failure to properly perform transfer agent and participant recordkeeping responsibilities, including transaction processing, supervision of staff, tax reporting and record retention; and failure to identify excessive trading in mutual funds by our customers or plan participants;</w:t>
      </w:r>
    </w:p>
    <w:p>
      <w:pPr>
        <w:spacing w:after="0" w:line="143" w:lineRule="exact"/>
        <w:rPr>
          <w:rFonts w:ascii="Arial" w:cs="Arial" w:eastAsia="Arial" w:hAnsi="Arial"/>
          <w:sz w:val="18"/>
          <w:szCs w:val="18"/>
          <w:b w:val="1"/>
          <w:bCs w:val="1"/>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8" w:name="page9"/>
    <w:bookmarkEnd w:id="8"/>
    <w:p>
      <w:pPr>
        <w:ind w:right="140" w:firstLine="8"/>
        <w:spacing w:after="0" w:line="264" w:lineRule="auto"/>
        <w:tabs>
          <w:tab w:leader="none" w:pos="198"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sales and marketing risks, including the intentional or unintentional misrepresentation of products and services in advertising materials, public relations information, or other external communications, and failure to properly calculate and present investment performance data accurately and in accordance with established guidelines and regulations.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spent many years developing our reputation for integrity, strong investment performance, and superior client services. Our brand is a valuable intangible asset, but it is vulnerable to a variety of threats that can be difficult or impossible to control, and costly or even impossible to remediate. Regulatory inquiries and rumors can tarnish or substantially damage our reputation, even if they are satisfactorily addressed. Any damage to our brand could impede our ability to attract and retain customers and key personnel, and reduce the amount of assets under our management, any of which could have a material adverse effect on our revenues and net income.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117" w:lineRule="exact"/>
        <w:rPr>
          <w:sz w:val="20"/>
          <w:szCs w:val="20"/>
          <w:color w:val="auto"/>
        </w:rPr>
      </w:pPr>
    </w:p>
    <w:p>
      <w:pPr>
        <w:ind w:right="280" w:firstLine="8"/>
        <w:spacing w:after="0" w:line="277" w:lineRule="auto"/>
        <w:tabs>
          <w:tab w:leader="none" w:pos="19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changes in the level of our advertising expenses, including the costs of expanding investment advisory services to investors outside of the United States and further penetrating U.S. distribution channels,</w:t>
      </w:r>
    </w:p>
    <w:p>
      <w:pPr>
        <w:spacing w:after="0" w:line="62" w:lineRule="exact"/>
        <w:rPr>
          <w:rFonts w:ascii="Arial" w:cs="Arial" w:eastAsia="Arial" w:hAnsi="Arial"/>
          <w:sz w:val="18"/>
          <w:szCs w:val="18"/>
          <w:b w:val="1"/>
          <w:bCs w:val="1"/>
          <w:color w:val="auto"/>
        </w:rPr>
      </w:pPr>
    </w:p>
    <w:p>
      <w:pPr>
        <w:ind w:right="280" w:firstLine="8"/>
        <w:spacing w:after="0" w:line="342" w:lineRule="auto"/>
        <w:tabs>
          <w:tab w:leader="none" w:pos="198"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variations in the level of total compensation expense due to, among other things, bonuses, stock option grants and other stock-based awards, changes in employee benefit costs due to regulatory or plan design changes, changes in our employee count and mix, competitive factors, and inflation,</w:t>
      </w:r>
    </w:p>
    <w:p>
      <w:pPr>
        <w:spacing w:after="0" w:line="15" w:lineRule="exact"/>
        <w:rPr>
          <w:rFonts w:ascii="Arial" w:cs="Arial" w:eastAsia="Arial" w:hAnsi="Arial"/>
          <w:sz w:val="16"/>
          <w:szCs w:val="16"/>
          <w:b w:val="1"/>
          <w:bCs w:val="1"/>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a future impairment of goodwill that is recognized in our balance sheet,</w:t>
      </w:r>
    </w:p>
    <w:p>
      <w:pPr>
        <w:spacing w:after="0" w:line="117" w:lineRule="exact"/>
        <w:rPr>
          <w:rFonts w:ascii="Arial" w:cs="Arial" w:eastAsia="Arial" w:hAnsi="Arial"/>
          <w:sz w:val="18"/>
          <w:szCs w:val="18"/>
          <w:b w:val="1"/>
          <w:bCs w:val="1"/>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b w:val="1"/>
          <w:bCs w:val="1"/>
          <w:color w:val="auto"/>
        </w:rPr>
      </w:pPr>
    </w:p>
    <w:p>
      <w:pPr>
        <w:ind w:right="860" w:firstLine="8"/>
        <w:spacing w:after="0" w:line="277" w:lineRule="auto"/>
        <w:tabs>
          <w:tab w:leader="none" w:pos="198"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62" w:lineRule="exact"/>
        <w:rPr>
          <w:rFonts w:ascii="Arial" w:cs="Arial" w:eastAsia="Arial" w:hAnsi="Arial"/>
          <w:sz w:val="18"/>
          <w:szCs w:val="18"/>
          <w:b w:val="1"/>
          <w:bCs w:val="1"/>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b w:val="1"/>
          <w:bCs w:val="1"/>
          <w:color w:val="auto"/>
        </w:rPr>
      </w:pPr>
    </w:p>
    <w:p>
      <w:pPr>
        <w:ind w:left="200" w:hanging="192"/>
        <w:spacing w:after="0"/>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disruptions of third-party services such as communications, power, and mutual fund transfer agent and accounting systems.</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Under our agreements with the T. Rowe Price mutual funds, we charge the mutual funds certain administrative fees and related expenses based upon contracted terms. If we fail to accurately estimate our underlying expense levels or otherwise are required to incur expenses relating to the mutual funds that are not otherwise paid by the funds, our operating results will be adversely affected.</w:t>
      </w:r>
    </w:p>
    <w:p>
      <w:pPr>
        <w:spacing w:after="0" w:line="73"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portfolios, and such relationships may not be available or profitable to us in the future.</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More than 30% of our assets under management are sourced from our largest distribution channel, third-party financial intermediaries that distribute our managed investment portfolios in the U.S. and abroad. These intermediaries generally offer their clients various investment products in addition to, and in competition with, our investment offerings, and have no contractual obligation to encourage investment in our portfolios. It would be difficult for us to acquire or retain the management of those assets without the assistance of the intermediaries, and we cannot assure that we will be able to maintain an adequate number of successful distribution relationships. In addition, some investors rely on third party financial planners, registered investment advisers, and other consultants or financial professionals to advise them on the choice of investment adviser and investment portfolio. These professionals and consultants can favor a competing investment portfolio as better meeting their particular client’s needs. We cannot assure that our investment offerings will be among their recommended choices in the future. Further, their recommendations can change over time and we could lose their recommendation and their client assets under our management. Mergers, acquisitions, and other ownership or management changes could also adversely impact our relationships with these third party intermediaries. The presence of any of the adverse conditions discussed above would reduce revenues and net income, possibly by material amounts.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Armed conflict, terrorist attacks, power failures, and natural disasters could adversely affect our revenues, expenses and net income by:</w:t>
      </w:r>
    </w:p>
    <w:p>
      <w:pPr>
        <w:spacing w:after="0" w:line="117" w:lineRule="exact"/>
        <w:rPr>
          <w:sz w:val="20"/>
          <w:szCs w:val="20"/>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b w:val="1"/>
          <w:bCs w:val="1"/>
          <w:color w:val="auto"/>
        </w:rPr>
      </w:pPr>
    </w:p>
    <w:p>
      <w:pPr>
        <w:ind w:left="200" w:hanging="192"/>
        <w:spacing w:after="0"/>
        <w:tabs>
          <w:tab w:leader="none" w:pos="20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b w:val="1"/>
          <w:bCs w:val="1"/>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incapacitating or inflicting losses of lives among our associates,</w:t>
      </w:r>
    </w:p>
    <w:p>
      <w:pPr>
        <w:spacing w:after="0" w:line="117" w:lineRule="exact"/>
        <w:rPr>
          <w:rFonts w:ascii="Arial" w:cs="Arial" w:eastAsia="Arial" w:hAnsi="Arial"/>
          <w:sz w:val="18"/>
          <w:szCs w:val="18"/>
          <w:b w:val="1"/>
          <w:bCs w:val="1"/>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interrupting our business operations,</w:t>
      </w:r>
    </w:p>
    <w:p>
      <w:pPr>
        <w:spacing w:after="0" w:line="117" w:lineRule="exact"/>
        <w:rPr>
          <w:rFonts w:ascii="Arial" w:cs="Arial" w:eastAsia="Arial" w:hAnsi="Arial"/>
          <w:sz w:val="18"/>
          <w:szCs w:val="18"/>
          <w:b w:val="1"/>
          <w:bCs w:val="1"/>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b w:val="1"/>
          <w:bCs w:val="1"/>
          <w:color w:val="auto"/>
        </w:rPr>
      </w:pPr>
    </w:p>
    <w:p>
      <w:pPr>
        <w:ind w:left="200" w:hanging="192"/>
        <w:spacing w:after="0"/>
        <w:tabs>
          <w:tab w:leader="none" w:pos="2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198" w:lineRule="exact"/>
        <w:rPr>
          <w:rFonts w:ascii="Arial" w:cs="Arial" w:eastAsia="Arial" w:hAnsi="Arial"/>
          <w:sz w:val="18"/>
          <w:szCs w:val="18"/>
          <w:b w:val="1"/>
          <w:bCs w:val="1"/>
          <w:color w:val="auto"/>
        </w:rPr>
      </w:pPr>
    </w:p>
    <w:p>
      <w:pPr>
        <w:ind w:left="5660" w:hanging="96"/>
        <w:spacing w:after="0"/>
        <w:tabs>
          <w:tab w:leader="none" w:pos="5660" w:val="left"/>
        </w:tabs>
        <w:numPr>
          <w:ilvl w:val="1"/>
          <w:numId w:val="6"/>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9" w:name="page10"/>
    <w:bookmarkEnd w:id="9"/>
    <w:p>
      <w:pPr>
        <w:ind w:right="40"/>
        <w:spacing w:after="0" w:line="297" w:lineRule="auto"/>
        <w:rPr>
          <w:sz w:val="20"/>
          <w:szCs w:val="20"/>
          <w:color w:val="auto"/>
        </w:rPr>
      </w:pPr>
      <w:r>
        <w:rPr>
          <w:rFonts w:ascii="Arial" w:cs="Arial" w:eastAsia="Arial" w:hAnsi="Arial"/>
          <w:sz w:val="16"/>
          <w:szCs w:val="16"/>
          <w:color w:val="auto"/>
        </w:rPr>
        <w:t>We have developed various backup systems and contingency plans but we cannot be assured that they will be adequate in all circumstances that could arise or that material interruptions and disruptions will not occur. In addition, we rely to varying degrees on outside vendors for disaster contingency support, and we cannot be assured that these vendors will be able to perform in an adequate and timely manner. If we lose any associates, or if we are unable to respond adequately to such an event in a timely manner, we may be unable to continue our business operations, which could lead to a tarnished reputation and loss of customers that results in a decrease in assets under management, lower revenues and materially reduced net income.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have a substantial portion of our assets invested in our stock, blended asset and bond mutual funds. All of these investments are subject to investment market risk and our non-operating investment income could be adversely affected by the realization of losses upon the disposition of our investments or the recognition of significant other-than-temporary impairments like those recognized in the fourth quarter of 2008 and first quarter of 2009.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investment performance of our savings bank subsidiary could adversely affect our assets and results of operations.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a savings bank subsidiary that accepts time deposits from customers, pays a fixed rate of interest to them, and invests in asset-backed debt securities. Although we generally hold these investments to maturity, which generally correlates to the maturities of our customer deposits, fluctuations in credit risk could result in impairments among the bank’s fixed income investments and, in turn, could result in a mismatch between a lower or negative return on our investment portfolio and the interest paid on our customer deposits. To the extent that this occurs, our assets and results of operations would be adversely affected.</w:t>
      </w:r>
    </w:p>
    <w:p>
      <w:pPr>
        <w:spacing w:after="0" w:line="8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u w:val="single" w:color="auto"/>
          <w:color w:val="auto"/>
        </w:rPr>
        <w:t>We may elect to pursue growth in the United States and abroad through acquisitions or joint ventures, which exposes us to risks inherent in assimilating new operations, expanding into new jurisdictions, and making non-controlling minority investments in other entities.</w:t>
      </w:r>
    </w:p>
    <w:p>
      <w:pPr>
        <w:spacing w:after="0" w:line="62"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In order to maintain and enhance our competitive position, we may review and pursue acquisition and venture opportunities. We cannot assure that we will identify and consummate any such transactions on acceptable terms or have sufficient resources to accomplish such a strategy. In addition, any strategic transaction can involve a number of risks, including additional demands on our staff; unanticipated problems regarding integration of investor account and investment security recordkeeping,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5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 January 2010, we completed the acquisition of a 26% investment in UTI Asset Management Company (India) and we may consider non-controlling minority investments in other entities in the future. We may not realize future returns from such investments or any collaborative activities that may develop.</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62"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subject to extensive regulation by foreign and domestic governments, regulatory agencies such as the SEC in the United States and the FSA in Great Britain, and self-regulatory organizations such as FINRA. The conduct of our business is in large part dictated by adherence to such regulation, including federal laws such as the Sarbanes-Oxley Act of 2002, the USA Patriot Act of 2001, the Employee Retirement Income Security Act of 1974 (ERISA), regulations relating to the mutual fund industry specifically and securities laws generally, accounting standards, and banking and tax laws. Compliance with these complex regulations and our disclosure and financial reporting obligations requires significant investments of time and money and could limit our ability to enter into new lines of business. Further, the regulations imposed by one jurisdiction may conflict with the regulations imposed by another, and these differences may be difficult or impossible to reconcile.</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Future changes could require us to modify or curtail our investment offerings and business operations.</w:t>
      </w:r>
    </w:p>
    <w:p>
      <w:pPr>
        <w:spacing w:after="0" w:line="62"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6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cause a loss of mutual fund investors, and reduce our revenues.</w:t>
      </w:r>
    </w:p>
    <w:p>
      <w:pPr>
        <w:spacing w:after="0" w:line="62"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Because of the recent disclosures of trading abuses and fraudulent investment activities, the collapse of the independent investment banking industry in the U.S., and massive government investment in the U.S. banking and financial system, regulators have shown increasing interest in the oversight of the broad financial and investment industry. Federal agencies have adopted some, and proposed other, new regulations designed to strengthen controls and restore investor confidence. More oversight and rules can be expected in the future that could place greater compliance and administrative burdens on us, which likely would increase our expenses without increasing revenues. In addition, new regulations could require the Price funds to reduce the level of certain mutual fund fees paid to us or require us to bear additional expenses,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0" w:name="page11"/>
    <w:bookmarkEnd w:id="10"/>
    <w:p>
      <w:pPr>
        <w:jc w:val="both"/>
        <w:ind w:right="20"/>
        <w:spacing w:after="0" w:line="259" w:lineRule="auto"/>
        <w:rPr>
          <w:sz w:val="20"/>
          <w:szCs w:val="20"/>
          <w:color w:val="auto"/>
        </w:rPr>
      </w:pPr>
      <w:r>
        <w:rPr>
          <w:rFonts w:ascii="Arial" w:cs="Arial" w:eastAsia="Arial" w:hAnsi="Arial"/>
          <w:sz w:val="18"/>
          <w:szCs w:val="18"/>
          <w:color w:val="auto"/>
        </w:rPr>
        <w:t>which would affect our operating results. Further, adverse results of regulatory investigations of mutual fund, investment advisory and financial services firms could tarnish the reputation of the financial services industry generally and mutual funds and investment advisers more specifically, causing investors to avoid further fund investments or redeem their account balances. Redemptions would decrease the assets under our management, which would reduce our advisory revenues and net income.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increased incidence of litigation and regulatory investigations in the financial services industry in recent years, including customer claims and class action suits alleging substantial monetary damages.</w:t>
      </w:r>
    </w:p>
    <w:p>
      <w:pPr>
        <w:spacing w:after="0" w:line="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assure that our insurance will cover most liabilities and losses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subsidiaries are subject to net capital requirements imposed by various federal, state, and foreign authorities. Our subsidiaries’ net capital meets or exceeds all minimum requirements; however, a significant operating or investment loss or an extraordinary charge against net capital could adversely affect the ability of our subsidiaries to expand or even maintain their operations if we were unable to make additional investments in them.</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our technology became inoperative or obsolete.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depend on highly specialized and, in many cases, proprietary technology to support our business functions, including among others:</w:t>
      </w:r>
    </w:p>
    <w:p>
      <w:pPr>
        <w:spacing w:after="0" w:line="117" w:lineRule="exact"/>
        <w:rPr>
          <w:sz w:val="20"/>
          <w:szCs w:val="20"/>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securities analysis,</w:t>
      </w:r>
    </w:p>
    <w:p>
      <w:pPr>
        <w:spacing w:after="0" w:line="23" w:lineRule="exact"/>
        <w:rPr>
          <w:rFonts w:ascii="Arial" w:cs="Arial" w:eastAsia="Arial" w:hAnsi="Arial"/>
          <w:sz w:val="18"/>
          <w:szCs w:val="18"/>
          <w:b w:val="1"/>
          <w:bCs w:val="1"/>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securities trading,</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portfolio management,</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customer service,</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accounting and internal financial processes and controls, and</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regulatory compliance and reporting.</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All of our technology systems are vulnerable to disability or failures due to hacking, viruses, natural disasters, power failures, acts of war or terrorism, and other causes. Some of our software is licensed from and supported by outside vendors upon whom we rely to prevent operating system failure. A suspension or termination of these licenses or the related support, upgrades and maintenance could cause system delays or interruption.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to liability to our customers.</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technology. If we are unable to upgrade our technology in a timely fashion, we might lose customers and fail to maintain regulatory compliance, which could affect our results of operations and severely damage our reputation.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11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timely detected. Our systems could be victimized by unauthorized users or corrupted by computer viruses or other malicious software code, or authorized persons could inadvertently or intentionally release confidential or proprietary information. Such disclosure could, among other things:</w:t>
      </w:r>
    </w:p>
    <w:p>
      <w:pPr>
        <w:spacing w:after="0" w:line="64" w:lineRule="exact"/>
        <w:rPr>
          <w:sz w:val="20"/>
          <w:szCs w:val="20"/>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seriously damage our reputation,</w:t>
      </w:r>
    </w:p>
    <w:p>
      <w:pPr>
        <w:spacing w:after="0" w:line="23" w:lineRule="exact"/>
        <w:rPr>
          <w:rFonts w:ascii="Arial" w:cs="Arial" w:eastAsia="Arial" w:hAnsi="Arial"/>
          <w:sz w:val="18"/>
          <w:szCs w:val="18"/>
          <w:b w:val="1"/>
          <w:bCs w:val="1"/>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allow competitors access to our proprietary business information,</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subject us to liability for a failure to safeguard client data,</w:t>
      </w:r>
    </w:p>
    <w:p>
      <w:pPr>
        <w:spacing w:after="0" w:line="9" w:lineRule="exact"/>
        <w:rPr>
          <w:rFonts w:ascii="Arial" w:cs="Arial" w:eastAsia="Arial" w:hAnsi="Arial"/>
          <w:sz w:val="18"/>
          <w:szCs w:val="18"/>
          <w:b w:val="1"/>
          <w:bCs w:val="1"/>
          <w:color w:val="auto"/>
        </w:rPr>
      </w:pPr>
    </w:p>
    <w:p>
      <w:pPr>
        <w:ind w:left="200" w:hanging="192"/>
        <w:spacing w:after="0"/>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result in the termination of contracts by our existing customers,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subject us to regulatory action, and</w:t>
      </w:r>
    </w:p>
    <w:p>
      <w:pPr>
        <w:spacing w:after="0" w:line="23" w:lineRule="exact"/>
        <w:rPr>
          <w:rFonts w:ascii="Arial" w:cs="Arial" w:eastAsia="Arial" w:hAnsi="Arial"/>
          <w:sz w:val="18"/>
          <w:szCs w:val="18"/>
          <w:b w:val="1"/>
          <w:bCs w:val="1"/>
          <w:color w:val="auto"/>
        </w:rPr>
      </w:pPr>
    </w:p>
    <w:p>
      <w:pPr>
        <w:ind w:left="200" w:hanging="192"/>
        <w:spacing w:after="0"/>
        <w:tabs>
          <w:tab w:leader="none" w:pos="2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require significant capital and operating expenditures to investigate and remediate the breach.</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Our operating and servicing activities are largely conducted at owned facilities in campus settings comprising 294,000 square feet in Colorado Springs, Colorado, and 822,000 square feet on three parcels of land in close proximity in Owings Mills, Maryland. We are presently constructing two buildings, with an additional 336,000 square feet of space at the largest Owings Mills site, that will not be placed into service until 2011. In 2009, we purchased a 72 acre parcel of land in Pasco County, Florida to accommodate potential future development. In 2009, we also purchased a parcel of land in Hagerstown, Maryland and are currently constructing a 60,000 square foot technology support facility that will be placed into service in 2011.</w:t>
      </w:r>
    </w:p>
    <w:p>
      <w:pPr>
        <w:spacing w:after="0" w:line="6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presently maintain investor centers for walk-in traffic and investor meetings in leased facilities located in the Baltimore; Boca Raton, Florida; Boston (Wellesley, Massachusetts); Chicago (Oak Brook and Northbrook, Illinois); Los Angeles; New York City/New Jersey (Garden City, New York, and Paramus and Short Hills, New Jersey); San Francisco (Walnut Creek, California); Tampa, Florida; and Washington (Washington, D.C. and McLean, Virginia) areas. We also have investor centers in our owned facilities in Colorado Springs and Owings Mills. These investor centers allow us to be available in person to meet with a large number of our individual investors.</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corporate offices include 425,000 square feet under lease until mid-2017 at 100 East Pratt Street in Baltimore. We lease our other offices, including those in London, our business recovery site in Maryland, and our customer service call center in Tampa.</w:t>
      </w:r>
    </w:p>
    <w:p>
      <w:pPr>
        <w:spacing w:after="0" w:line="6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Information concerning our anticipated capital expenditures in 2010 and our future minimum rental payments under noncancelable operating leases at December 31, 2009,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 during the fourth quarter of 2009.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information includes the names, ages, and positions of our executive officers. There are no arrangements or understandings pursuant to which any person serves as an officer. The first six individuals are members of our management committee.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James A.C. Kennedy (56), Chief Executive Officer and President since 2007. Mr. Kennedy was previously a Vice President from 1981-2006.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Brian C. Rogers (54), Chairman since 2007 and a Vice President since 1985.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(53), Vice Chairman since 2007 and a Vice President since 1989.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William J. Stromberg (49), a Vice President since 1990.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(47), a Vice President since 2002.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Michael C. Gitlin (39), a Vice President since 2007. Mr. Gitlin was Head of U.S. Equity Sales for Citigroup Global Markets from 2005 to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Kenneth V. Moreland (53), Chief Financial Officer and a Vice President since 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Wayne D. O’Melia (57), a Vice President since 1987.</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Joseph P. Croteau (55), Treasurer and Principal Accounting Officer since 2000 and a Vice President since 1987. Mr. Croteau will retire on March 1, 2010. Jessica M. Hiebler (34) will succeed him as Principal Accounting Officer and Mr. Moreland will assume the additional position of Treasurer. Ms. Hiebler has been a Vice President of T. Rowe Price Group since 2009 and a Vice President of T. Rowe Price Associates since she joined the firm in 2005. She was formerly a Vice President at Constellation Energy Commodities Group from 2004 – 2005. Ms. Hiebler is a Certified Public Accountant in the State of Maryland.</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333"/>
              <w:spacing w:after="0"/>
              <w:rPr>
                <w:sz w:val="20"/>
                <w:szCs w:val="20"/>
                <w:color w:val="auto"/>
              </w:rPr>
            </w:pPr>
            <w:r>
              <w:rPr>
                <w:rFonts w:ascii="Arial" w:cs="Arial" w:eastAsia="Arial" w:hAnsi="Arial"/>
                <w:sz w:val="14"/>
                <w:szCs w:val="14"/>
                <w:color w:val="auto"/>
              </w:rPr>
              <w:t>1st</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2nd</w:t>
            </w: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3rd</w:t>
            </w: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right"/>
              <w:ind w:right="333"/>
              <w:spacing w:after="0"/>
              <w:rPr>
                <w:sz w:val="20"/>
                <w:szCs w:val="20"/>
                <w:color w:val="auto"/>
              </w:rPr>
            </w:pPr>
            <w:r>
              <w:rPr>
                <w:rFonts w:ascii="Arial" w:cs="Arial" w:eastAsia="Arial" w:hAnsi="Arial"/>
                <w:sz w:val="14"/>
                <w:szCs w:val="14"/>
                <w:color w:val="auto"/>
              </w:rPr>
              <w:t>4th</w:t>
            </w:r>
          </w:p>
        </w:tc>
      </w:tr>
      <w:tr>
        <w:trPr>
          <w:trHeight w:val="167"/>
        </w:trPr>
        <w:tc>
          <w:tcPr>
            <w:tcW w:w="58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193"/>
              <w:spacing w:after="0"/>
              <w:rPr>
                <w:sz w:val="20"/>
                <w:szCs w:val="20"/>
                <w:color w:val="auto"/>
              </w:rPr>
            </w:pPr>
            <w:r>
              <w:rPr>
                <w:rFonts w:ascii="Arial" w:cs="Arial" w:eastAsia="Arial" w:hAnsi="Arial"/>
                <w:sz w:val="14"/>
                <w:szCs w:val="14"/>
                <w:color w:val="auto"/>
              </w:rPr>
              <w:t>Quarter</w:t>
            </w:r>
          </w:p>
        </w:tc>
        <w:tc>
          <w:tcPr>
            <w:tcW w:w="500" w:type="dxa"/>
            <w:vAlign w:val="bottom"/>
          </w:tcPr>
          <w:p>
            <w:pPr>
              <w:spacing w:after="0"/>
              <w:rPr>
                <w:sz w:val="14"/>
                <w:szCs w:val="14"/>
                <w:color w:val="auto"/>
              </w:rPr>
            </w:pPr>
          </w:p>
        </w:tc>
        <w:tc>
          <w:tcPr>
            <w:tcW w:w="104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0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c>
          <w:tcPr>
            <w:tcW w:w="520" w:type="dxa"/>
            <w:vAlign w:val="bottom"/>
          </w:tcPr>
          <w:p>
            <w:pPr>
              <w:spacing w:after="0"/>
              <w:rPr>
                <w:sz w:val="14"/>
                <w:szCs w:val="14"/>
                <w:color w:val="auto"/>
              </w:rPr>
            </w:pPr>
          </w:p>
        </w:tc>
        <w:tc>
          <w:tcPr>
            <w:tcW w:w="1020" w:type="dxa"/>
            <w:vAlign w:val="bottom"/>
            <w:tcBorders>
              <w:bottom w:val="single" w:sz="8" w:color="auto"/>
            </w:tcBorders>
            <w:gridSpan w:val="2"/>
          </w:tcPr>
          <w:p>
            <w:pPr>
              <w:jc w:val="right"/>
              <w:ind w:right="213"/>
              <w:spacing w:after="0"/>
              <w:rPr>
                <w:sz w:val="20"/>
                <w:szCs w:val="20"/>
                <w:color w:val="auto"/>
              </w:rPr>
            </w:pPr>
            <w:r>
              <w:rPr>
                <w:rFonts w:ascii="Arial" w:cs="Arial" w:eastAsia="Arial" w:hAnsi="Arial"/>
                <w:sz w:val="14"/>
                <w:szCs w:val="14"/>
                <w:color w:val="auto"/>
              </w:rPr>
              <w:t>Quarter</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2008 – High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60.42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63.70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70.20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58.00</w:t>
            </w:r>
          </w:p>
        </w:tc>
      </w:tr>
      <w:tr>
        <w:trPr>
          <w:trHeight w:val="216"/>
        </w:trPr>
        <w:tc>
          <w:tcPr>
            <w:tcW w:w="5800" w:type="dxa"/>
            <w:vAlign w:val="bottom"/>
          </w:tcPr>
          <w:p>
            <w:pPr>
              <w:ind w:left="500"/>
              <w:spacing w:after="0"/>
              <w:rPr>
                <w:sz w:val="20"/>
                <w:szCs w:val="20"/>
                <w:color w:val="auto"/>
              </w:rPr>
            </w:pPr>
            <w:r>
              <w:rPr>
                <w:rFonts w:ascii="Arial" w:cs="Arial" w:eastAsia="Arial" w:hAnsi="Arial"/>
                <w:sz w:val="18"/>
                <w:szCs w:val="18"/>
                <w:color w:val="auto"/>
              </w:rPr>
              <w:t>Low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43.00</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49.95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46.18</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24.26</w:t>
            </w:r>
          </w:p>
        </w:tc>
      </w:tr>
      <w:tr>
        <w:trPr>
          <w:trHeight w:val="216"/>
        </w:trPr>
        <w:tc>
          <w:tcPr>
            <w:tcW w:w="5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Cash dividends declared</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.24</w:t>
            </w:r>
          </w:p>
        </w:tc>
      </w:tr>
      <w:tr>
        <w:trPr>
          <w:trHeight w:val="432"/>
        </w:trPr>
        <w:tc>
          <w:tcPr>
            <w:tcW w:w="5800" w:type="dxa"/>
            <w:vAlign w:val="bottom"/>
          </w:tcPr>
          <w:p>
            <w:pPr>
              <w:spacing w:after="0"/>
              <w:rPr>
                <w:sz w:val="20"/>
                <w:szCs w:val="20"/>
                <w:color w:val="auto"/>
              </w:rPr>
            </w:pPr>
            <w:r>
              <w:rPr>
                <w:rFonts w:ascii="Arial" w:cs="Arial" w:eastAsia="Arial" w:hAnsi="Arial"/>
                <w:sz w:val="18"/>
                <w:szCs w:val="18"/>
                <w:color w:val="auto"/>
              </w:rPr>
              <w:t>2009 – High price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37.91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44.90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49.15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w w:val="84"/>
              </w:rPr>
              <w:t>55.48</w:t>
            </w:r>
          </w:p>
        </w:tc>
      </w:tr>
      <w:tr>
        <w:trPr>
          <w:trHeight w:val="216"/>
        </w:trPr>
        <w:tc>
          <w:tcPr>
            <w:tcW w:w="58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Low price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20.09</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27.47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36.67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w w:val="84"/>
              </w:rPr>
              <w:t>43.05</w:t>
            </w:r>
          </w:p>
        </w:tc>
      </w:tr>
      <w:tr>
        <w:trPr>
          <w:trHeight w:val="230"/>
        </w:trPr>
        <w:tc>
          <w:tcPr>
            <w:tcW w:w="5800" w:type="dxa"/>
            <w:vAlign w:val="bottom"/>
          </w:tcPr>
          <w:p>
            <w:pPr>
              <w:ind w:left="500"/>
              <w:spacing w:after="0"/>
              <w:rPr>
                <w:sz w:val="20"/>
                <w:szCs w:val="20"/>
                <w:color w:val="auto"/>
              </w:rPr>
            </w:pPr>
            <w:r>
              <w:rPr>
                <w:rFonts w:ascii="Arial" w:cs="Arial" w:eastAsia="Arial" w:hAnsi="Arial"/>
                <w:sz w:val="18"/>
                <w:szCs w:val="18"/>
                <w:color w:val="auto"/>
              </w:rPr>
              <w:t>Cash dividends declared</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3"/>
              <w:spacing w:after="0"/>
              <w:rPr>
                <w:sz w:val="20"/>
                <w:szCs w:val="20"/>
                <w:color w:val="auto"/>
              </w:rPr>
            </w:pPr>
            <w:r>
              <w:rPr>
                <w:rFonts w:ascii="Arial" w:cs="Arial" w:eastAsia="Arial" w:hAnsi="Arial"/>
                <w:sz w:val="18"/>
                <w:szCs w:val="18"/>
                <w:color w:val="auto"/>
              </w:rPr>
              <w:t>.25</w:t>
            </w:r>
          </w:p>
        </w:tc>
      </w:tr>
    </w:tbl>
    <w:p>
      <w:pPr>
        <w:spacing w:after="0" w:line="7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presently plan to declare and pay quarterly cash dividends in 2010 that, taken together, will exceed the $1.00 per share declared and paid for 2009. Our annual dividends per share have increased every year since we became a public company in 1986; however, there can be no assurance that we will continue to pay dividends at increasing rates or at all.</w:t>
      </w:r>
    </w:p>
    <w:p>
      <w:pPr>
        <w:spacing w:after="0" w:line="7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Our common stockholders have approved all of our equity compensation plans. These plans provide for the issuance of up to 57,346,800 shares of our common stock at December 31, 2009, including 39,269,159 shares that may be issued upon the exercise of outstanding stock options at a weighted average price of $38.10, and 326,094 shares that may be issued in conjunction with outstanding stock units. Additionally, 17,751,547 shares remain available for future issuances. Under the terms of the 2004 Stock Incentive Plan, the number of shares provided and available for future issuance will increase as we repurchase common stock in the future from the proceeds of stock option exercises.</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2009, we repurchased 2,270,320 shares of our common stock pursuant to resolutions of our Board of Directors. Repurchase activity during the fourth quarter of 2009 was conducted under the Board of Directors’ authorization of June 5, 2008,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4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1"/>
              </w:rPr>
              <w:t>Average</w:t>
            </w: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5"/>
              </w:rPr>
              <w:t>Total Number of</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2"/>
              </w:rPr>
              <w:t>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3"/>
              </w:rPr>
              <w:t>Price</w:t>
            </w:r>
          </w:p>
        </w:tc>
        <w:tc>
          <w:tcPr>
            <w:tcW w:w="182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6"/>
              </w:rPr>
              <w:t>Shares Purchased as</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80" w:type="dxa"/>
            <w:vAlign w:val="bottom"/>
            <w:gridSpan w:val="2"/>
          </w:tcPr>
          <w:p>
            <w:pPr>
              <w:jc w:val="right"/>
              <w:ind w:right="600"/>
              <w:spacing w:after="0" w:line="149" w:lineRule="exact"/>
              <w:rPr>
                <w:sz w:val="20"/>
                <w:szCs w:val="20"/>
                <w:color w:val="auto"/>
              </w:rPr>
            </w:pPr>
            <w:r>
              <w:rPr>
                <w:rFonts w:ascii="Arial" w:cs="Arial" w:eastAsia="Arial" w:hAnsi="Arial"/>
                <w:sz w:val="14"/>
                <w:szCs w:val="14"/>
                <w:color w:val="auto"/>
                <w:w w:val="95"/>
              </w:rPr>
              <w:t>Total Number of</w:t>
            </w:r>
          </w:p>
        </w:tc>
        <w:tc>
          <w:tcPr>
            <w:tcW w:w="1240" w:type="dxa"/>
            <w:vAlign w:val="bottom"/>
            <w:gridSpan w:val="3"/>
          </w:tcPr>
          <w:p>
            <w:pPr>
              <w:jc w:val="center"/>
              <w:ind w:right="580"/>
              <w:spacing w:after="0" w:line="149" w:lineRule="exact"/>
              <w:rPr>
                <w:sz w:val="20"/>
                <w:szCs w:val="20"/>
                <w:color w:val="auto"/>
              </w:rPr>
            </w:pPr>
            <w:r>
              <w:rPr>
                <w:rFonts w:ascii="Arial" w:cs="Arial" w:eastAsia="Arial" w:hAnsi="Arial"/>
                <w:sz w:val="14"/>
                <w:szCs w:val="14"/>
                <w:color w:val="auto"/>
                <w:w w:val="88"/>
              </w:rPr>
              <w:t>Paid per</w:t>
            </w:r>
          </w:p>
        </w:tc>
        <w:tc>
          <w:tcPr>
            <w:tcW w:w="182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6"/>
              </w:rPr>
              <w:t>Part of Publicly</w:t>
            </w: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940" w:type="dxa"/>
            <w:vAlign w:val="bottom"/>
          </w:tcPr>
          <w:p>
            <w:pPr>
              <w:ind w:left="2260"/>
              <w:spacing w:after="0"/>
              <w:rPr>
                <w:sz w:val="20"/>
                <w:szCs w:val="20"/>
                <w:color w:val="auto"/>
              </w:rPr>
            </w:pPr>
            <w:r>
              <w:rPr>
                <w:rFonts w:ascii="Arial" w:cs="Arial" w:eastAsia="Arial" w:hAnsi="Arial"/>
                <w:sz w:val="14"/>
                <w:szCs w:val="14"/>
                <w:color w:val="auto"/>
              </w:rPr>
              <w:t>Month</w:t>
            </w:r>
          </w:p>
        </w:tc>
        <w:tc>
          <w:tcPr>
            <w:tcW w:w="460" w:type="dxa"/>
            <w:vAlign w:val="bottom"/>
          </w:tcPr>
          <w:p>
            <w:pPr>
              <w:spacing w:after="0"/>
              <w:rPr>
                <w:sz w:val="14"/>
                <w:szCs w:val="14"/>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color w:val="auto"/>
                <w:w w:val="86"/>
              </w:rPr>
              <w:t>Shares Purchased</w:t>
            </w:r>
          </w:p>
        </w:tc>
        <w:tc>
          <w:tcPr>
            <w:tcW w:w="120" w:type="dxa"/>
            <w:vAlign w:val="bottom"/>
          </w:tcPr>
          <w:p>
            <w:pPr>
              <w:spacing w:after="0"/>
              <w:rPr>
                <w:sz w:val="14"/>
                <w:szCs w:val="14"/>
                <w:color w:val="auto"/>
              </w:rPr>
            </w:pPr>
          </w:p>
        </w:tc>
        <w:tc>
          <w:tcPr>
            <w:tcW w:w="1120" w:type="dxa"/>
            <w:vAlign w:val="bottom"/>
            <w:gridSpan w:val="2"/>
          </w:tcPr>
          <w:p>
            <w:pPr>
              <w:jc w:val="center"/>
              <w:ind w:right="700"/>
              <w:spacing w:after="0"/>
              <w:rPr>
                <w:sz w:val="20"/>
                <w:szCs w:val="20"/>
                <w:color w:val="auto"/>
              </w:rPr>
            </w:pPr>
            <w:r>
              <w:rPr>
                <w:rFonts w:ascii="Arial" w:cs="Arial" w:eastAsia="Arial" w:hAnsi="Arial"/>
                <w:sz w:val="14"/>
                <w:szCs w:val="14"/>
                <w:color w:val="auto"/>
                <w:w w:val="90"/>
              </w:rPr>
              <w:t>Share</w:t>
            </w:r>
          </w:p>
        </w:tc>
        <w:tc>
          <w:tcPr>
            <w:tcW w:w="182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Announced Programs</w:t>
            </w:r>
          </w:p>
        </w:tc>
        <w:tc>
          <w:tcPr>
            <w:tcW w:w="136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October</w:t>
            </w:r>
          </w:p>
        </w:tc>
        <w:tc>
          <w:tcPr>
            <w:tcW w:w="4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November</w:t>
            </w:r>
          </w:p>
        </w:tc>
        <w:tc>
          <w:tcPr>
            <w:tcW w:w="2040" w:type="dxa"/>
            <w:vAlign w:val="bottom"/>
            <w:gridSpan w:val="3"/>
          </w:tcPr>
          <w:p>
            <w:pPr>
              <w:jc w:val="right"/>
              <w:ind w:right="580"/>
              <w:spacing w:after="0"/>
              <w:rPr>
                <w:sz w:val="20"/>
                <w:szCs w:val="20"/>
                <w:color w:val="auto"/>
              </w:rPr>
            </w:pPr>
            <w:r>
              <w:rPr>
                <w:rFonts w:ascii="Arial" w:cs="Arial" w:eastAsia="Arial" w:hAnsi="Arial"/>
                <w:sz w:val="18"/>
                <w:szCs w:val="18"/>
                <w:color w:val="auto"/>
              </w:rPr>
              <w:t>50,000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48.25</w:t>
            </w:r>
          </w:p>
        </w:tc>
        <w:tc>
          <w:tcPr>
            <w:tcW w:w="1820" w:type="dxa"/>
            <w:vAlign w:val="bottom"/>
            <w:gridSpan w:val="2"/>
          </w:tcPr>
          <w:p>
            <w:pPr>
              <w:jc w:val="right"/>
              <w:ind w:right="580"/>
              <w:spacing w:after="0"/>
              <w:rPr>
                <w:sz w:val="20"/>
                <w:szCs w:val="20"/>
                <w:color w:val="auto"/>
              </w:rPr>
            </w:pPr>
            <w:r>
              <w:rPr>
                <w:rFonts w:ascii="Arial" w:cs="Arial" w:eastAsia="Arial" w:hAnsi="Arial"/>
                <w:sz w:val="18"/>
                <w:szCs w:val="18"/>
                <w:color w:val="auto"/>
              </w:rPr>
              <w:t>50,000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12,609,110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December</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48.88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5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12,409,110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48.76</w:t>
            </w:r>
          </w:p>
        </w:tc>
        <w:tc>
          <w:tcPr>
            <w:tcW w:w="58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There are approximately 130,500 beneficial stockholder accounts holding our common stock.</w:t>
      </w:r>
    </w:p>
    <w:p>
      <w:pPr>
        <w:spacing w:after="0" w:line="19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96"/>
              </w:rPr>
              <w:t>2005</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89"/>
              </w:rPr>
              <w:t>2006</w:t>
            </w:r>
          </w:p>
        </w:tc>
        <w:tc>
          <w:tcPr>
            <w:tcW w:w="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9"/>
              </w:rPr>
              <w:t>2007</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w w:val="96"/>
              </w:rPr>
              <w:t>2008</w:t>
            </w: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00" w:type="dxa"/>
            <w:vAlign w:val="bottom"/>
            <w:gridSpan w:val="9"/>
          </w:tcPr>
          <w:p>
            <w:pPr>
              <w:jc w:val="center"/>
              <w:ind w:right="100"/>
              <w:spacing w:after="0" w:line="142" w:lineRule="exact"/>
              <w:rPr>
                <w:sz w:val="20"/>
                <w:szCs w:val="20"/>
                <w:color w:val="auto"/>
              </w:rPr>
            </w:pPr>
            <w:r>
              <w:rPr>
                <w:rFonts w:ascii="Arial" w:cs="Arial" w:eastAsia="Arial" w:hAnsi="Arial"/>
                <w:sz w:val="14"/>
                <w:szCs w:val="14"/>
                <w:color w:val="auto"/>
                <w:w w:val="93"/>
              </w:rPr>
              <w:t>(in millions, except per-share data)</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0" w:type="dxa"/>
            <w:vAlign w:val="bottom"/>
            <w:gridSpan w:val="3"/>
            <w:shd w:val="clear" w:color="auto" w:fill="CCEEFF"/>
          </w:tcPr>
          <w:p>
            <w:pPr>
              <w:jc w:val="right"/>
              <w:ind w:right="214"/>
              <w:spacing w:after="0"/>
              <w:rPr>
                <w:sz w:val="20"/>
                <w:szCs w:val="20"/>
                <w:color w:val="auto"/>
              </w:rPr>
            </w:pPr>
            <w:r>
              <w:rPr>
                <w:rFonts w:ascii="Arial" w:cs="Arial" w:eastAsia="Arial" w:hAnsi="Arial"/>
                <w:sz w:val="18"/>
                <w:szCs w:val="18"/>
                <w:color w:val="auto"/>
              </w:rPr>
              <w:t>$1,512</w:t>
            </w:r>
          </w:p>
        </w:tc>
        <w:tc>
          <w:tcPr>
            <w:tcW w:w="1340" w:type="dxa"/>
            <w:vAlign w:val="bottom"/>
            <w:gridSpan w:val="5"/>
            <w:shd w:val="clear" w:color="auto" w:fill="CCEEFF"/>
          </w:tcPr>
          <w:p>
            <w:pPr>
              <w:jc w:val="right"/>
              <w:ind w:right="74"/>
              <w:spacing w:after="0"/>
              <w:rPr>
                <w:sz w:val="20"/>
                <w:szCs w:val="20"/>
                <w:color w:val="auto"/>
              </w:rPr>
            </w:pPr>
            <w:r>
              <w:rPr>
                <w:rFonts w:ascii="Arial" w:cs="Arial" w:eastAsia="Arial" w:hAnsi="Arial"/>
                <w:sz w:val="18"/>
                <w:szCs w:val="18"/>
                <w:color w:val="auto"/>
              </w:rPr>
              <w:t>$1,815</w:t>
            </w:r>
          </w:p>
        </w:tc>
        <w:tc>
          <w:tcPr>
            <w:tcW w:w="1620" w:type="dxa"/>
            <w:vAlign w:val="bottom"/>
            <w:gridSpan w:val="6"/>
            <w:shd w:val="clear" w:color="auto" w:fill="CCEEFF"/>
          </w:tcPr>
          <w:p>
            <w:pPr>
              <w:jc w:val="right"/>
              <w:ind w:right="214"/>
              <w:spacing w:after="0"/>
              <w:rPr>
                <w:sz w:val="20"/>
                <w:szCs w:val="20"/>
                <w:color w:val="auto"/>
              </w:rPr>
            </w:pPr>
            <w:r>
              <w:rPr>
                <w:rFonts w:ascii="Arial" w:cs="Arial" w:eastAsia="Arial" w:hAnsi="Arial"/>
                <w:sz w:val="18"/>
                <w:szCs w:val="18"/>
                <w:color w:val="auto"/>
              </w:rPr>
              <w:t>$2,228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$2,116</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1,867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Net operating income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655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787</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996</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849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431</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530</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671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491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540</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593</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758</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742</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Per-share information</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Basic earnings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1.65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2.01</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1.89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earnings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1.58</w:t>
            </w: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1.90</w:t>
            </w: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2.40</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1.81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Cash dividends declared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14"/>
              <w:spacing w:after="0"/>
              <w:rPr>
                <w:sz w:val="20"/>
                <w:szCs w:val="20"/>
                <w:color w:val="auto"/>
              </w:rPr>
            </w:pPr>
            <w:r>
              <w:rPr>
                <w:rFonts w:ascii="Arial" w:cs="Arial" w:eastAsia="Arial" w:hAnsi="Arial"/>
                <w:sz w:val="18"/>
                <w:szCs w:val="18"/>
                <w:color w:val="auto"/>
              </w:rPr>
              <w:t>.485</w:t>
            </w:r>
          </w:p>
        </w:tc>
        <w:tc>
          <w:tcPr>
            <w:tcW w:w="7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4"/>
              <w:spacing w:after="0"/>
              <w:rPr>
                <w:sz w:val="20"/>
                <w:szCs w:val="20"/>
                <w:color w:val="auto"/>
              </w:rPr>
            </w:pPr>
            <w:r>
              <w:rPr>
                <w:rFonts w:ascii="Arial" w:cs="Arial" w:eastAsia="Arial" w:hAnsi="Arial"/>
                <w:sz w:val="18"/>
                <w:szCs w:val="18"/>
                <w:color w:val="auto"/>
              </w:rPr>
              <w:t>.59</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4"/>
              <w:spacing w:after="0"/>
              <w:rPr>
                <w:sz w:val="20"/>
                <w:szCs w:val="20"/>
                <w:color w:val="auto"/>
              </w:rPr>
            </w:pPr>
            <w:r>
              <w:rPr>
                <w:rFonts w:ascii="Arial" w:cs="Arial" w:eastAsia="Arial" w:hAnsi="Arial"/>
                <w:sz w:val="18"/>
                <w:szCs w:val="18"/>
                <w:color w:val="auto"/>
              </w:rPr>
              <w:t>.75</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213"/>
              <w:spacing w:after="0"/>
              <w:rPr>
                <w:sz w:val="20"/>
                <w:szCs w:val="20"/>
                <w:color w:val="auto"/>
              </w:rPr>
            </w:pPr>
            <w:r>
              <w:rPr>
                <w:rFonts w:ascii="Arial" w:cs="Arial" w:eastAsia="Arial" w:hAnsi="Arial"/>
                <w:sz w:val="18"/>
                <w:szCs w:val="18"/>
                <w:color w:val="auto"/>
              </w:rPr>
              <w:t>.96</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8"/>
              </w:rPr>
              <w:t>260.5</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w w:val="84"/>
              </w:rPr>
              <w:t>263.8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4"/>
              </w:rPr>
              <w:t>264.8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13"/>
              <w:spacing w:after="0"/>
              <w:rPr>
                <w:sz w:val="20"/>
                <w:szCs w:val="20"/>
                <w:color w:val="auto"/>
              </w:rPr>
            </w:pPr>
            <w:r>
              <w:rPr>
                <w:rFonts w:ascii="Arial" w:cs="Arial" w:eastAsia="Arial" w:hAnsi="Arial"/>
                <w:sz w:val="18"/>
                <w:szCs w:val="18"/>
                <w:color w:val="auto"/>
              </w:rPr>
              <w:t>259.3</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255.9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outstanding</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assuming dilution</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jc w:val="right"/>
              <w:ind w:right="214"/>
              <w:spacing w:after="0"/>
              <w:rPr>
                <w:sz w:val="20"/>
                <w:szCs w:val="20"/>
                <w:color w:val="auto"/>
              </w:rPr>
            </w:pPr>
            <w:r>
              <w:rPr>
                <w:rFonts w:ascii="Arial" w:cs="Arial" w:eastAsia="Arial" w:hAnsi="Arial"/>
                <w:sz w:val="18"/>
                <w:szCs w:val="18"/>
                <w:color w:val="auto"/>
                <w:w w:val="88"/>
              </w:rPr>
              <w:t>273.2</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jc w:val="right"/>
              <w:ind w:right="74"/>
              <w:spacing w:after="0"/>
              <w:rPr>
                <w:sz w:val="20"/>
                <w:szCs w:val="20"/>
                <w:color w:val="auto"/>
              </w:rPr>
            </w:pPr>
            <w:r>
              <w:rPr>
                <w:rFonts w:ascii="Arial" w:cs="Arial" w:eastAsia="Arial" w:hAnsi="Arial"/>
                <w:sz w:val="18"/>
                <w:szCs w:val="18"/>
                <w:color w:val="auto"/>
                <w:w w:val="84"/>
              </w:rPr>
              <w:t>278.6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ind w:right="214"/>
              <w:spacing w:after="0"/>
              <w:rPr>
                <w:sz w:val="20"/>
                <w:szCs w:val="20"/>
                <w:color w:val="auto"/>
              </w:rPr>
            </w:pPr>
            <w:r>
              <w:rPr>
                <w:rFonts w:ascii="Arial" w:cs="Arial" w:eastAsia="Arial" w:hAnsi="Arial"/>
                <w:sz w:val="18"/>
                <w:szCs w:val="18"/>
                <w:color w:val="auto"/>
                <w:w w:val="84"/>
              </w:rPr>
              <w:t>279.1</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13"/>
              <w:spacing w:after="0"/>
              <w:rPr>
                <w:sz w:val="20"/>
                <w:szCs w:val="20"/>
                <w:color w:val="auto"/>
              </w:rPr>
            </w:pPr>
            <w:r>
              <w:rPr>
                <w:rFonts w:ascii="Arial" w:cs="Arial" w:eastAsia="Arial" w:hAnsi="Arial"/>
                <w:sz w:val="18"/>
                <w:szCs w:val="18"/>
                <w:color w:val="auto"/>
              </w:rPr>
              <w:t>269.9</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262.3</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6"/>
          </w:tcPr>
          <w:p>
            <w:pPr>
              <w:jc w:val="center"/>
              <w:ind w:right="580"/>
              <w:spacing w:after="0"/>
              <w:rPr>
                <w:sz w:val="20"/>
                <w:szCs w:val="20"/>
                <w:color w:val="auto"/>
              </w:rPr>
            </w:pPr>
            <w:r>
              <w:rPr>
                <w:rFonts w:ascii="Arial" w:cs="Arial" w:eastAsia="Arial" w:hAnsi="Arial"/>
                <w:sz w:val="14"/>
                <w:szCs w:val="14"/>
                <w:color w:val="auto"/>
                <w:w w:val="93"/>
              </w:rPr>
              <w:t>December 31,</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color w:val="auto"/>
              </w:rPr>
              <w:t>2005</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2006</w:t>
            </w:r>
          </w:p>
        </w:tc>
        <w:tc>
          <w:tcPr>
            <w:tcW w:w="1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54"/>
              <w:spacing w:after="0" w:line="142" w:lineRule="exact"/>
              <w:rPr>
                <w:sz w:val="20"/>
                <w:szCs w:val="20"/>
                <w:color w:val="auto"/>
              </w:rPr>
            </w:pPr>
            <w:r>
              <w:rPr>
                <w:rFonts w:ascii="Arial" w:cs="Arial" w:eastAsia="Arial" w:hAnsi="Arial"/>
                <w:sz w:val="14"/>
                <w:szCs w:val="14"/>
                <w:color w:val="auto"/>
                <w:w w:val="96"/>
              </w:rPr>
              <w:t>2007</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2008</w:t>
            </w:r>
          </w:p>
        </w:tc>
        <w:tc>
          <w:tcPr>
            <w:tcW w:w="2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2009</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4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sheet data</w:t>
            </w: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millions)</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Total assets</w:t>
            </w: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90"/>
              </w:rPr>
              <w:t>$2,311</w:t>
            </w:r>
          </w:p>
        </w:tc>
        <w:tc>
          <w:tcPr>
            <w:tcW w:w="1340" w:type="dxa"/>
            <w:vAlign w:val="bottom"/>
            <w:gridSpan w:val="5"/>
          </w:tcPr>
          <w:p>
            <w:pPr>
              <w:jc w:val="center"/>
              <w:ind w:left="490"/>
              <w:spacing w:after="0"/>
              <w:rPr>
                <w:sz w:val="20"/>
                <w:szCs w:val="20"/>
                <w:color w:val="auto"/>
              </w:rPr>
            </w:pPr>
            <w:r>
              <w:rPr>
                <w:rFonts w:ascii="Arial" w:cs="Arial" w:eastAsia="Arial" w:hAnsi="Arial"/>
                <w:sz w:val="18"/>
                <w:szCs w:val="18"/>
                <w:color w:val="auto"/>
                <w:w w:val="87"/>
              </w:rPr>
              <w:t>$2,765</w:t>
            </w:r>
          </w:p>
        </w:tc>
        <w:tc>
          <w:tcPr>
            <w:tcW w:w="1620" w:type="dxa"/>
            <w:vAlign w:val="bottom"/>
            <w:gridSpan w:val="6"/>
          </w:tcPr>
          <w:p>
            <w:pPr>
              <w:jc w:val="right"/>
              <w:ind w:right="174"/>
              <w:spacing w:after="0"/>
              <w:rPr>
                <w:sz w:val="20"/>
                <w:szCs w:val="20"/>
                <w:color w:val="auto"/>
              </w:rPr>
            </w:pPr>
            <w:r>
              <w:rPr>
                <w:rFonts w:ascii="Arial" w:cs="Arial" w:eastAsia="Arial" w:hAnsi="Arial"/>
                <w:sz w:val="18"/>
                <w:szCs w:val="18"/>
                <w:color w:val="auto"/>
              </w:rPr>
              <w:t>$3,177</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w w:val="84"/>
              </w:rPr>
              <w:t>2,819</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3,210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equity</w:t>
            </w:r>
          </w:p>
        </w:tc>
        <w:tc>
          <w:tcPr>
            <w:tcW w:w="10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0"/>
              </w:rPr>
              <w:t>$2,036</w:t>
            </w:r>
          </w:p>
        </w:tc>
        <w:tc>
          <w:tcPr>
            <w:tcW w:w="1340" w:type="dxa"/>
            <w:vAlign w:val="bottom"/>
            <w:gridSpan w:val="5"/>
            <w:shd w:val="clear" w:color="auto" w:fill="CCEEFF"/>
          </w:tcPr>
          <w:p>
            <w:pPr>
              <w:jc w:val="center"/>
              <w:ind w:left="490"/>
              <w:spacing w:after="0"/>
              <w:rPr>
                <w:sz w:val="20"/>
                <w:szCs w:val="20"/>
                <w:color w:val="auto"/>
              </w:rPr>
            </w:pPr>
            <w:r>
              <w:rPr>
                <w:rFonts w:ascii="Arial" w:cs="Arial" w:eastAsia="Arial" w:hAnsi="Arial"/>
                <w:sz w:val="18"/>
                <w:szCs w:val="18"/>
                <w:color w:val="auto"/>
                <w:w w:val="87"/>
              </w:rPr>
              <w:t>$2,427</w:t>
            </w:r>
          </w:p>
        </w:tc>
        <w:tc>
          <w:tcPr>
            <w:tcW w:w="1620" w:type="dxa"/>
            <w:vAlign w:val="bottom"/>
            <w:gridSpan w:val="6"/>
            <w:shd w:val="clear" w:color="auto" w:fill="CCEEFF"/>
          </w:tcPr>
          <w:p>
            <w:pPr>
              <w:jc w:val="right"/>
              <w:ind w:right="174"/>
              <w:spacing w:after="0"/>
              <w:rPr>
                <w:sz w:val="20"/>
                <w:szCs w:val="20"/>
                <w:color w:val="auto"/>
              </w:rPr>
            </w:pPr>
            <w:r>
              <w:rPr>
                <w:rFonts w:ascii="Arial" w:cs="Arial" w:eastAsia="Arial" w:hAnsi="Arial"/>
                <w:sz w:val="18"/>
                <w:szCs w:val="18"/>
                <w:color w:val="auto"/>
              </w:rPr>
              <w:t>$2,777</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w w:val="84"/>
              </w:rPr>
              <w:t>2,489</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4"/>
              </w:rPr>
              <w:t>2,882</w:t>
            </w:r>
          </w:p>
        </w:tc>
        <w:tc>
          <w:tcPr>
            <w:tcW w:w="0" w:type="dxa"/>
            <w:vAlign w:val="bottom"/>
          </w:tcPr>
          <w:p>
            <w:pPr>
              <w:spacing w:after="0"/>
              <w:rPr>
                <w:sz w:val="1"/>
                <w:szCs w:val="1"/>
                <w:color w:val="auto"/>
              </w:rPr>
            </w:pPr>
          </w:p>
        </w:tc>
      </w:tr>
      <w:tr>
        <w:trPr>
          <w:trHeight w:val="418"/>
        </w:trPr>
        <w:tc>
          <w:tcPr>
            <w:tcW w:w="4460" w:type="dxa"/>
            <w:vAlign w:val="bottom"/>
            <w:gridSpan w:val="2"/>
          </w:tcPr>
          <w:p>
            <w:pPr>
              <w:spacing w:after="0"/>
              <w:rPr>
                <w:sz w:val="20"/>
                <w:szCs w:val="20"/>
                <w:color w:val="auto"/>
              </w:rPr>
            </w:pPr>
            <w:r>
              <w:rPr>
                <w:rFonts w:ascii="Arial" w:cs="Arial" w:eastAsia="Arial" w:hAnsi="Arial"/>
                <w:sz w:val="18"/>
                <w:szCs w:val="18"/>
                <w:color w:val="auto"/>
              </w:rPr>
              <w:t>Assets under management</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(in billions)</w:t>
            </w:r>
          </w:p>
        </w:tc>
        <w:tc>
          <w:tcPr>
            <w:tcW w:w="1000" w:type="dxa"/>
            <w:vAlign w:val="bottom"/>
            <w:gridSpan w:val="3"/>
          </w:tcPr>
          <w:p>
            <w:pPr>
              <w:jc w:val="center"/>
              <w:spacing w:after="0"/>
              <w:rPr>
                <w:sz w:val="20"/>
                <w:szCs w:val="20"/>
                <w:color w:val="auto"/>
              </w:rPr>
            </w:pPr>
            <w:r>
              <w:rPr>
                <w:rFonts w:ascii="Arial" w:cs="Arial" w:eastAsia="Arial" w:hAnsi="Arial"/>
                <w:sz w:val="18"/>
                <w:szCs w:val="18"/>
                <w:color w:val="auto"/>
                <w:w w:val="90"/>
              </w:rPr>
              <w:t>$269.5</w:t>
            </w:r>
          </w:p>
        </w:tc>
        <w:tc>
          <w:tcPr>
            <w:tcW w:w="1340" w:type="dxa"/>
            <w:vAlign w:val="bottom"/>
            <w:gridSpan w:val="5"/>
          </w:tcPr>
          <w:p>
            <w:pPr>
              <w:jc w:val="center"/>
              <w:ind w:left="490"/>
              <w:spacing w:after="0"/>
              <w:rPr>
                <w:sz w:val="20"/>
                <w:szCs w:val="20"/>
                <w:color w:val="auto"/>
              </w:rPr>
            </w:pPr>
            <w:r>
              <w:rPr>
                <w:rFonts w:ascii="Arial" w:cs="Arial" w:eastAsia="Arial" w:hAnsi="Arial"/>
                <w:sz w:val="18"/>
                <w:szCs w:val="18"/>
                <w:color w:val="auto"/>
                <w:w w:val="87"/>
              </w:rPr>
              <w:t>$334.7</w:t>
            </w:r>
          </w:p>
        </w:tc>
        <w:tc>
          <w:tcPr>
            <w:tcW w:w="1620" w:type="dxa"/>
            <w:vAlign w:val="bottom"/>
            <w:gridSpan w:val="6"/>
          </w:tcPr>
          <w:p>
            <w:pPr>
              <w:jc w:val="right"/>
              <w:ind w:right="174"/>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193"/>
              <w:spacing w:after="0"/>
              <w:rPr>
                <w:sz w:val="20"/>
                <w:szCs w:val="20"/>
                <w:color w:val="auto"/>
              </w:rPr>
            </w:pPr>
            <w:r>
              <w:rPr>
                <w:rFonts w:ascii="Arial" w:cs="Arial" w:eastAsia="Arial" w:hAnsi="Arial"/>
                <w:sz w:val="18"/>
                <w:szCs w:val="18"/>
                <w:color w:val="auto"/>
                <w:w w:val="84"/>
              </w:rPr>
              <w:t>276.3</w:t>
            </w: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391.3</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nearly 12% of our assets under management at December 31, 2009.</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manage a broad range of U.S., international and global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w:t>
      </w:r>
    </w:p>
    <w:p>
      <w:pPr>
        <w:spacing w:after="0" w:line="7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We remain debt-free with substantial liquidity and financial resources that afford us flexibility during periods of market turmoil and the stability to prudently manage the firm for the long-term. Our financial strength allows us to remain focused on our clients during periods of market stress and to take advantage of growth opportunities throughout market cycles. As a result, recent financial market turmoil has not led us to fundamentally change our business model or significantly modify our operations, as has been the case with many other financial services companies.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severe downturn in global financial markets, especially during the second half of 2008 and early 2009, added significant additional volatility to investor returns and our financial results, including significant changes in our assets under management and related advisory revenues, the value of our corporate mutual fund investments, our operating cash flows, and our net income.</w:t>
      </w:r>
    </w:p>
    <w:p>
      <w:pPr>
        <w:spacing w:after="0" w:line="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While we are always vigilant in controlling our operating expenses, we began a series of cost reduction and avoidance initiatives in late 2007 to get ahead of deteriorating market conditions. These efforts were heightened through the last two years, especially with the equity market’s steep decline in the fourth quarter of 2008 and first quarter of 2009, and included a 5.5% reduction of our workforce in April 2009. In addition to other cost reductions, we realized a net savings in 2009 from the workforce reduction of $5.2 million as the related second quarter charge was more than offset by expense savings over the balance of the year, net of related administrative fee reductions that benefitted shareholders of the T. Rowe Price mutual funds. Through attrition, retirements and the workforce reduction, our number of associates at the end of 2009 is 4,802, down 10.8% from the 5,385 employed at the beginning of the year.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4" w:name="page15"/>
    <w:bookmarkEnd w:id="14"/>
    <w:p>
      <w:pPr>
        <w:ind w:right="20"/>
        <w:spacing w:after="0" w:line="257" w:lineRule="auto"/>
        <w:rPr>
          <w:sz w:val="20"/>
          <w:szCs w:val="20"/>
          <w:color w:val="auto"/>
        </w:rPr>
      </w:pPr>
      <w:r>
        <w:rPr>
          <w:rFonts w:ascii="Arial" w:cs="Arial" w:eastAsia="Arial" w:hAnsi="Arial"/>
          <w:sz w:val="18"/>
          <w:szCs w:val="18"/>
          <w:color w:val="auto"/>
        </w:rPr>
        <w:t>In the first quarter of 2009, major large-cap indexes plunged to 12-year lows as the economy contracted and unemployment surged. Governments around the world intervened aggressively to provide liquidity to the credit markets, stabilize the banking sector, and stimulate economic activity. From late March through the end of the year, investor sentiment improved and share prices rose as credit market conditions loosened, corporate earnings improved in many sectors, and the U.S. economy showed signs of emerging from recession. As we enter 2010, the question has become how strong global economic growth will be and whether it can be sustained.</w:t>
      </w:r>
    </w:p>
    <w:p>
      <w:pPr>
        <w:spacing w:after="0" w:line="8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this environment, the S&amp;P 500 Index of large-cap companies in leading industries of the U.S. economy returned 26.5% in 2009 while the NASDAQ Composite Index, which is heavily weighted with technology companies, was up 43.9% (excluding dividends). Returns on stocks in many non-U.S. markets were stronger in 2009, as global economies were improving and weakness in the U.S. dollar enhanced dollar-denominated returns. Emerging markets produced stellar returns, with Brazil, Russia, India, and China among the top-performing equity markets. Developed Asian and European equity markets, in comparison, were less robust, with Japan trailing significantly. The MSCI Emerging Markets Index returned 79.0% versus 32.5% for the MSCI EAFE Index, which measures the performance of mostly large-cap equities in Europe, Australasia, and the Far East.</w:t>
      </w:r>
    </w:p>
    <w:p>
      <w:pPr>
        <w:spacing w:after="0" w:line="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U.S. Federal Reserve’s target funds rate remained the lowest in history — in the range of 0% to .25% — throughout 2009 and the abundant liquidity at government auctions put downward pressure on the short side of the U.S. Treasury yield curve. The annual yield on one-month Treasury bills was only .04% at the end of 2009 and money market fund returns had plunged to near 0%. On the longer side, the yield on the benchmark 10-year U.S. Treasuries ended the year at 3.85%, up 160 basis points from the end of 2008.</w:t>
      </w:r>
    </w:p>
    <w:p>
      <w:pPr>
        <w:spacing w:after="0" w:line="7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Credit spreads to riskier debt securities narrowed considerably over the year, moving back to levels that are more normal. Investors that had moved into high-quality government issues are now moving to higher yielding junk bonds and emerging market debt. As a result, the Credit Suisse High Yield Index gained 54.2% in 2009 and the JPMorgan Emerging Markets Bond Index Global (in U.S. dollar terms) returned 28.2%. The Barclays Capital Municipal Bond Index gained 12.9%, and the Barclays Capital U.S. Aggregate Index gained 5.9%, adding to strong returns among debt securities.</w:t>
      </w:r>
    </w:p>
    <w:p>
      <w:pPr>
        <w:spacing w:after="0" w:line="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this business environment, investors entrusted net inflows of $22.7 billion to our management in 2009, including $14.7 billion that originated during the second half of the year. Total assets under our management ended 2009 at $391.3 billion, a substantial recovery from $276.3 billion at the end of 2008 to a level approaching the historical period-end high of $400.0 billion at December 31, 2007. Our assets under management (in billions) have changed during the past three years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2007</w:t>
            </w:r>
          </w:p>
        </w:tc>
        <w:tc>
          <w:tcPr>
            <w:tcW w:w="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beginning of year</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276.3</w:t>
            </w:r>
          </w:p>
        </w:tc>
      </w:tr>
      <w:tr>
        <w:trPr>
          <w:trHeight w:val="223"/>
        </w:trPr>
        <w:tc>
          <w:tcPr>
            <w:tcW w:w="5640" w:type="dxa"/>
            <w:vAlign w:val="bottom"/>
            <w:gridSpan w:val="2"/>
          </w:tcPr>
          <w:p>
            <w:pPr>
              <w:spacing w:after="0"/>
              <w:rPr>
                <w:sz w:val="20"/>
                <w:szCs w:val="20"/>
                <w:color w:val="auto"/>
              </w:rPr>
            </w:pPr>
            <w:r>
              <w:rPr>
                <w:rFonts w:ascii="Arial" w:cs="Arial" w:eastAsia="Arial" w:hAnsi="Arial"/>
                <w:sz w:val="18"/>
                <w:szCs w:val="18"/>
                <w:color w:val="auto"/>
              </w:rPr>
              <w:t>Net cash inflows</w:t>
            </w:r>
          </w:p>
        </w:tc>
        <w:tc>
          <w:tcPr>
            <w:tcW w:w="2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Sponsored mutual funds in the U.S.</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20.2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20" w:type="dxa"/>
            <w:vAlign w:val="bottom"/>
          </w:tcPr>
          <w:p>
            <w:pPr>
              <w:spacing w:after="0"/>
              <w:rPr>
                <w:sz w:val="18"/>
                <w:szCs w:val="18"/>
                <w:color w:val="auto"/>
              </w:rPr>
            </w:pPr>
          </w:p>
        </w:tc>
        <w:tc>
          <w:tcPr>
            <w:tcW w:w="5620" w:type="dxa"/>
            <w:vAlign w:val="bottom"/>
          </w:tcPr>
          <w:p>
            <w:pPr>
              <w:ind w:left="200"/>
              <w:spacing w:after="0"/>
              <w:rPr>
                <w:sz w:val="20"/>
                <w:szCs w:val="20"/>
                <w:color w:val="auto"/>
              </w:rPr>
            </w:pPr>
            <w:r>
              <w:rPr>
                <w:rFonts w:ascii="Arial" w:cs="Arial" w:eastAsia="Arial" w:hAnsi="Arial"/>
                <w:sz w:val="18"/>
                <w:szCs w:val="18"/>
                <w:color w:val="auto"/>
              </w:rPr>
              <w:t>Other portfolios</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13.6</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27"/>
        </w:trPr>
        <w:tc>
          <w:tcPr>
            <w:tcW w:w="2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Net market gains (losses) and income</w:t>
            </w:r>
          </w:p>
        </w:tc>
        <w:tc>
          <w:tcPr>
            <w:tcW w:w="2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32.4</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(140.3)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92.7</w:t>
            </w: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Mutual fund distributions not reinvested</w:t>
            </w:r>
          </w:p>
        </w:tc>
        <w:tc>
          <w:tcPr>
            <w:tcW w:w="2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Increase (decrease) during year</w:t>
            </w:r>
          </w:p>
        </w:tc>
        <w:tc>
          <w:tcPr>
            <w:tcW w:w="2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w:t>
            </w:r>
          </w:p>
        </w:tc>
        <w:tc>
          <w:tcPr>
            <w:tcW w:w="6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(123.7)</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Assets under management at end of year</w:t>
            </w:r>
          </w:p>
        </w:tc>
        <w:tc>
          <w:tcPr>
            <w:tcW w:w="2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276.3</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391.3</w:t>
            </w: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Over the last three years, our net cash inflows have been sourced most significantly from third-party financial intermediaries and from institutional investors around the world. Our relative investment performance over much of this period and brand awareness contributed significantly to attracting net inflows across each of our four distribution channels.</w:t>
      </w:r>
    </w:p>
    <w:p>
      <w:pPr>
        <w:spacing w:after="0" w:line="7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Assets under management at December 31, 2009, include $290.4 billion in equity and blended asset investment portfolios and $100.9 billion in fixed income investment portfolios. The investment portfolios that we manage consist of $232.7 billion in the T. Rowe Price mutual funds distributed in the United States and $158.6 billion in other investment portfolios, including separately managed accounts, subadvised funds, and other sponsored investment funds offered to investors outside the U.S. and through variable annuity life insurance plans.</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incur significant expenditures to attract new investment advisory clients and additional investments from our existing clients. These efforts may often involve costs that precede any future revenues that we may recognize from increases to our assets under management.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u w:val="single" w:color="auto"/>
          <w:color w:val="auto"/>
        </w:rPr>
        <w:t>2009 versus 2008</w:t>
      </w:r>
      <w:r>
        <w:rPr>
          <w:rFonts w:ascii="Arial" w:cs="Arial" w:eastAsia="Arial" w:hAnsi="Arial"/>
          <w:sz w:val="18"/>
          <w:szCs w:val="18"/>
          <w:color w:val="auto"/>
        </w:rPr>
        <w:t>. Investment advisory revenues were down 12%, or $215 million, to more than $1.5 billion in 2009 as average assets under our management of $321.3 billion in 2009 were $36.9 billion lower than in 2008. The average annualized fee rate earned on our assets under management was 48.1 basis points during 2009, down from the 49.2 basis points earned during 2008. Lower equity market valuations resulted in an increase in the percentage of our assets under management being attributable to lower fee fixed income portfolios, including money market funds for which we reduced advisory fees in order to maintain yields at or above 0% to fund investors.</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revenues decreased 12%, or $249 million, to nearly $1.9 billion. Operating expenses fell 8%, or $102 million, to almost $1.2 billion in 2009. Overall, net operating income in 2009 decreased $147 million, or 17%, to $702 million. Our operating margin declined to 37.6% in 2009 from 40.1% in 2008 as the impact of lower average market valuations over 2009, which decreased our assets under management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 w:name="page16"/>
    <w:bookmarkEnd w:id="15"/>
    <w:p>
      <w:pPr>
        <w:ind w:right="40"/>
        <w:spacing w:after="0" w:line="255" w:lineRule="auto"/>
        <w:rPr>
          <w:sz w:val="20"/>
          <w:szCs w:val="20"/>
          <w:color w:val="auto"/>
        </w:rPr>
      </w:pPr>
      <w:r>
        <w:rPr>
          <w:rFonts w:ascii="Arial" w:cs="Arial" w:eastAsia="Arial" w:hAnsi="Arial"/>
          <w:sz w:val="18"/>
          <w:szCs w:val="18"/>
          <w:color w:val="auto"/>
        </w:rPr>
        <w:t>corresponding advisory revenues, was offset only partially by the savings from our cost reduction efforts. Our non-operating investment loss decreased nearly $40 million due to the higher other than temporary impairment charges recognized in 2008 on our investments in sponsored mutual funds. Net income fell 12% or $57 million to nearly $434 million. Diluted earnings per share on our common stock also decreased to $1.65, down 9% or $.16 from $1.81 in 2008. The retrospective application in 2009 of new financial reporting guidance that recognizes our outstanding restricted stock and stock units, on which we pay non-forfeitable dividends, as if they were a separate class of stock reduced previously reported 2008 diluted earnings per share on our common stock of $1.82 by $.01 per share. The non-operating charges to recognize other than temporary impairments of our fund investments reduced diluted earnings per share by $.21 in 2008 and $.09 in 2009.</w:t>
      </w:r>
    </w:p>
    <w:p>
      <w:pPr>
        <w:spacing w:after="0" w:line="81" w:lineRule="exact"/>
        <w:rPr>
          <w:sz w:val="20"/>
          <w:szCs w:val="20"/>
          <w:color w:val="auto"/>
        </w:rPr>
      </w:pPr>
    </w:p>
    <w:p>
      <w:pPr>
        <w:jc w:val="both"/>
        <w:ind w:right="120"/>
        <w:spacing w:after="0" w:line="288" w:lineRule="auto"/>
        <w:rPr>
          <w:sz w:val="20"/>
          <w:szCs w:val="20"/>
          <w:color w:val="auto"/>
        </w:rPr>
      </w:pPr>
      <w:r>
        <w:rPr>
          <w:rFonts w:ascii="Arial" w:cs="Arial" w:eastAsia="Arial" w:hAnsi="Arial"/>
          <w:sz w:val="16"/>
          <w:szCs w:val="16"/>
          <w:color w:val="auto"/>
        </w:rPr>
        <w:t>Investment advisory revenues earned from the T. Rowe Price mutual funds distributed in the United States decreased more than $170 million, or 14%, from 2008 to almost $1.1 billion. Average mutual fund assets were $191.8 billion in 2009, down 11% from the average of $216.1 billion during 2008. Net inflows to the mutual funds in 2009 were $12.5 billion, including $6.4 billion that originated from our target-date Retirement Funds. Our bond funds added</w:t>
      </w:r>
    </w:p>
    <w:p>
      <w:pPr>
        <w:ind w:right="60"/>
        <w:spacing w:after="0" w:line="253" w:lineRule="auto"/>
        <w:rPr>
          <w:sz w:val="20"/>
          <w:szCs w:val="20"/>
          <w:color w:val="auto"/>
        </w:rPr>
      </w:pPr>
      <w:r>
        <w:rPr>
          <w:rFonts w:ascii="Arial" w:cs="Arial" w:eastAsia="Arial" w:hAnsi="Arial"/>
          <w:sz w:val="18"/>
          <w:szCs w:val="18"/>
          <w:color w:val="auto"/>
        </w:rPr>
        <w:t>$10.0 billion of net inflows, including $6.3 billion from four funds — New Income, Short Term Bond, International Bond and Emerging Markets Bond – that each added more than $1 billion during the year. The stock and blended asset funds had net inflows of $4.8 billion after the transfer of $1.3 billion to other investment portfolios under our management. The Equity Index 500 and Mid-Cap Growth funds had total net inflows of $2.5 billion in 2009. Our money market funds had net outflows of $2.3 billion during the year. Higher market valuations and income increased mutual fund assets under management by $55.8 billion in 2009.</w:t>
      </w:r>
    </w:p>
    <w:p>
      <w:pPr>
        <w:spacing w:after="0" w:line="8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Investment advisory revenues earned on the other investment portfolios that we manage decreased $44 million, or 8.5%, to $477.8 million in 2009. Average assets in these portfolios were $129.5 billion during 2009, down $12.6 billion or 9% from 2008. Other investment portfolio assets under management increased $46.7 billion during 2009, including $36.5 billion in market gains and income and $10.2 billion of net inflows, primarily from institutional investors. Net inflows include $1.3 billion transferred from the stock and blended asset mutual funds during 2009.</w:t>
      </w:r>
    </w:p>
    <w:p>
      <w:pPr>
        <w:spacing w:after="0" w:line="6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Administrative fees decreased $35 million, or 10%, to $319 million in 2009. This change includes a $4 million decrease in 12b-1 distribution and service fees recognized on lower average assets under management in the Advisor and R classes of our sponsored mutual funds and a $31 million reduction in our mutual fund servicing revenue, which is primarily attributable to our cost reduction efforts in the mutual fund and retirement plan servicing functions. Changes in administrative fees are generally offset by similar changes in related operating expenses that are incurred to provide services to the funds and their investors.</w:t>
      </w:r>
    </w:p>
    <w:p>
      <w:pPr>
        <w:spacing w:after="0" w:line="46"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Our largest expense, compensation and related costs, decreased $42 million, or 5%, from 2008 to $773 million in 2009. The largest part of this decrease is attributable to a $19 million reduction in our annual bonus program. Reductions in the use of outside contractors lowered 2009 costs $14 million with the remainder of the cost savings primarily attributable to the workforce reduction and lower employee benefits and other employment expenses. Average headcount in 2009 was down 5.4% from 2008 due to attrition, retirements and our workforce reduction.</w:t>
      </w:r>
    </w:p>
    <w:p>
      <w:pPr>
        <w:spacing w:after="0" w:line="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Advertising and promotion expenditures were down $31 million, or 30%, versus 2008 due to our decision to reduce spending in response to lower investor activity in the 2009 market environment. We currently estimate that our advertising and promotion expenditures for 2010 could increase up to 30% from 2009 and that first quarter 2010 spending will be about $26 million. We vary our level of spending based on market conditions and investor demand as well as our efforts to expand our investor base in the United States and abroad.</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Depreciation expense and other occupancy and facility costs together increased only $4 million, or 2.5% compared to 2008, as we moderated or delayed our capital spending and facility growth plans.</w:t>
      </w:r>
    </w:p>
    <w:p>
      <w:pPr>
        <w:spacing w:after="0" w:line="6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Other operating expenses decreased $33 million, or 18% from 2008, including a decline of $4 million in distribution and service expenses recognized on lower average assets under management in our Advisor and R classes of mutual fund shares that are sourced from financial intermediaries. Our cost control efforts resulted in the remaining expense reductions, including lower professional fees and travel and related costs.</w:t>
      </w:r>
    </w:p>
    <w:p>
      <w:pPr>
        <w:spacing w:after="0" w:line="5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non-operating investment activity resulted in net losses of $12.7 million in 2009 and $52.3 million in 2008. The improvement of nearly $40 million is primarily attributable to a reduction in the other than temporary impairments recognized on our investments in sponsored mutual funds in 2009 versus 2008. The following table details our related mutual fund investment gains and losses (in millions) during the past two years.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2009</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than temporary impairments recognized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Capital gain distributions received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gain (loss) realized on fund dispositions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loss recognized on fund holdings</w:t>
            </w:r>
          </w:p>
        </w:tc>
        <w:tc>
          <w:tcPr>
            <w:tcW w:w="20" w:type="dxa"/>
            <w:vAlign w:val="bottom"/>
          </w:tcPr>
          <w:p>
            <w:pPr>
              <w:spacing w:after="0"/>
              <w:rPr>
                <w:sz w:val="19"/>
                <w:szCs w:val="19"/>
                <w:color w:val="auto"/>
              </w:rPr>
            </w:pPr>
          </w:p>
        </w:tc>
        <w:tc>
          <w:tcPr>
            <w:tcW w:w="12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w:t>
            </w:r>
            <w:r>
              <w:rPr>
                <w:rFonts w:ascii="Arial" w:cs="Arial" w:eastAsia="Arial" w:hAnsi="Arial"/>
                <w:sz w:val="18"/>
                <w:szCs w:val="18"/>
                <w:u w:val="single" w:color="auto"/>
                <w:color w:val="auto"/>
              </w:rPr>
              <w:t>5</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Lower income of $16 million from our money market holdings due to the significantly lower interest rate environment offset the improvement experienced with our fund investments. There is no impairment of any of our mutual fund investments at December 31, 2009.</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The 2009 provision for income taxes as a percentage of pretax income is 37.1%, down from 38.4% in 2008 and .9% lower than our present estimate of 38.0% for the 2010 effective tax rate. Our 2009 provision includes reductions of prior years’ tax provisions and discrete nonrecurring benefits that lowered our 2009 effective tax rate by 1.0%.</w:t>
      </w:r>
    </w:p>
    <w:p>
      <w:pPr>
        <w:spacing w:after="0" w:line="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2008 versus 2007</w:t>
      </w:r>
      <w:r>
        <w:rPr>
          <w:rFonts w:ascii="Arial" w:cs="Arial" w:eastAsia="Arial" w:hAnsi="Arial"/>
          <w:sz w:val="18"/>
          <w:szCs w:val="18"/>
          <w:color w:val="auto"/>
        </w:rPr>
        <w:t>. Investment advisory revenues decreased 6.3%, or $118 million, to $1.76 billion in 2008 as average assets under our management decreased $16 billion to $358.2 billion. The average annualized fee rate earned on our assets under management was 49.2 basis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6" w:name="page17"/>
    <w:bookmarkEnd w:id="16"/>
    <w:p>
      <w:pPr>
        <w:ind w:right="100"/>
        <w:spacing w:after="0" w:line="312" w:lineRule="auto"/>
        <w:rPr>
          <w:sz w:val="20"/>
          <w:szCs w:val="20"/>
          <w:color w:val="auto"/>
        </w:rPr>
      </w:pPr>
      <w:r>
        <w:rPr>
          <w:rFonts w:ascii="Arial" w:cs="Arial" w:eastAsia="Arial" w:hAnsi="Arial"/>
          <w:sz w:val="16"/>
          <w:szCs w:val="16"/>
          <w:color w:val="auto"/>
        </w:rPr>
        <w:t>points in 2008, down from the 50.2 basis points earned in 2007, as lower equity market valuations resulted in a greater percentage of our assets under management being attributable to lower fee fixed income portfolios. Continuing stress on the financial markets and resulting lower equity valuations as 2008 progressed resulted in lower average assets under our management, lower investment advisory fees and lower net income as compared to prior periods.</w:t>
      </w:r>
    </w:p>
    <w:p>
      <w:pPr>
        <w:spacing w:after="0" w:line="3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Net revenues decreased 5%, or $112 million, to $2.12 billion. Operating expenses were $1.27 billion in 2008, up 2.9% or $36 million from 2007. Net operating income for 2008 decreased $147.9 million, or 14.8%, to $848.5 million. Higher operating expenses in 2008 and decreased market valuations during the latter half of 2008, which lowered our assets under management and advisory revenues, resulted in our 2008 operating margin declining to 40.1% from</w:t>
      </w:r>
    </w:p>
    <w:p>
      <w:pPr>
        <w:ind w:right="20"/>
        <w:spacing w:after="0" w:line="271" w:lineRule="auto"/>
        <w:rPr>
          <w:sz w:val="20"/>
          <w:szCs w:val="20"/>
          <w:color w:val="auto"/>
        </w:rPr>
      </w:pPr>
      <w:r>
        <w:rPr>
          <w:rFonts w:ascii="Arial" w:cs="Arial" w:eastAsia="Arial" w:hAnsi="Arial"/>
          <w:sz w:val="17"/>
          <w:szCs w:val="17"/>
          <w:color w:val="auto"/>
        </w:rPr>
        <w:t>44.7% in 2007. Non-operating investment losses in 2008 were $52.3 million as compared to investment income of $80.4 million in 2007. Investment losses in 2008 include non-cash charges of $91.3 million for the other than temporary impairment of certain of the firm’s investments in sponsored mutual funds. Net income in 2008 fell 27% or nearly $180 million from 2007. Diluted earnings per share, after the retrospective application of new accounting guidance effective in 2009, decreased to $1.81, down $.59 or 24.6% from $2.40 in 2007. A non-operating charge to recognize other than temporary impairments of our sponsored mutual fund investments reduced diluted earnings per share by $.21 in 2008.</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decreased 8.5%, or $114.5 million, to</w:t>
      </w:r>
    </w:p>
    <w:p>
      <w:pPr>
        <w:spacing w:after="0" w:line="35"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$1.24 billion. Average mutual fund assets were $216.1 billion in 2008, down $16.7 billion from 2007. Mutual fund assets at December 31, 2008, were $164.4 billion, down $81.6 billion from the end of 2007.</w:t>
      </w:r>
    </w:p>
    <w:p>
      <w:pPr>
        <w:spacing w:after="0" w:line="76"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Net inflows to the mutual funds during 2008 were $3.9 billion, including $1.9 billion to the money funds, $1.1 billion to the bond funds, and $.9 billion to the stock funds. The Value, Equity Index 500, and Emerging Markets stock funds combined to add $4.1 billion, while the Mid-Cap Growth and Equity Income stock funds had net redemptions of $2.2 billion. Net fund inflows of $6.2 billion originated in our target-date Retirement Funds, which in turn invest in other T. Rowe Price funds. Fund net inflow amounts in 2008 are presented net of $1.3 billion that was transferred to target-date trusts from the Retirement Funds during the year. Decreases in market valuations and income not reinvested lowered our mutual fund assets under management by $85.5 billion during 2008.</w:t>
      </w:r>
    </w:p>
    <w:p>
      <w:pPr>
        <w:spacing w:after="0" w:line="5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Investment advisory revenues earned on the other investment portfolios that we manage decreased $3.6 million to $522.2 million. Average assets in these portfolios were $142.1 billion during 2008, up slightly from $141.4 billion in 2007. These minor changes, each less than 1%, are attributable to the timing of declining equity market valuations and cash flows among our separate account and subadvised portfolios. Net inflows, primarily from institutional investors, were $13.2 billion during 2008, including the $1.3 billion transferred from the Retirement Funds to target-date trusts. Decreases in market valuations, net of income, lowered our assets under management in these portfolios by $55.3 billion during 2008.</w:t>
      </w:r>
    </w:p>
    <w:p>
      <w:pPr>
        <w:spacing w:after="0" w:line="6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Administrative fees, which increased $5.8 million to $353.9 million, are generally offset by related operating expenses that are incurred to provide services to the funds and their investors.</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largest expense, compensation and related costs, increased $18.4 million or 2.3% from 2007. This increase includes $37.2 million in salaries resulting from an 8.4% increase in our average staff count and an increase of our associates’ base salaries at the beginning of the year. At December 31, 2008, we employed 5,385 associates, up 6.0% from the end of 2007, primarily to add capabilities and support increased volume-related activities and other growth over the past few years. Over the course of 2008, we slowed the growth of our associate base from earlier plans and the prior year. We also reduced our annual bonuses $27.6 million versus the 2007 year in response to unfavorable financial market conditions that negatively impacted our operating results. The balance of the increase is attributable to higher employee benefits and employment-related expenses, including an increase of $5.7 million in stock-based compensation.</w:t>
      </w:r>
    </w:p>
    <w:p>
      <w:pPr>
        <w:spacing w:after="0" w:line="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After higher spending during the first quarter of 2008 versus 2007, investor sentiment in the uncertain and volatile market environment caused us to reduce advertising and promotion spending, which for the year was down $3.8 million from 2007.</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$18 million, or 12% compared to 2007. We expanded and renovated our facilities in 2008 to accommodate the growth in our associates to meet business demands.</w:t>
      </w:r>
    </w:p>
    <w:p>
      <w:pPr>
        <w:spacing w:after="0" w:line="6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Other operating expenses were up $3.3 million from 2007. We increased our spending $9.8 million, primarily for professional fees and information and other third-party services. Reductions in travel and charitable contributions partially offset these increases.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Our non-operating investment activity resulted in a net loss of $52.3 million in 2008 as compared to a net gain of $80.4 million in 2007. This change of</w:t>
      </w:r>
    </w:p>
    <w:p>
      <w:pPr>
        <w:spacing w:after="0" w:line="3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$132.7 million is primarily attributable to losses recognized in 2008 on our investments in sponsored mutual funds, which resulted from declines in financial market values during the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w w:val="89"/>
              </w:rPr>
              <w:t>Change</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Capital gain distributions received</w:t>
            </w:r>
          </w:p>
        </w:tc>
        <w:tc>
          <w:tcPr>
            <w:tcW w:w="140" w:type="dxa"/>
            <w:vAlign w:val="bottom"/>
            <w:gridSpan w:val="2"/>
            <w:shd w:val="clear" w:color="auto" w:fill="CCEEFF"/>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Other than temporary impairments recognized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Net gains (losses) realized on fund dispositions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Net gain (loss) recognized on fund holdings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r>
              <w:rPr>
                <w:rFonts w:ascii="Arial" w:cs="Arial" w:eastAsia="Arial" w:hAnsi="Arial"/>
                <w:sz w:val="18"/>
                <w:szCs w:val="18"/>
                <w:u w:val="single" w:color="auto"/>
                <w:color w:val="auto"/>
              </w:rPr>
              <w:t>3</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recognized other than temporary impairments of our investments in sponsored mutual funds because of declines in fair value below cost for an extended period. The significant declines in fair value below cost that occurred in 2008 were generally attributable to adverse market conditions.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7" w:name="page18"/>
    <w:bookmarkEnd w:id="17"/>
    <w:p>
      <w:pPr>
        <w:jc w:val="both"/>
        <w:spacing w:after="0" w:line="264" w:lineRule="auto"/>
        <w:rPr>
          <w:sz w:val="20"/>
          <w:szCs w:val="20"/>
          <w:color w:val="auto"/>
        </w:rPr>
      </w:pPr>
      <w:r>
        <w:rPr>
          <w:rFonts w:ascii="Arial" w:cs="Arial" w:eastAsia="Arial" w:hAnsi="Arial"/>
          <w:sz w:val="18"/>
          <w:szCs w:val="18"/>
          <w:color w:val="auto"/>
        </w:rPr>
        <w:t>In addition, income from money market and bond fund holdings was $19.3 million lower than in 2007 due to the significantly lower interest rate environment of 2008. Lower interest rates also led to substantial capital appreciation on our $40 million holding of U.S. Treasury Notes that we sold in December 2008 at a $2.6 million gain.</w:t>
      </w:r>
    </w:p>
    <w:p>
      <w:pPr>
        <w:spacing w:after="0" w:line="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2008 provision for income taxes as a percentage of pretax income is 38.4%, up from 37.7% in 2007, primarily to reflect changes in state income tax rates and regulations and certain adjustments made prospectively based on our annual income tax return filings for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During 2009, stockholders’ equity increased from $2.5 billion to $2.9 billion. We repurchased nearly 2.3 million common shares for $67 million in 2009.</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Tangible book value is $2.2 billion at December 31, 2009, and our cash and cash equivalents and our mutual fund investment holdings total $1.4 billion.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Given the availability of these financial resources, we do not maintain an available external source of liquidity.</w:t>
      </w:r>
    </w:p>
    <w:p>
      <w:pPr>
        <w:spacing w:after="0" w:line="10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20, 2010, we purchased a 26% equity interest in UTI Asset Management Company and an affiliate for $142.4 million. We funded the acquisition from our cash holdings. In addition to the pending UTI acquisition, we had outstanding commitments to fund other investments totaling $35.4 million at December 31, 2009. We presently anticipate funding 2010 property and equipment expenditures of about $150 million from our cash balances and operating cash inflows.</w:t>
      </w:r>
    </w:p>
    <w:p>
      <w:pPr>
        <w:spacing w:after="0" w:line="79"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u w:val="single" w:color="auto"/>
          <w:color w:val="auto"/>
        </w:rPr>
        <w:t>2009 versus 2008</w:t>
      </w:r>
      <w:r>
        <w:rPr>
          <w:rFonts w:ascii="Arial" w:cs="Arial" w:eastAsia="Arial" w:hAnsi="Arial"/>
          <w:sz w:val="18"/>
          <w:szCs w:val="18"/>
          <w:color w:val="auto"/>
        </w:rPr>
        <w:t>. Operating activities during 2009 provided cash flows of nearly $536 million, down $206 million from 2008, including a $57 million decrease in net income and a $129 million change in the timing differences in the cash settlement of our accounts receivable and accrued revenues and payables and accrued liabilities. In addition, our addback of the non-cash charges for other than temporary impairments of our investments in sponsored mutual funds was $55 million more in 2008 than in 2009.</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Net cash used in investing activities totaled $167 million in 2009, up $42 million from 2008. We made net investments of nearly $18 million into our mutual fund portfolio in 2009, an increase of $15 million from 2008. During the past two years, we made several changes, totaling more than $56 million in 2009 and $95 million in 2008, to the composition of our portfolio of mutual fund holdings in light of market conditions experienced during the period. Because of the smaller 2009 increase in savings bank deposits, we increased our investment in debt securities held by the savings bank by only $9 million in 2009 versus $41 million in 2008. As noted below in our discussion of investing activities during 2008 versus 2007, our $70 million U.S. Treasury Notes portfolio was liquidated in 2008 thereby producing inflows of nearly $73 million that did not recur in 2009.</w:t>
      </w:r>
    </w:p>
    <w:p>
      <w:pPr>
        <w:spacing w:after="0" w:line="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Net cash used in financing activities was $245 million in 2009, down $538 million from 2008. Compared to 2008, we expended $543 million less to repurchase our common shares in 2009. The uncertain market environment led us to reduce our share repurchases and preserve our liquid capital during this past year. Our $.01 per share quarterly dividend increase in 2009 accounts for an additional payout of $10 million in dividends; however, our 2008 change in policy regarding the timing of dividend payments such that our quarterly dividends are declared and paid in the same quarter resulted in five quarterly dividend payments in 2008 versus only four in 2009. This additional payment resulted in our 2009 outflows for dividends decreasing $64 million from 2008. Excess tax benefits from share-based compensation plans decreased $37 million as fewer stock option exercises due to uncertainties and lower market valuations of our common stock reduced our common stock issuances about 25% from 2008.</w:t>
      </w:r>
    </w:p>
    <w:p>
      <w:pPr>
        <w:spacing w:after="0" w:line="7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u w:val="single" w:color="auto"/>
          <w:color w:val="auto"/>
        </w:rPr>
        <w:t>2008 versus 2007</w:t>
      </w:r>
      <w:r>
        <w:rPr>
          <w:rFonts w:ascii="Arial" w:cs="Arial" w:eastAsia="Arial" w:hAnsi="Arial"/>
          <w:sz w:val="18"/>
          <w:szCs w:val="18"/>
          <w:color w:val="auto"/>
        </w:rPr>
        <w:t>. Operating activities during 2008 provided cash flows of nearly $742 million, down $16 million from 2007. Reconciling items include lower net income of almost $180 million that was offset by timing differences of about $59 million in the cash settlement of our operating receivables and payables. Other than temporary impairments of our sponsored mutual fund investments totaling $91 million, greater depreciation expense on our increased property and equipment of $8 million, and nearly $6 million of additional stock-based compensation account for the remainder of the difference between 2007 and 2008.</w:t>
      </w:r>
    </w:p>
    <w:p>
      <w:pPr>
        <w:spacing w:after="0" w:line="80" w:lineRule="exact"/>
        <w:rPr>
          <w:sz w:val="20"/>
          <w:szCs w:val="20"/>
          <w:color w:val="auto"/>
        </w:rPr>
      </w:pPr>
    </w:p>
    <w:p>
      <w:pPr>
        <w:spacing w:after="0"/>
        <w:rPr>
          <w:sz w:val="20"/>
          <w:szCs w:val="20"/>
          <w:color w:val="auto"/>
        </w:rPr>
      </w:pPr>
      <w:r>
        <w:rPr>
          <w:rFonts w:ascii="Arial" w:cs="Arial" w:eastAsia="Arial" w:hAnsi="Arial"/>
          <w:sz w:val="17"/>
          <w:szCs w:val="17"/>
          <w:color w:val="auto"/>
        </w:rPr>
        <w:t>Net cash used in investing activities totaled $125 million in 2008, down $220 million from 2007. In 2007, we invested a net of $175.5 million in our</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sponsored mutual funds from our available cash resources. On a net basis, we added only $2.6 million to our fund holdings in 2008; however, we made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$95 million of changes to the composition of our portfolio of mutual fund holdings in light of market conditions during the year. Because of an increase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savings bank deposits, we also increased our investment in debt securities held by the savings bank by $41 million in 2008. While we made other investments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$23 million in 2007, we made only $10 million of other investments in 2008. We also received proceeds of $42.6 million on the sales, and $30 million 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maturities, of our $70 million U.S. Treasury Notes portfolio.</w:t>
      </w:r>
    </w:p>
    <w:p>
      <w:pPr>
        <w:spacing w:after="0" w:line="10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Net cash used in financing activities was $783 million in 2008, up $382 million from 2007. Our strong cash position allowed us to increase our common stock repurchases by $302 million in 2008 versus 2007. Our cash outflows for dividends paid increased $132 million. During the first quarter of 2008, we changed our policy regarding the timing of dividend payments such that our quarterly dividends are now declared and paid in the same quarter. Accordingly, our cash outflows for 2008 include the payout of dividends for the fourth quarter 2007 and all four quarters of 2008. Additionally, we increased the quarterly dividend payment from $.17 per share made in each of the four 2007 quarters to $.24 per share beginning with the payment made in January 2008. Lastly, deposits at our savings bank subsidiary increased nearly $44 million in 2008 as depositors sought the security of FDIC-backed accounts.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CONTRACTUAL OBLIGATIONS.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2009.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2010 and future years. The information also excludes the $7 million of unrecognized tax benefits discussed in Note 9 to our consolidated financial statements because it is not possible to estimate the time period in which a payment might be made to the tax authorities.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color w:val="auto"/>
              </w:rPr>
              <w:t>Total</w:t>
            </w:r>
          </w:p>
        </w:tc>
        <w:tc>
          <w:tcPr>
            <w:tcW w:w="7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w w:val="88"/>
              </w:rPr>
              <w:t>2011–12</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color w:val="auto"/>
              </w:rPr>
              <w:t>2013–14</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Later</w:t>
            </w:r>
          </w:p>
        </w:tc>
        <w:tc>
          <w:tcPr>
            <w:tcW w:w="100" w:type="dxa"/>
            <w:vAlign w:val="bottom"/>
          </w:tcPr>
          <w:p>
            <w:pPr>
              <w:spacing w:after="0"/>
              <w:rPr>
                <w:sz w:val="14"/>
                <w:szCs w:val="14"/>
                <w:color w:val="auto"/>
              </w:rPr>
            </w:pPr>
          </w:p>
        </w:tc>
      </w:tr>
      <w:tr>
        <w:trPr>
          <w:trHeight w:val="210"/>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Noncancelable operating leases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Other purchase commitments</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72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107</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
        </w:trPr>
        <w:tc>
          <w:tcPr>
            <w:tcW w:w="3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r>
      <w:tr>
        <w:trPr>
          <w:trHeight w:val="20"/>
        </w:trPr>
        <w:tc>
          <w:tcPr>
            <w:tcW w:w="3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also have outstanding commitments to fund additional investments, including the acquisition of 26% of UTI, totaling $178 million at December 31,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balance sheet, the revenues and expenses in our statement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5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2009 Annual Report. In the following discussion, we highlight and explain further certain of those policies that are most critical to the preparation and understanding of our financial statements.</w:t>
      </w:r>
    </w:p>
    <w:p>
      <w:pPr>
        <w:spacing w:after="0" w:line="73"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u w:val="single" w:color="auto"/>
          <w:color w:val="auto"/>
        </w:rPr>
        <w:t>Other than temporary impairments of available-for-sale securities</w:t>
      </w:r>
      <w:r>
        <w:rPr>
          <w:rFonts w:ascii="Arial" w:cs="Arial" w:eastAsia="Arial" w:hAnsi="Arial"/>
          <w:sz w:val="16"/>
          <w:szCs w:val="16"/>
          <w:color w:val="auto"/>
        </w:rPr>
        <w:t>. We generally classify our investment holdings in sponsored mutual funds and the debt securities held for investment by our savings bank subsidiary as available-for-sale. At the end of each quarter, we mark the carrying amount of each investment holding to fair value and recognize an unrealized gain or loss as a component of comprehensive income within the statement of stockholders’ equity. We next review each individual security position that has an unrealized loss or impairment to determine if that impairment is other than temporary.</w:t>
      </w:r>
    </w:p>
    <w:p>
      <w:pPr>
        <w:spacing w:after="0" w:line="4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 mutual fund holding with an impairment that has persisted daily throughout the six months between quarter-ends is generally presumed to have an other than temporary impairment and a loss is recognized in our statement of income unless there is persuasive evidence, such as an increase in value subsequent to quarter end, to overcome that presumption. We may also recognize an other than temporary loss of less than six months in our statement of income if the particular circumstances of the underlying investment do not warrant our belief that a near-term recovery is possible.</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An impaired debt security held by our savings bank subsidiary is considered to have an other-than-temporary loss that we will recognize in our statement of income if the impairment is caused by a change in credit quality that affects our ability to recover our amortized cost or if we intend to sell the security or believe that it is more likely than not that we will be required to sell the security before recovering cost. Minor impairments of 5% or less are generally considered temporary.</w:t>
      </w:r>
    </w:p>
    <w:p>
      <w:pPr>
        <w:spacing w:after="0" w:line="79"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7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evaluate the carrying amount of goodwill in our balance sheet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that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balance sheet, $665.7 million.</w:t>
      </w:r>
    </w:p>
    <w:p>
      <w:pPr>
        <w:spacing w:after="0" w:line="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u w:val="single" w:color="auto"/>
          <w:color w:val="auto"/>
        </w:rPr>
        <w:t>Stock options</w:t>
      </w:r>
      <w:r>
        <w:rPr>
          <w:rFonts w:ascii="Arial" w:cs="Arial" w:eastAsia="Arial" w:hAnsi="Arial"/>
          <w:sz w:val="17"/>
          <w:szCs w:val="17"/>
          <w:color w:val="auto"/>
        </w:rPr>
        <w:t>. We recognize stock option-based compensation expense in our consolidated statement of income using a fair value based method. Fair value methods use a valuation model for shorter-term, market-traded financial instruments to theoretically value stock option grants even though they are not available for trading and are of longer duration. The Black-Scholes option pricing model that we use includes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9" w:name="page20"/>
    <w:bookmarkEnd w:id="19"/>
    <w:p>
      <w:pPr>
        <w:ind w:right="180"/>
        <w:spacing w:after="0" w:line="257" w:lineRule="auto"/>
        <w:rPr>
          <w:sz w:val="20"/>
          <w:szCs w:val="20"/>
          <w:color w:val="auto"/>
        </w:rPr>
      </w:pPr>
      <w:r>
        <w:rPr>
          <w:rFonts w:ascii="Arial" w:cs="Arial" w:eastAsia="Arial" w:hAnsi="Arial"/>
          <w:sz w:val="18"/>
          <w:szCs w:val="18"/>
          <w:color w:val="auto"/>
        </w:rPr>
        <w:t>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 based method is a non-cash charge that is never measured by, or adjusted based on, a cash outflow.</w:t>
      </w:r>
    </w:p>
    <w:p>
      <w:pPr>
        <w:spacing w:after="0" w:line="80"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117"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Each reporting period we consider all newly issued but not yet adopted accounting and reporting guidance that is applicable to our operations and the preparation of our consolidated statements. We do not believe that any issued guidance that we have not yet adopted will have a material effect on our financial position or results of operations.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and possible expense savings; our estimated effective income tax rate; and our expectations regarding financial markets, future transactions,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5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global financial markets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(loss) will also fluctuate primarily due to the size of our investments and changes in their market valuations.</w:t>
      </w:r>
    </w:p>
    <w:p>
      <w:pPr>
        <w:spacing w:after="0" w:line="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other incentive awards, changes in our employee count and mix, and competitive factors; our success in implementing and realizing any future cost reduction and avoidance efforts;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Our revenues and net income are based primarily on the value of assets under our management. Accordingly, declines in financial market values like those experienced during the last two years directly and negatively impact our investment advisory revenues, as well as our investment income and net income.</w:t>
      </w:r>
    </w:p>
    <w:p>
      <w:pPr>
        <w:spacing w:after="0" w:line="1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invest in our sponsored mutual funds, which are market risk sensitive financial instruments, primarily for purposes other than trading. Mutual fund investments have inherent market risk in the form of equity price risk; that is, the potential future loss of value that would result from a decline in the fair values of mutual fund shares. Each fund and its underlying net assets are also subject to market risk, which may arise from changes in equity prices, credit ratings, foreign currency exchange rates, and interest rates.</w:t>
      </w:r>
    </w:p>
    <w:p>
      <w:pPr>
        <w:spacing w:after="0" w:line="79" w:lineRule="exact"/>
        <w:rPr>
          <w:sz w:val="20"/>
          <w:szCs w:val="20"/>
          <w:color w:val="auto"/>
        </w:rPr>
      </w:pPr>
    </w:p>
    <w:p>
      <w:pPr>
        <w:ind w:right="380"/>
        <w:spacing w:after="0" w:line="312" w:lineRule="auto"/>
        <w:rPr>
          <w:sz w:val="20"/>
          <w:szCs w:val="20"/>
          <w:color w:val="auto"/>
        </w:rPr>
      </w:pPr>
      <w:r>
        <w:rPr>
          <w:rFonts w:ascii="Arial" w:cs="Arial" w:eastAsia="Arial" w:hAnsi="Arial"/>
          <w:sz w:val="16"/>
          <w:szCs w:val="16"/>
          <w:color w:val="auto"/>
        </w:rPr>
        <w:t>In conjunction with our signing of the definitive UTI purchase agreements in November 2009, we entered into a series of rolling non-deliverable forward contracts to economically hedge the exchange rate exposure relating to the 6.5 billion Indian rupee acquisition price. Final settlement of these contracts occurred at the closing of the UTI acquisition on January 20, 2010. We have not invested in any other derivative financial or commodity instruments.</w:t>
      </w:r>
    </w:p>
    <w:p>
      <w:pPr>
        <w:spacing w:after="0" w:line="39"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table (in millions) presents the equity price risk from investments in sponsored mutual funds that are accounted for as available-for-sale securities by assuming a hypothetical decline in the fair values of mutual fund shares. This potential future loss of value, before any income tax benefits, reflects the valuation of mutual fund investments at year end using each fund’s lowest net asset value per share during 2009. In considering this presentation, it is important to note that: not all funds experienced their lowest net asset value per share on the same day; it is likely that the composition of the mutual fund investment portfolio would be changed if adverse market conditions persisted; and we could experience future losses in excess of those presented below.</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00" w:type="dxa"/>
            <w:vAlign w:val="bottom"/>
            <w:gridSpan w:val="3"/>
          </w:tcPr>
          <w:p>
            <w:pPr>
              <w:jc w:val="center"/>
              <w:ind w:right="660"/>
              <w:spacing w:after="0"/>
              <w:rPr>
                <w:sz w:val="20"/>
                <w:szCs w:val="20"/>
                <w:color w:val="auto"/>
              </w:rPr>
            </w:pPr>
            <w:r>
              <w:rPr>
                <w:rFonts w:ascii="Arial" w:cs="Arial" w:eastAsia="Arial" w:hAnsi="Arial"/>
                <w:sz w:val="14"/>
                <w:szCs w:val="14"/>
                <w:color w:val="auto"/>
                <w:w w:val="94"/>
              </w:rPr>
              <w:t>Fair value</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jc w:val="right"/>
              <w:ind w:right="760"/>
              <w:spacing w:after="0"/>
              <w:rPr>
                <w:sz w:val="20"/>
                <w:szCs w:val="20"/>
                <w:color w:val="auto"/>
              </w:rPr>
            </w:pPr>
            <w:r>
              <w:rPr>
                <w:rFonts w:ascii="Arial" w:cs="Arial" w:eastAsia="Arial" w:hAnsi="Arial"/>
                <w:sz w:val="14"/>
                <w:szCs w:val="14"/>
                <w:color w:val="auto"/>
              </w:rPr>
              <w:t>Potential</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3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at</w:t>
            </w:r>
          </w:p>
        </w:tc>
        <w:tc>
          <w:tcPr>
            <w:tcW w:w="10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of</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840"/>
              <w:spacing w:after="0" w:line="149" w:lineRule="exact"/>
              <w:rPr>
                <w:sz w:val="20"/>
                <w:szCs w:val="20"/>
                <w:color w:val="auto"/>
              </w:rPr>
            </w:pPr>
            <w:r>
              <w:rPr>
                <w:rFonts w:ascii="Arial" w:cs="Arial" w:eastAsia="Arial" w:hAnsi="Arial"/>
                <w:sz w:val="14"/>
                <w:szCs w:val="14"/>
                <w:color w:val="auto"/>
              </w:rPr>
              <w:t>lower</w:t>
            </w:r>
          </w:p>
        </w:tc>
        <w:tc>
          <w:tcPr>
            <w:tcW w:w="13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 of</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2"/>
          </w:tcPr>
          <w:p>
            <w:pPr>
              <w:jc w:val="center"/>
              <w:ind w:right="880"/>
              <w:spacing w:after="0" w:line="149" w:lineRule="exact"/>
              <w:rPr>
                <w:sz w:val="20"/>
                <w:szCs w:val="20"/>
                <w:color w:val="auto"/>
              </w:rPr>
            </w:pPr>
            <w:r>
              <w:rPr>
                <w:rFonts w:ascii="Arial" w:cs="Arial" w:eastAsia="Arial" w:hAnsi="Arial"/>
                <w:sz w:val="14"/>
                <w:szCs w:val="14"/>
                <w:color w:val="auto"/>
                <w:w w:val="95"/>
              </w:rPr>
              <w:t>Potential</w:t>
            </w:r>
          </w:p>
        </w:tc>
      </w:tr>
      <w:tr>
        <w:trPr>
          <w:trHeight w:val="167"/>
        </w:trPr>
        <w:tc>
          <w:tcPr>
            <w:tcW w:w="37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4"/>
              </w:rPr>
              <w:t>12/31/2009</w:t>
            </w:r>
          </w:p>
        </w:tc>
        <w:tc>
          <w:tcPr>
            <w:tcW w:w="6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Portfolio</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840"/>
              <w:spacing w:after="0"/>
              <w:rPr>
                <w:sz w:val="20"/>
                <w:szCs w:val="20"/>
                <w:color w:val="auto"/>
              </w:rPr>
            </w:pPr>
            <w:r>
              <w:rPr>
                <w:rFonts w:ascii="Arial" w:cs="Arial" w:eastAsia="Arial" w:hAnsi="Arial"/>
                <w:sz w:val="14"/>
                <w:szCs w:val="14"/>
                <w:color w:val="auto"/>
              </w:rPr>
              <w:t>Value</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Portfolio</w:t>
            </w:r>
          </w:p>
        </w:tc>
        <w:tc>
          <w:tcPr>
            <w:tcW w:w="6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617"/>
              <w:spacing w:after="0"/>
              <w:rPr>
                <w:sz w:val="20"/>
                <w:szCs w:val="20"/>
                <w:color w:val="auto"/>
              </w:rPr>
            </w:pPr>
            <w:r>
              <w:rPr>
                <w:rFonts w:ascii="Arial" w:cs="Arial" w:eastAsia="Arial" w:hAnsi="Arial"/>
                <w:sz w:val="14"/>
                <w:szCs w:val="14"/>
                <w:color w:val="auto"/>
                <w:w w:val="88"/>
              </w:rPr>
              <w:t>loss</w:t>
            </w:r>
          </w:p>
        </w:tc>
        <w:tc>
          <w:tcPr>
            <w:tcW w:w="160" w:type="dxa"/>
            <w:vAlign w:val="bottom"/>
          </w:tcPr>
          <w:p>
            <w:pPr>
              <w:spacing w:after="0"/>
              <w:rPr>
                <w:sz w:val="14"/>
                <w:szCs w:val="14"/>
                <w:color w:val="auto"/>
              </w:rPr>
            </w:pPr>
          </w:p>
        </w:tc>
      </w:tr>
      <w:tr>
        <w:trPr>
          <w:trHeight w:val="21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and blended asset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404.3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225.9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Bond funds</w:t>
            </w:r>
          </w:p>
        </w:tc>
        <w:tc>
          <w:tcPr>
            <w:tcW w:w="200" w:type="dxa"/>
            <w:vAlign w:val="bottom"/>
          </w:tcPr>
          <w:p>
            <w:pPr>
              <w:spacing w:after="0"/>
              <w:rPr>
                <w:sz w:val="18"/>
                <w:szCs w:val="18"/>
                <w:color w:val="auto"/>
              </w:rPr>
            </w:pPr>
          </w:p>
        </w:tc>
        <w:tc>
          <w:tcPr>
            <w:tcW w:w="520" w:type="dxa"/>
            <w:vAlign w:val="bottom"/>
          </w:tcPr>
          <w:p>
            <w:pPr>
              <w:ind w:left="100"/>
              <w:spacing w:after="0"/>
              <w:rPr>
                <w:sz w:val="20"/>
                <w:szCs w:val="20"/>
                <w:color w:val="auto"/>
              </w:rPr>
            </w:pPr>
            <w:r>
              <w:rPr>
                <w:rFonts w:ascii="Arial" w:cs="Arial" w:eastAsia="Arial" w:hAnsi="Arial"/>
                <w:sz w:val="18"/>
                <w:szCs w:val="18"/>
                <w:color w:val="auto"/>
                <w:w w:val="88"/>
              </w:rPr>
              <w:t>273.2</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244.4</w:t>
            </w:r>
          </w:p>
        </w:tc>
        <w:tc>
          <w:tcPr>
            <w:tcW w:w="680" w:type="dxa"/>
            <w:vAlign w:val="bottom"/>
          </w:tcPr>
          <w:p>
            <w:pPr>
              <w:jc w:val="right"/>
              <w:spacing w:after="0"/>
              <w:rPr>
                <w:sz w:val="20"/>
                <w:szCs w:val="20"/>
                <w:color w:val="auto"/>
              </w:rPr>
            </w:pPr>
            <w:r>
              <w:rPr>
                <w:rFonts w:ascii="Arial" w:cs="Arial" w:eastAsia="Arial" w:hAnsi="Arial"/>
                <w:sz w:val="18"/>
                <w:szCs w:val="18"/>
                <w:color w:val="auto"/>
              </w:rPr>
              <w:t>52</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28.8</w:t>
            </w: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7"/>
        </w:trPr>
        <w:tc>
          <w:tcPr>
            <w:tcW w:w="37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37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677.5</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470.3</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207.2</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0"/>
        </w:trPr>
        <w:tc>
          <w:tcPr>
            <w:tcW w:w="3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comparable potential loss of value presented in our 2008 annual report was $61.5 million on sponsored mutual fund investments of $513.5 million that included a net unrealized loss of $17.5 million at December 31, 2008. During 2009, we experienced net gains of $150.8 million, including the recognition of $36.1 million of other than temporary impairments in our non-operating investment loss.</w:t>
      </w:r>
    </w:p>
    <w:p>
      <w:pPr>
        <w:spacing w:after="0" w:line="7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Because our fund holdings are considered available-for-sale securities, we recognize unrealized losses that are considered temporary in other comprehensive income. We review the carrying amount of each investment on a quarterly basis and recognize an impairment charge in non-operating investment income (loss)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 end, to overcome that presumption. The amount and timing of any future charge will be dependent on our holdings and future market performance.</w:t>
      </w:r>
    </w:p>
    <w:p>
      <w:pPr>
        <w:spacing w:after="0" w:line="8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Investments in mutual funds generally moderate market risk because funds, by their nature, are diversified investment portfolios that invest in a number of different financial instruments. T. Rowe Price further manages its exposure to market risk by diversifying its investments among many domestic and international funds. In addition, investment holdings may be altered from time to time in response to changes in market risks and other factors, as management deems appropriate.</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investment portfolio and customer deposit liabilities of our savings bank subsidiary are subject to interest rate risk. If interest rates change 1%, the change in the net value of these assets and liabilities would not be material.</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also hold other investments of $45.7 million at December 31, 2009, that we are at risk for loss up to our carrying amount should market conditions deteriorate.</w:t>
      </w:r>
    </w:p>
    <w:p>
      <w:pPr>
        <w:spacing w:after="0" w:line="6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operate in several foreign countries, most prominent among which is Great Britain. We incur operating expenses and have foreign currency-denominated assets and liabilities associated with these operations, though our revenues are predominately realized in U.S. dollars. We do not believe that foreign currency fluctuations materially affect our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560" w:type="dxa"/>
            <w:vAlign w:val="bottom"/>
            <w:vMerge w:val="restart"/>
          </w:tcPr>
          <w:p>
            <w:pPr>
              <w:spacing w:after="0"/>
              <w:rPr>
                <w:sz w:val="20"/>
                <w:szCs w:val="20"/>
                <w:color w:val="auto"/>
              </w:rPr>
            </w:pPr>
            <w:r>
              <w:rPr>
                <w:rFonts w:ascii="Arial" w:cs="Arial" w:eastAsia="Arial" w:hAnsi="Arial"/>
                <w:sz w:val="18"/>
                <w:szCs w:val="18"/>
                <w:color w:val="auto"/>
              </w:rPr>
              <w:t>Index to Financial Statements:</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95"/>
        </w:trPr>
        <w:tc>
          <w:tcPr>
            <w:tcW w:w="10560" w:type="dxa"/>
            <w:vAlign w:val="bottom"/>
            <w:vMerge w:val="continue"/>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Balance Sheets at December 31, 2008 and 2009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Income for each of the three years in the period ended December 31, 2009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Cash Flows for each of the three years in the period ended December 31, 2009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Consolidated Statements of Stockholders’ Equity for each of the three years in the period ended December 31, 2009</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Summary of Significant Accounting Policies</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16"/>
        </w:trPr>
        <w:tc>
          <w:tcPr>
            <w:tcW w:w="10560" w:type="dxa"/>
            <w:vAlign w:val="bottom"/>
          </w:tcPr>
          <w:p>
            <w:pPr>
              <w:ind w:left="220"/>
              <w:spacing w:after="0"/>
              <w:rPr>
                <w:sz w:val="20"/>
                <w:szCs w:val="20"/>
                <w:color w:val="auto"/>
              </w:rPr>
            </w:pPr>
            <w:r>
              <w:rPr>
                <w:rFonts w:ascii="Arial" w:cs="Arial" w:eastAsia="Arial" w:hAnsi="Arial"/>
                <w:sz w:val="18"/>
                <w:szCs w:val="18"/>
                <w:color w:val="auto"/>
              </w:rPr>
              <w:t>Notes to Consolidated Financial Statements, including Supplementary Quarterly Financial Data</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30"/>
        </w:trPr>
        <w:tc>
          <w:tcPr>
            <w:tcW w:w="10560" w:type="dxa"/>
            <w:vAlign w:val="bottom"/>
          </w:tcPr>
          <w:p>
            <w:pPr>
              <w:ind w:left="220"/>
              <w:spacing w:after="0"/>
              <w:rPr>
                <w:sz w:val="20"/>
                <w:szCs w:val="20"/>
                <w:color w:val="auto"/>
              </w:rPr>
            </w:pPr>
            <w:r>
              <w:rPr>
                <w:rFonts w:ascii="Arial" w:cs="Arial" w:eastAsia="Arial" w:hAnsi="Arial"/>
                <w:sz w:val="18"/>
                <w:szCs w:val="18"/>
                <w:color w:val="auto"/>
              </w:rPr>
              <w:t>Report of Independent Registered Public Accounting Firm</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405"/>
        </w:trPr>
        <w:tc>
          <w:tcPr>
            <w:tcW w:w="10560" w:type="dxa"/>
            <w:vAlign w:val="bottom"/>
          </w:tcPr>
          <w:p>
            <w:pPr>
              <w:ind w:left="5520"/>
              <w:spacing w:after="0"/>
              <w:rPr>
                <w:sz w:val="20"/>
                <w:szCs w:val="20"/>
                <w:color w:val="auto"/>
              </w:rPr>
            </w:pPr>
            <w:r>
              <w:rPr>
                <w:rFonts w:ascii="Arial" w:cs="Arial" w:eastAsia="Arial" w:hAnsi="Arial"/>
                <w:sz w:val="18"/>
                <w:szCs w:val="18"/>
                <w:color w:val="auto"/>
              </w:rPr>
              <w:t>- 21 -</w:t>
            </w: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5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auto"/>
                <w:w w:val="94"/>
              </w:rPr>
              <w:t>12/31/2008</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3"/>
          </w:tcPr>
          <w:p>
            <w:pPr>
              <w:ind w:left="320"/>
              <w:spacing w:after="0"/>
              <w:rPr>
                <w:sz w:val="20"/>
                <w:szCs w:val="20"/>
                <w:color w:val="auto"/>
              </w:rPr>
            </w:pPr>
            <w:r>
              <w:rPr>
                <w:rFonts w:ascii="Arial" w:cs="Arial" w:eastAsia="Arial" w:hAnsi="Arial"/>
                <w:sz w:val="14"/>
                <w:szCs w:val="14"/>
                <w:color w:val="auto"/>
                <w:w w:val="94"/>
              </w:rPr>
              <w:t>12/31/2009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(Notes 1 and 6)</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619.1</w:t>
            </w:r>
          </w:p>
        </w:tc>
        <w:tc>
          <w:tcPr>
            <w:tcW w:w="340" w:type="dxa"/>
            <w:vAlign w:val="bottom"/>
          </w:tcPr>
          <w:p>
            <w:pPr>
              <w:spacing w:after="0"/>
              <w:rPr>
                <w:sz w:val="18"/>
                <w:szCs w:val="18"/>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Investments in sponsored mutual funds (Notes 3 and 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513.5</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 (Notes 4 and 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166.0</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Other investments (Notes 5 and 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41.9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(Note 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440.1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665.7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Other assets (Notes 8 and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23"/>
        </w:trPr>
        <w:tc>
          <w:tcPr>
            <w:tcW w:w="92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2,819.4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3,210.3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 (Note 10)</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86.8</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60.7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(Note 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Customer deposits at savings bank subsidiary (Note 4)</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439"/>
        </w:trPr>
        <w:tc>
          <w:tcPr>
            <w:tcW w:w="9280" w:type="dxa"/>
            <w:vAlign w:val="bottom"/>
            <w:gridSpan w:val="2"/>
          </w:tcPr>
          <w:p>
            <w:pPr>
              <w:spacing w:after="0"/>
              <w:rPr>
                <w:sz w:val="20"/>
                <w:szCs w:val="20"/>
                <w:color w:val="auto"/>
              </w:rPr>
            </w:pPr>
            <w:r>
              <w:rPr>
                <w:rFonts w:ascii="Arial" w:cs="Arial" w:eastAsia="Arial" w:hAnsi="Arial"/>
                <w:sz w:val="18"/>
                <w:szCs w:val="18"/>
                <w:color w:val="auto"/>
              </w:rPr>
              <w:t>Commitments and contingent liabilities (Notes 5, 7 and 14)</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(Notes 10, 11, 13 and 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Common stock, $.20 par value — authorized 750,000,000; issued 256,856,000 shares in 2008 and 258,534,000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shares in 2009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51.4</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363.7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2,086.8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2,240.1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(13.1)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2,488.8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2,882.2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2,819.4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3,210.3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rPr>
              <w:t>Year ended December 31,</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advisory fees (Note 2)</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1,879.1</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1,761.0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 (Note 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348.1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2,233.1</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2,121.3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2,228.3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2,116.3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1,867.4</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 (Notes 7, 11 and 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797.2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107.9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Occupancy and facility costs (Note 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92.1</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181.3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1,231.9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1,267.8</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1,165.8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996.4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432"/>
        </w:trPr>
        <w:tc>
          <w:tcPr>
            <w:tcW w:w="7900" w:type="dxa"/>
            <w:vAlign w:val="bottom"/>
            <w:gridSpan w:val="2"/>
          </w:tcPr>
          <w:p>
            <w:pPr>
              <w:spacing w:after="0"/>
              <w:rPr>
                <w:sz w:val="20"/>
                <w:szCs w:val="20"/>
                <w:color w:val="auto"/>
              </w:rPr>
            </w:pPr>
            <w:r>
              <w:rPr>
                <w:rFonts w:ascii="Arial" w:cs="Arial" w:eastAsia="Arial" w:hAnsi="Arial"/>
                <w:sz w:val="18"/>
                <w:szCs w:val="18"/>
                <w:color w:val="auto"/>
              </w:rPr>
              <w:t>Non-operating investment income (loss)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80.4</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8"/>
                <w:szCs w:val="18"/>
                <w:color w:val="auto"/>
              </w:rPr>
              <w:t>(52.3)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1,076.8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796.2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 (Note 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305.4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670.6</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0"/>
        </w:trPr>
        <w:tc>
          <w:tcPr>
            <w:tcW w:w="79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 on common stock (Note 12)</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Basic</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53</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40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40</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color w:val="auto"/>
        </w:rPr>
        <w:t>CONSOLIDATED STATEMENTS OF CASH FLOWS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2008</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670.6</w:t>
            </w:r>
          </w:p>
        </w:tc>
        <w:tc>
          <w:tcPr>
            <w:tcW w:w="1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490.8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53.4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than temporary impairments of investments in sponsored mutual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Changes in accounts receivable and accrued revenue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(42.7)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89.4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Changes in payables and accrued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(27.9)</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741.8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535.6</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(190.8)</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Dispositions of sponsored mutual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15.3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debt securities by savings bank subsidiary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Proceeds from debt securities held by savings bank subsidiary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26.1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 made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Proceeds from other investments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72.6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(145.6)</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(144.1)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Other investing activity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(344.7)</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(166.7)</w:t>
            </w:r>
          </w:p>
        </w:tc>
        <w:tc>
          <w:tcPr>
            <w:tcW w:w="0" w:type="dxa"/>
            <w:vAlign w:val="bottom"/>
          </w:tcPr>
          <w:p>
            <w:pPr>
              <w:spacing w:after="0"/>
              <w:rPr>
                <w:sz w:val="1"/>
                <w:szCs w:val="1"/>
                <w:color w:val="auto"/>
              </w:rPr>
            </w:pPr>
          </w:p>
        </w:tc>
      </w:tr>
      <w:tr>
        <w:trPr>
          <w:trHeight w:val="439"/>
        </w:trPr>
        <w:tc>
          <w:tcPr>
            <w:tcW w:w="790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Repurchases of common stock</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(312.1)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(614.2)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Common share issuances under stock-based compensation plans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(3.3)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8"/>
                <w:szCs w:val="18"/>
                <w:color w:val="auto"/>
              </w:rPr>
              <w:t>31.7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 from stock-based compensation plans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94.9</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68.7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(180.3)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(312.5)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vMerge w:val="restart"/>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(401.2)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(782.8)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(244.7)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Net change during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12.1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(166.0)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773.0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785.1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80" w:type="dxa"/>
            <w:vAlign w:val="bottom"/>
          </w:tcPr>
          <w:p>
            <w:pPr>
              <w:ind w:left="200"/>
              <w:spacing w:after="0"/>
              <w:rPr>
                <w:sz w:val="20"/>
                <w:szCs w:val="20"/>
                <w:color w:val="auto"/>
              </w:rPr>
            </w:pPr>
            <w:r>
              <w:rPr>
                <w:rFonts w:ascii="Arial" w:cs="Arial" w:eastAsia="Arial" w:hAnsi="Arial"/>
                <w:sz w:val="18"/>
                <w:szCs w:val="18"/>
                <w:color w:val="auto"/>
              </w:rPr>
              <w:t>At end of year</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785.1</w:t>
            </w:r>
          </w:p>
        </w:tc>
        <w:tc>
          <w:tcPr>
            <w:tcW w:w="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4"/>
          </w:tcPr>
          <w:p>
            <w:pPr>
              <w:ind w:left="180"/>
              <w:spacing w:after="0"/>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gridSpan w:val="3"/>
          </w:tcPr>
          <w:p>
            <w:pPr>
              <w:jc w:val="center"/>
              <w:ind w:right="46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capital in</w:t>
            </w: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580" w:type="dxa"/>
            <w:vAlign w:val="bottom"/>
            <w:gridSpan w:val="3"/>
          </w:tcPr>
          <w:p>
            <w:pPr>
              <w:jc w:val="right"/>
              <w:ind w:right="240"/>
              <w:spacing w:after="0" w:line="149" w:lineRule="exact"/>
              <w:rPr>
                <w:sz w:val="20"/>
                <w:szCs w:val="20"/>
                <w:color w:val="auto"/>
              </w:rPr>
            </w:pPr>
            <w:r>
              <w:rPr>
                <w:rFonts w:ascii="Arial" w:cs="Arial" w:eastAsia="Arial" w:hAnsi="Arial"/>
                <w:sz w:val="14"/>
                <w:szCs w:val="14"/>
                <w:color w:val="auto"/>
              </w:rPr>
              <w:t>Common shares</w:t>
            </w:r>
          </w:p>
        </w:tc>
        <w:tc>
          <w:tcPr>
            <w:tcW w:w="18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180" w:type="dxa"/>
            <w:vAlign w:val="bottom"/>
          </w:tcPr>
          <w:p>
            <w:pPr>
              <w:spacing w:after="0"/>
              <w:rPr>
                <w:sz w:val="12"/>
                <w:szCs w:val="12"/>
                <w:color w:val="auto"/>
              </w:rPr>
            </w:pPr>
          </w:p>
        </w:tc>
        <w:tc>
          <w:tcPr>
            <w:tcW w:w="8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4"/>
              </w:rPr>
              <w:t>excess of</w:t>
            </w:r>
          </w:p>
        </w:tc>
        <w:tc>
          <w:tcPr>
            <w:tcW w:w="200" w:type="dxa"/>
            <w:vAlign w:val="bottom"/>
          </w:tcPr>
          <w:p>
            <w:pPr>
              <w:spacing w:after="0"/>
              <w:rPr>
                <w:sz w:val="12"/>
                <w:szCs w:val="12"/>
                <w:color w:val="auto"/>
              </w:rPr>
            </w:pPr>
          </w:p>
        </w:tc>
        <w:tc>
          <w:tcPr>
            <w:tcW w:w="11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Retained</w:t>
            </w:r>
          </w:p>
        </w:tc>
        <w:tc>
          <w:tcPr>
            <w:tcW w:w="134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2"/>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color w:val="auto"/>
              </w:rPr>
              <w:t>outstanding</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91"/>
              </w:rPr>
              <w:t>stock</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7"/>
              </w:rPr>
              <w:t>par value</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w:t>
            </w:r>
          </w:p>
        </w:tc>
        <w:tc>
          <w:tcPr>
            <w:tcW w:w="460" w:type="dxa"/>
            <w:vAlign w:val="bottom"/>
          </w:tcPr>
          <w:p>
            <w:pPr>
              <w:spacing w:after="0"/>
              <w:rPr>
                <w:sz w:val="14"/>
                <w:szCs w:val="14"/>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3"/>
              </w:rPr>
              <w:t>income (loss)</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264,960</w:t>
            </w:r>
          </w:p>
        </w:tc>
        <w:tc>
          <w:tcPr>
            <w:tcW w:w="2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53.0</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247.5</w:t>
            </w: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$2,057.1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upon option exercises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Restricted shares issued</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281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on vesting of restricted stock units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Forfeiture of restricted awards</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tax benefits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96.9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79.8</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(6,163)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(124.0)</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(195.5)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670.6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Net unrealized holding gains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(198.8)</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2007</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264,605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2,333.4</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upon option exercises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Restricted shares issued</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270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Shares issued upon vesting of restricted stock units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Forfeiture of restricted awards</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tax benefits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85.5</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(118.5)</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(488.5)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490.8</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Net unrealized holding losses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(108.1)</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(248.9)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2008</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2,086.8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(13.1)</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upon option exercises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Restricted shares issued</w:t>
            </w:r>
          </w:p>
        </w:tc>
        <w:tc>
          <w:tcPr>
            <w:tcW w:w="1580" w:type="dxa"/>
            <w:vAlign w:val="bottom"/>
            <w:gridSpan w:val="3"/>
          </w:tcPr>
          <w:p>
            <w:pPr>
              <w:jc w:val="right"/>
              <w:ind w:right="260"/>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on vesting of restricted stock units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Forfeiture of restricted awards</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tax benefits</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31.9</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89.1</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(2,270)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(43.1)</w:t>
            </w:r>
          </w:p>
        </w:tc>
        <w:tc>
          <w:tcPr>
            <w:tcW w:w="13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(23.4)</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Comprehensive income</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433.6</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00"/>
              <w:spacing w:after="0"/>
              <w:rPr>
                <w:sz w:val="20"/>
                <w:szCs w:val="20"/>
                <w:color w:val="auto"/>
              </w:rPr>
            </w:pPr>
            <w:r>
              <w:rPr>
                <w:rFonts w:ascii="Arial" w:cs="Arial" w:eastAsia="Arial" w:hAnsi="Arial"/>
                <w:sz w:val="18"/>
                <w:szCs w:val="18"/>
                <w:color w:val="auto"/>
              </w:rPr>
              <w:t>Net unrealized holding gains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115.0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Dividends</w:t>
            </w: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(256.9)</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2009</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488.5</w:t>
            </w:r>
          </w:p>
        </w:tc>
        <w:tc>
          <w:tcPr>
            <w:tcW w:w="2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2,240.1</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summary of significant accounting policies and notes to consolidated financial statements are an integral part of these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SUMMARY OF SIGNIFICANT ACCOUNTING POLICIES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w:t>
      </w:r>
    </w:p>
    <w:p>
      <w:pPr>
        <w:spacing w:after="0" w:line="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These consolidated financial statements have been prepared by our management in accordance with accounting principles generally accepted in the United States, which require the use of estimates. Actual results may vary from our estimates. We have modified certain prior-year disclosures to be comparative with and conform to the presentation of our 2009 disclosures. We evaluated all subsequent events through the time that we filed these financial statements with the Securities and Exchange Commission on February 5, 2010, as part of our Annual Report on Form 10-K.</w:t>
      </w:r>
    </w:p>
    <w:p>
      <w:pPr>
        <w:spacing w:after="0" w:line="6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financial statements include the accounts of all subsidiaries in which we have a majority or controlling interest. All material intercompany accounts and transactions are eliminated in consolidation.</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not the primary beneficiary, and do not consolidate the accounts, of a high-yield collateralized bond obligation (CBO) that held assets of $21 million at December 31, 2009. This variable interest entity is a non-recourse, limited liability company for which we are the collateral manager and receive related investment advisory fees. We recognized the full impairment of our investment in this CBO in 2002 and do not expect to recognize any future gains or losses from this investment.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our sponsored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value our investments in sponsored mutual funds at the quoted closing net asset values, or NAVs, per share of each mutual fund last reported as of the balance sheet date, and generally classify these holdings as available-for-sale.</w:t>
      </w:r>
    </w:p>
    <w:p>
      <w:pPr>
        <w:spacing w:after="0" w:line="6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Our investments in marketable debt securities, including mortgage- and other asset-backed securities held by our savings bank subsidiary, are also classified as available-for-sale and reported at fair value. These debt securities are generally traded in the over-the-counter market. Securities with original maturities of one year or more are valued by us based on prices furnished by dealers who make markets in such securities or by an independent pricing service, which considers the yield or price of bonds of comparable quality, coupon, maturity, and type, as well as prices quoted by dealers who make markets in such securities. Securities with original maturities of less than one year generally are valued at amortized cost, which approximates fair value; however, if amortized cost is deemed not to reflect fair value, such securities are valued by us based generally on prices furnished by dealers who make markets in such securities or by an independent pricing service. Our investment valuation policies, methods and sources are the same as those employed by the sponsored mutual funds to price similar investment holdings.</w:t>
      </w:r>
    </w:p>
    <w:p>
      <w:pPr>
        <w:spacing w:after="0" w:line="71" w:lineRule="exact"/>
        <w:rPr>
          <w:sz w:val="20"/>
          <w:szCs w:val="20"/>
          <w:color w:val="auto"/>
        </w:rPr>
      </w:pPr>
    </w:p>
    <w:p>
      <w:pPr>
        <w:ind w:right="220"/>
        <w:spacing w:after="0" w:line="361" w:lineRule="auto"/>
        <w:rPr>
          <w:sz w:val="20"/>
          <w:szCs w:val="20"/>
          <w:color w:val="auto"/>
        </w:rPr>
      </w:pPr>
      <w:r>
        <w:rPr>
          <w:rFonts w:ascii="Arial" w:cs="Arial" w:eastAsia="Arial" w:hAnsi="Arial"/>
          <w:sz w:val="16"/>
          <w:szCs w:val="16"/>
          <w:color w:val="auto"/>
        </w:rPr>
        <w:t>Changes in net unrealized security holding gains (losses) on available-for-sale securities are recognized in accumulated other comprehensive income (loss). We review the carrying amount of each investment on a quarterly basis and recognize an impairment charge in non-operating investment income</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(loss) whenever an unrealized loss is considered other than temporary. A mutual fund holding with an impairment that has persisted daily throughout the six months between quarter-ends is generally presumed to have an other than temporary impairment unless there is persuasive evidence, such as an increase in value subsequent to quarter end, to overcome that presumption. We may also recognize an other than temporary charge if particular circumstances do not warrant our belief that a near-term recovery is possible.</w:t>
      </w:r>
    </w:p>
    <w:p>
      <w:pPr>
        <w:spacing w:after="0" w:line="8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classify some investments in sponsored mutual funds made at fund formation as trading because they are expected to be held for only a short period of time.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investments are recognized using the cost or equity methods of accounting, as appropriate.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CONCENTRATIONS OF RISK.</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6" w:name="page27"/>
    <w:bookmarkEnd w:id="26"/>
    <w:p>
      <w:pPr>
        <w:jc w:val="both"/>
        <w:spacing w:after="0" w:line="264" w:lineRule="auto"/>
        <w:rPr>
          <w:sz w:val="20"/>
          <w:szCs w:val="20"/>
          <w:color w:val="auto"/>
        </w:rPr>
      </w:pPr>
      <w:r>
        <w:rPr>
          <w:rFonts w:ascii="Arial" w:cs="Arial" w:eastAsia="Arial" w:hAnsi="Arial"/>
          <w:sz w:val="18"/>
          <w:szCs w:val="18"/>
          <w:color w:val="auto"/>
        </w:rPr>
        <w:t>Our investments in sponsored mutual funds expose us to market risk in the form of equity price risk; that is, the potential future loss of value that would result from a decline in the fair values of the mutual funds. Each fund and its underlying net assets are also subject to market risk, which may arise from changes in equity prices, credit ratings, foreign currency exchange rates, and interest rates.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Investments by our savings bank subsidiary in debt securities expose us to market risk, which may arise from changes in credit ratings and interest rates.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11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 average estimated useful lives: computer and communications software and equipment, 3.5 years; buildings and improvements, 32.6 years; leasehold improvements, 9.2 years; furniture and other equipment, 6.6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11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evaluate the carrying amount of goodwill in our balance sheet for possible impairment on an annual basis in the third quarter of each year using a fair value approach. Our evaluations have indicated that no impairment exists.</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 — 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Fees for investment advisory services, which are based on a percentage of assets under management, and related administrative services that we provide to investment advisory clients, including our sponsored mutual funds, are recognized in the period that our services are provided. Our assets under management are valued in accordance with a valuation and pricing policy that defines the valuation and pricing processes for each major type of investment held in our sponsored mutual funds and other client investment portfolios. Fair values used in our processes are primarily determined from quoted market prices, prices furnished by dealers who make markets in such securities, or from data provided by an independent pricing service that considers yield or price of investments of comparable quality, coupon, maturity, and type, as well as prices quoted by dealers who make markets in such securities. Investments for which market prices are not readily available are not a material portion of our total assets under management.</w:t>
      </w:r>
    </w:p>
    <w:p>
      <w:pPr>
        <w:spacing w:after="0" w:line="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Administrative revenues from distribution of our sponsored mutual funds’ Advisor and R class shares, and the corresponding operating expense for payments to third-party financial intermediaries that distribute those share classes, are recognized in the period that they are earned, which is the same period that the related mutual funds recognize their expense.</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We provide all services to the sponsored U.S. mutual funds under contracts that are subject to periodic review and approval by each of the funds’ boards.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AWARDS AND OPTIONS.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stockholders have approved the 2001 and 2004 Stock Incentive Plans under which we have issued restricted shares and restricted stock units that convert to shares after vesting. These employee awards are fair valued on the grant date using the closing market price of our common stock and generally vest over graded schedules of four to five years.</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Under the seven stockholder approved plans (the 1993, 1996, 2001 and 2004 Stock Incentive Plans and the 1995, 1998 and 2007 plans for non-employee directors), we have granted qualified incentive and nonqualified fixed stock options with a maximum term of 10 years to employees and non-employee directors. Vesting of our employee option grants is based solely on the individual continuing to render service and generally occurs over a five- to six-year graded schedule. The exercise price of each option granted is equivalent to the market price of the common stock at the date of grant. We semiannually grant options, restricted shares and restricted stock units to non-employee directors that vest over six months to one year. Vested stock units are issued as dividend equivalents on stock units held by non-employee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right="340"/>
        <w:spacing w:after="0" w:line="277" w:lineRule="auto"/>
        <w:rPr>
          <w:sz w:val="20"/>
          <w:szCs w:val="20"/>
          <w:color w:val="auto"/>
        </w:rPr>
      </w:pPr>
      <w:r>
        <w:rPr>
          <w:rFonts w:ascii="Arial" w:cs="Arial" w:eastAsia="Arial" w:hAnsi="Arial"/>
          <w:sz w:val="18"/>
          <w:szCs w:val="18"/>
          <w:color w:val="auto"/>
        </w:rPr>
        <w:t>In recognizing stock option-based compensation expense, we used the Black-Scholes option-pricing model to estimate the fair value of each option grant, including reloads,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20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Weighted-average</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r>
      <w:tr>
        <w:trPr>
          <w:trHeight w:val="142"/>
        </w:trPr>
        <w:tc>
          <w:tcPr>
            <w:tcW w:w="7200" w:type="dxa"/>
            <w:vAlign w:val="bottom"/>
          </w:tcPr>
          <w:p>
            <w:pPr>
              <w:spacing w:after="0"/>
              <w:rPr>
                <w:sz w:val="12"/>
                <w:szCs w:val="12"/>
                <w:color w:val="auto"/>
              </w:rPr>
            </w:pPr>
          </w:p>
        </w:tc>
        <w:tc>
          <w:tcPr>
            <w:tcW w:w="106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color w:val="auto"/>
              </w:rPr>
              <w:t>2007</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2008</w:t>
            </w:r>
          </w:p>
        </w:tc>
        <w:tc>
          <w:tcPr>
            <w:tcW w:w="520" w:type="dxa"/>
            <w:vAlign w:val="bottom"/>
          </w:tcPr>
          <w:p>
            <w:pPr>
              <w:spacing w:after="0"/>
              <w:rPr>
                <w:sz w:val="12"/>
                <w:szCs w:val="12"/>
                <w:color w:val="auto"/>
              </w:rPr>
            </w:pPr>
          </w:p>
        </w:tc>
        <w:tc>
          <w:tcPr>
            <w:tcW w:w="106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color w:val="auto"/>
              </w:rPr>
              <w:t>2009</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Grant-date fair value per option awarded, including reload grants</w:t>
            </w:r>
          </w:p>
        </w:tc>
        <w:tc>
          <w:tcPr>
            <w:tcW w:w="10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$12.31</w:t>
            </w:r>
          </w:p>
        </w:tc>
        <w:tc>
          <w:tcPr>
            <w:tcW w:w="15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$13.51</w:t>
            </w:r>
          </w:p>
        </w:tc>
        <w:tc>
          <w:tcPr>
            <w:tcW w:w="15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$10.07</w:t>
            </w:r>
          </w:p>
        </w:tc>
      </w:tr>
      <w:tr>
        <w:trPr>
          <w:trHeight w:val="432"/>
        </w:trPr>
        <w:tc>
          <w:tcPr>
            <w:tcW w:w="7200" w:type="dxa"/>
            <w:vAlign w:val="bottom"/>
          </w:tcPr>
          <w:p>
            <w:pPr>
              <w:spacing w:after="0"/>
              <w:rPr>
                <w:sz w:val="20"/>
                <w:szCs w:val="20"/>
                <w:color w:val="auto"/>
              </w:rPr>
            </w:pPr>
            <w:r>
              <w:rPr>
                <w:rFonts w:ascii="Arial" w:cs="Arial" w:eastAsia="Arial" w:hAnsi="Arial"/>
                <w:sz w:val="18"/>
                <w:szCs w:val="18"/>
                <w:color w:val="auto"/>
              </w:rPr>
              <w:t>Assumptions used:</w:t>
            </w: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in years</w:t>
            </w:r>
          </w:p>
        </w:tc>
        <w:tc>
          <w:tcPr>
            <w:tcW w:w="106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5.4</w:t>
            </w:r>
          </w:p>
        </w:tc>
        <w:tc>
          <w:tcPr>
            <w:tcW w:w="15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5.9</w:t>
            </w:r>
          </w:p>
        </w:tc>
        <w:tc>
          <w:tcPr>
            <w:tcW w:w="158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6.7</w:t>
            </w:r>
          </w:p>
        </w:tc>
      </w:tr>
      <w:tr>
        <w:trPr>
          <w:trHeight w:val="216"/>
        </w:trPr>
        <w:tc>
          <w:tcPr>
            <w:tcW w:w="7200" w:type="dxa"/>
            <w:vAlign w:val="bottom"/>
          </w:tcPr>
          <w:p>
            <w:pPr>
              <w:ind w:left="220"/>
              <w:spacing w:after="0"/>
              <w:rPr>
                <w:sz w:val="20"/>
                <w:szCs w:val="20"/>
                <w:color w:val="auto"/>
              </w:rPr>
            </w:pPr>
            <w:r>
              <w:rPr>
                <w:rFonts w:ascii="Arial" w:cs="Arial" w:eastAsia="Arial" w:hAnsi="Arial"/>
                <w:sz w:val="18"/>
                <w:szCs w:val="18"/>
                <w:color w:val="auto"/>
              </w:rPr>
              <w:t>Expected volatility</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23%</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24%</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32%</w:t>
            </w: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w:t>
            </w:r>
          </w:p>
        </w:tc>
        <w:tc>
          <w:tcPr>
            <w:tcW w:w="15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2.4%</w:t>
            </w:r>
          </w:p>
        </w:tc>
      </w:tr>
      <w:tr>
        <w:trPr>
          <w:trHeight w:val="230"/>
        </w:trPr>
        <w:tc>
          <w:tcPr>
            <w:tcW w:w="720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060" w:type="dxa"/>
            <w:vAlign w:val="bottom"/>
          </w:tcPr>
          <w:p>
            <w:pPr>
              <w:jc w:val="right"/>
              <w:ind w:right="93"/>
              <w:spacing w:after="0"/>
              <w:rPr>
                <w:sz w:val="20"/>
                <w:szCs w:val="20"/>
                <w:color w:val="auto"/>
              </w:rPr>
            </w:pPr>
            <w:r>
              <w:rPr>
                <w:rFonts w:ascii="Arial" w:cs="Arial" w:eastAsia="Arial" w:hAnsi="Arial"/>
                <w:sz w:val="18"/>
                <w:szCs w:val="18"/>
                <w:color w:val="auto"/>
              </w:rPr>
              <w:t>4.3%</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3.1%</w:t>
            </w:r>
          </w:p>
        </w:tc>
        <w:tc>
          <w:tcPr>
            <w:tcW w:w="1580" w:type="dxa"/>
            <w:vAlign w:val="bottom"/>
            <w:gridSpan w:val="2"/>
          </w:tcPr>
          <w:p>
            <w:pPr>
              <w:jc w:val="right"/>
              <w:ind w:right="108"/>
              <w:spacing w:after="0"/>
              <w:rPr>
                <w:sz w:val="20"/>
                <w:szCs w:val="20"/>
                <w:color w:val="auto"/>
              </w:rPr>
            </w:pPr>
            <w:r>
              <w:rPr>
                <w:rFonts w:ascii="Arial" w:cs="Arial" w:eastAsia="Arial" w:hAnsi="Arial"/>
                <w:sz w:val="18"/>
                <w:szCs w:val="18"/>
                <w:color w:val="auto"/>
              </w:rPr>
              <w:t>2.5%</w:t>
            </w:r>
          </w:p>
        </w:tc>
      </w:tr>
    </w:tbl>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and dividend yield are based on recent historical experience. Risk-free interest rates are set using grant-date U.S. Treasury yield curves for the same periods as our expected lives.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11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On January 1, 2009, we modified our earnings per share calculations to reflect new financial reporting guidance that recognizes our outstanding restricted stock and stock units, on which we pay non-forfeitable dividends, as if they were a separate class of stock. The retrospective application of the new guidance did not significantly reduce our weighted average common shares outstanding assuming dilution as presented in Note 12 for 2007 and 2008; however, it did reduce our previously reported diluted earnings per share on our common stock for each of the second quarter and full year 2008 by $.01.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11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Total comprehensive income is reported in our consolidated statements of stockholders’ equity and includes net income and the change in net unrealized security holding gains (losses), after income taxes (tax benefits).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NOTES TO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117" w:lineRule="exact"/>
        <w:rPr>
          <w:sz w:val="20"/>
          <w:szCs w:val="20"/>
          <w:color w:val="auto"/>
        </w:rPr>
      </w:pPr>
    </w:p>
    <w:p>
      <w:pPr>
        <w:ind w:right="920"/>
        <w:spacing w:after="0" w:line="342" w:lineRule="auto"/>
        <w:rPr>
          <w:sz w:val="20"/>
          <w:szCs w:val="20"/>
          <w:color w:val="auto"/>
        </w:rPr>
      </w:pPr>
      <w:r>
        <w:rPr>
          <w:rFonts w:ascii="Arial" w:cs="Arial" w:eastAsia="Arial" w:hAnsi="Arial"/>
          <w:sz w:val="16"/>
          <w:szCs w:val="16"/>
          <w:color w:val="auto"/>
        </w:rPr>
        <w:t>Cash equivalent investments in our sponsored money market mutual funds aggregate $555.6 million at December 31, 2008, and $676.5 million at December 31, 2009. Dividends earned on these investments totaled $38.0 million in 2007, $17.5 million in 2008, and $1.6 million in 2009.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$95.0 million at December 31, 2008, and $130.1 million at December 31, 2009.</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Revenues (in millions) from investment advisory services provided under agreements with our sponsored mutual funds and other investment clients include: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700" w:type="dxa"/>
            <w:vAlign w:val="bottom"/>
            <w:gridSpan w:val="2"/>
          </w:tcPr>
          <w:p>
            <w:pPr>
              <w:jc w:val="right"/>
              <w:ind w:right="110"/>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$ 1,168.7</w:t>
            </w:r>
          </w:p>
        </w:tc>
        <w:tc>
          <w:tcPr>
            <w:tcW w:w="6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$ 1,031.4</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843.7</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184.6</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207.4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w:t>
            </w:r>
          </w:p>
        </w:tc>
      </w:tr>
      <w:tr>
        <w:trPr>
          <w:trHeight w:val="223"/>
        </w:trPr>
        <w:tc>
          <w:tcPr>
            <w:tcW w:w="7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1,353.3</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1,068.3</w:t>
            </w:r>
          </w:p>
        </w:tc>
        <w:tc>
          <w:tcPr>
            <w:tcW w:w="100" w:type="dxa"/>
            <w:vAlign w:val="bottom"/>
          </w:tcPr>
          <w:p>
            <w:pPr>
              <w:spacing w:after="0"/>
              <w:rPr>
                <w:sz w:val="19"/>
                <w:szCs w:val="19"/>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525.8</w:t>
            </w:r>
          </w:p>
        </w:tc>
        <w:tc>
          <w:tcPr>
            <w:tcW w:w="6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522.2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477.8</w:t>
            </w:r>
          </w:p>
        </w:tc>
      </w:tr>
      <w:tr>
        <w:trPr>
          <w:trHeight w:val="223"/>
        </w:trPr>
        <w:tc>
          <w:tcPr>
            <w:tcW w:w="790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$ 1,879.1</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$ 1,761.0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1,546.1</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various investment portfolios and assets under management (in billions) on which we earn advisory fees.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Average during</w:t>
            </w:r>
          </w:p>
        </w:tc>
        <w:tc>
          <w:tcPr>
            <w:tcW w:w="11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775"/>
              <w:spacing w:after="0"/>
              <w:rPr>
                <w:sz w:val="20"/>
                <w:szCs w:val="20"/>
                <w:color w:val="auto"/>
              </w:rPr>
            </w:pPr>
            <w:r>
              <w:rPr>
                <w:rFonts w:ascii="Arial" w:cs="Arial" w:eastAsia="Arial" w:hAnsi="Arial"/>
                <w:sz w:val="14"/>
                <w:szCs w:val="14"/>
                <w:color w:val="auto"/>
                <w:w w:val="95"/>
              </w:rPr>
              <w:t>December 31,</w:t>
            </w: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11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color w:val="auto"/>
              </w:rPr>
              <w:t>2007</w:t>
            </w:r>
          </w:p>
        </w:tc>
        <w:tc>
          <w:tcPr>
            <w:tcW w:w="1700" w:type="dxa"/>
            <w:vAlign w:val="bottom"/>
            <w:tcBorders>
              <w:bottom w:val="single" w:sz="8" w:color="auto"/>
            </w:tcBorders>
          </w:tcPr>
          <w:p>
            <w:pPr>
              <w:jc w:val="right"/>
              <w:ind w:right="615"/>
              <w:spacing w:after="0" w:line="142" w:lineRule="exact"/>
              <w:rPr>
                <w:sz w:val="20"/>
                <w:szCs w:val="20"/>
                <w:color w:val="auto"/>
              </w:rPr>
            </w:pPr>
            <w:r>
              <w:rPr>
                <w:rFonts w:ascii="Arial" w:cs="Arial" w:eastAsia="Arial" w:hAnsi="Arial"/>
                <w:sz w:val="14"/>
                <w:szCs w:val="14"/>
                <w:color w:val="auto"/>
              </w:rPr>
              <w:t>2008</w:t>
            </w:r>
          </w:p>
        </w:tc>
        <w:tc>
          <w:tcPr>
            <w:tcW w:w="11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2009</w:t>
            </w:r>
          </w:p>
        </w:tc>
        <w:tc>
          <w:tcPr>
            <w:tcW w:w="480" w:type="dxa"/>
            <w:vAlign w:val="bottom"/>
          </w:tcPr>
          <w:p>
            <w:pPr>
              <w:spacing w:after="0"/>
              <w:rPr>
                <w:sz w:val="12"/>
                <w:szCs w:val="12"/>
                <w:color w:val="auto"/>
              </w:rPr>
            </w:pPr>
          </w:p>
        </w:tc>
        <w:tc>
          <w:tcPr>
            <w:tcW w:w="80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color w:val="auto"/>
              </w:rPr>
              <w:t>2008</w:t>
            </w:r>
          </w:p>
        </w:tc>
        <w:tc>
          <w:tcPr>
            <w:tcW w:w="172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color w:val="auto"/>
              </w:rPr>
              <w:t>2009</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$191.1</w:t>
            </w:r>
          </w:p>
        </w:tc>
        <w:tc>
          <w:tcPr>
            <w:tcW w:w="1700" w:type="dxa"/>
            <w:vAlign w:val="bottom"/>
          </w:tcPr>
          <w:p>
            <w:pPr>
              <w:jc w:val="right"/>
              <w:ind w:right="555"/>
              <w:spacing w:after="0"/>
              <w:rPr>
                <w:sz w:val="20"/>
                <w:szCs w:val="20"/>
                <w:color w:val="auto"/>
              </w:rPr>
            </w:pPr>
            <w:r>
              <w:rPr>
                <w:rFonts w:ascii="Arial" w:cs="Arial" w:eastAsia="Arial" w:hAnsi="Arial"/>
                <w:sz w:val="18"/>
                <w:szCs w:val="18"/>
                <w:color w:val="auto"/>
              </w:rPr>
              <w:t>$168.6</w:t>
            </w:r>
          </w:p>
        </w:tc>
        <w:tc>
          <w:tcPr>
            <w:tcW w:w="1160" w:type="dxa"/>
            <w:vAlign w:val="bottom"/>
          </w:tcPr>
          <w:p>
            <w:pPr>
              <w:jc w:val="right"/>
              <w:ind w:right="213"/>
              <w:spacing w:after="0"/>
              <w:rPr>
                <w:sz w:val="20"/>
                <w:szCs w:val="20"/>
                <w:color w:val="auto"/>
              </w:rPr>
            </w:pPr>
            <w:r>
              <w:rPr>
                <w:rFonts w:ascii="Arial" w:cs="Arial" w:eastAsia="Arial" w:hAnsi="Arial"/>
                <w:sz w:val="18"/>
                <w:szCs w:val="18"/>
                <w:color w:val="auto"/>
              </w:rPr>
              <w:t>$139.5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$117.9</w:t>
            </w:r>
          </w:p>
        </w:tc>
        <w:tc>
          <w:tcPr>
            <w:tcW w:w="1720" w:type="dxa"/>
            <w:vAlign w:val="bottom"/>
          </w:tcPr>
          <w:p>
            <w:pPr>
              <w:jc w:val="right"/>
              <w:ind w:right="215"/>
              <w:spacing w:after="0"/>
              <w:rPr>
                <w:sz w:val="20"/>
                <w:szCs w:val="20"/>
                <w:color w:val="auto"/>
              </w:rPr>
            </w:pPr>
            <w:r>
              <w:rPr>
                <w:rFonts w:ascii="Arial" w:cs="Arial" w:eastAsia="Arial" w:hAnsi="Arial"/>
                <w:sz w:val="18"/>
                <w:szCs w:val="18"/>
                <w:color w:val="auto"/>
              </w:rPr>
              <w:t>$172.7</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41.7</w:t>
            </w:r>
          </w:p>
        </w:tc>
        <w:tc>
          <w:tcPr>
            <w:tcW w:w="17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47.5</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52.3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7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60.0</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120" w:type="dxa"/>
            <w:vAlign w:val="bottom"/>
            <w:tcBorders>
              <w:top w:val="single" w:sz="8" w:color="auto"/>
            </w:tcBorders>
          </w:tcPr>
          <w:p>
            <w:pPr>
              <w:jc w:val="right"/>
              <w:ind w:right="333"/>
              <w:spacing w:after="0"/>
              <w:rPr>
                <w:sz w:val="20"/>
                <w:szCs w:val="20"/>
                <w:color w:val="auto"/>
              </w:rPr>
            </w:pPr>
            <w:r>
              <w:rPr>
                <w:rFonts w:ascii="Arial" w:cs="Arial" w:eastAsia="Arial" w:hAnsi="Arial"/>
                <w:sz w:val="18"/>
                <w:szCs w:val="18"/>
                <w:color w:val="auto"/>
              </w:rPr>
              <w:t>232.8</w:t>
            </w:r>
          </w:p>
        </w:tc>
        <w:tc>
          <w:tcPr>
            <w:tcW w:w="1700" w:type="dxa"/>
            <w:vAlign w:val="bottom"/>
            <w:tcBorders>
              <w:top w:val="single" w:sz="8" w:color="auto"/>
            </w:tcBorders>
          </w:tcPr>
          <w:p>
            <w:pPr>
              <w:jc w:val="right"/>
              <w:ind w:right="555"/>
              <w:spacing w:after="0"/>
              <w:rPr>
                <w:sz w:val="20"/>
                <w:szCs w:val="20"/>
                <w:color w:val="auto"/>
              </w:rPr>
            </w:pPr>
            <w:r>
              <w:rPr>
                <w:rFonts w:ascii="Arial" w:cs="Arial" w:eastAsia="Arial" w:hAnsi="Arial"/>
                <w:sz w:val="18"/>
                <w:szCs w:val="18"/>
                <w:color w:val="auto"/>
              </w:rPr>
              <w:t>216.1</w:t>
            </w:r>
          </w:p>
        </w:tc>
        <w:tc>
          <w:tcPr>
            <w:tcW w:w="1160" w:type="dxa"/>
            <w:vAlign w:val="bottom"/>
            <w:tcBorders>
              <w:top w:val="single" w:sz="8" w:color="auto"/>
            </w:tcBorders>
          </w:tcPr>
          <w:p>
            <w:pPr>
              <w:jc w:val="right"/>
              <w:ind w:right="213"/>
              <w:spacing w:after="0"/>
              <w:rPr>
                <w:sz w:val="20"/>
                <w:szCs w:val="20"/>
                <w:color w:val="auto"/>
              </w:rPr>
            </w:pPr>
            <w:r>
              <w:rPr>
                <w:rFonts w:ascii="Arial" w:cs="Arial" w:eastAsia="Arial" w:hAnsi="Arial"/>
                <w:sz w:val="18"/>
                <w:szCs w:val="18"/>
                <w:color w:val="auto"/>
              </w:rPr>
              <w:t>191.8</w:t>
            </w:r>
          </w:p>
        </w:tc>
        <w:tc>
          <w:tcPr>
            <w:tcW w:w="48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1720" w:type="dxa"/>
            <w:vAlign w:val="bottom"/>
            <w:tcBorders>
              <w:top w:val="single" w:sz="8" w:color="auto"/>
            </w:tcBorders>
          </w:tcPr>
          <w:p>
            <w:pPr>
              <w:jc w:val="right"/>
              <w:ind w:right="215"/>
              <w:spacing w:after="0"/>
              <w:rPr>
                <w:sz w:val="20"/>
                <w:szCs w:val="20"/>
                <w:color w:val="auto"/>
              </w:rPr>
            </w:pPr>
            <w:r>
              <w:rPr>
                <w:rFonts w:ascii="Arial" w:cs="Arial" w:eastAsia="Arial" w:hAnsi="Arial"/>
                <w:sz w:val="18"/>
                <w:szCs w:val="18"/>
                <w:color w:val="auto"/>
              </w:rPr>
              <w:t>232.7</w:t>
            </w: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12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141.4</w:t>
            </w:r>
          </w:p>
        </w:tc>
        <w:tc>
          <w:tcPr>
            <w:tcW w:w="170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142.1</w:t>
            </w:r>
          </w:p>
        </w:tc>
        <w:tc>
          <w:tcPr>
            <w:tcW w:w="11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129.5</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172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158.6</w:t>
            </w: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8"/>
                <w:szCs w:val="18"/>
                <w:color w:val="auto"/>
              </w:rPr>
              <w:t>$374.2</w:t>
            </w:r>
          </w:p>
        </w:tc>
        <w:tc>
          <w:tcPr>
            <w:tcW w:w="170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8"/>
                <w:szCs w:val="18"/>
                <w:color w:val="auto"/>
              </w:rPr>
              <w:t>$358.2</w:t>
            </w:r>
          </w:p>
        </w:tc>
        <w:tc>
          <w:tcPr>
            <w:tcW w:w="11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rPr>
              <w:t>$321.3</w:t>
            </w:r>
          </w:p>
        </w:tc>
        <w:tc>
          <w:tcPr>
            <w:tcW w:w="4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72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8"/>
                <w:szCs w:val="18"/>
                <w:color w:val="auto"/>
              </w:rPr>
              <w:t>$391.3</w:t>
            </w: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Investors that we serve are primarily domiciled in the United States of America; investment advisory clients outside the United States account for nearly 12% of our assets under management at December 31, 2009.</w:t>
      </w:r>
    </w:p>
    <w:p>
      <w:pPr>
        <w:spacing w:after="0" w:line="6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were $273.9 million in 2007, $282.6 million in 2008, and $249.9 million in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3 — INVESTMENTS IN SPONSORED MUTUAL FUNDS.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5"/>
            <w:vMerge w:val="restart"/>
          </w:tcPr>
          <w:p>
            <w:pPr>
              <w:jc w:val="right"/>
              <w:ind w:right="740"/>
              <w:spacing w:after="0"/>
              <w:rPr>
                <w:sz w:val="20"/>
                <w:szCs w:val="20"/>
                <w:color w:val="auto"/>
              </w:rPr>
            </w:pPr>
            <w:r>
              <w:rPr>
                <w:rFonts w:ascii="Arial" w:cs="Arial" w:eastAsia="Arial" w:hAnsi="Arial"/>
                <w:sz w:val="14"/>
                <w:szCs w:val="14"/>
                <w:color w:val="auto"/>
              </w:rPr>
              <w:t>Unrealized holding</w:t>
            </w: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gridSpan w:val="3"/>
          </w:tcPr>
          <w:p>
            <w:pPr>
              <w:jc w:val="center"/>
              <w:ind w:right="60"/>
              <w:spacing w:after="0" w:line="154" w:lineRule="exact"/>
              <w:rPr>
                <w:sz w:val="20"/>
                <w:szCs w:val="20"/>
                <w:color w:val="auto"/>
              </w:rPr>
            </w:pPr>
            <w:r>
              <w:rPr>
                <w:rFonts w:ascii="Arial" w:cs="Arial" w:eastAsia="Arial" w:hAnsi="Arial"/>
                <w:sz w:val="14"/>
                <w:szCs w:val="14"/>
                <w:color w:val="auto"/>
                <w:w w:val="92"/>
              </w:rPr>
              <w:t>Aggregate</w:t>
            </w: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60" w:type="dxa"/>
            <w:vAlign w:val="bottom"/>
            <w:gridSpan w:val="5"/>
            <w:vMerge w:val="continue"/>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center"/>
              <w:ind w:right="240"/>
              <w:spacing w:after="0" w:line="154" w:lineRule="exact"/>
              <w:rPr>
                <w:sz w:val="20"/>
                <w:szCs w:val="20"/>
                <w:color w:val="auto"/>
              </w:rPr>
            </w:pPr>
            <w:r>
              <w:rPr>
                <w:rFonts w:ascii="Arial" w:cs="Arial" w:eastAsia="Arial" w:hAnsi="Arial"/>
                <w:sz w:val="14"/>
                <w:szCs w:val="14"/>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gridSpan w:val="2"/>
          </w:tcPr>
          <w:p>
            <w:pPr>
              <w:jc w:val="center"/>
              <w:ind w:right="200"/>
              <w:spacing w:after="0" w:line="142" w:lineRule="exact"/>
              <w:rPr>
                <w:sz w:val="20"/>
                <w:szCs w:val="20"/>
                <w:color w:val="auto"/>
              </w:rPr>
            </w:pPr>
            <w:r>
              <w:rPr>
                <w:rFonts w:ascii="Arial" w:cs="Arial" w:eastAsia="Arial" w:hAnsi="Arial"/>
                <w:sz w:val="14"/>
                <w:szCs w:val="14"/>
                <w:color w:val="auto"/>
                <w:w w:val="93"/>
              </w:rPr>
              <w:t>cost</w:t>
            </w:r>
          </w:p>
        </w:tc>
        <w:tc>
          <w:tcPr>
            <w:tcW w:w="6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color w:val="auto"/>
              </w:rPr>
              <w:t>Gains</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w w:val="90"/>
              </w:rPr>
              <w:t>Losses</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center"/>
              <w:ind w:right="240"/>
              <w:spacing w:after="0" w:line="142" w:lineRule="exact"/>
              <w:rPr>
                <w:sz w:val="20"/>
                <w:szCs w:val="20"/>
                <w:color w:val="auto"/>
              </w:rPr>
            </w:pPr>
            <w:r>
              <w:rPr>
                <w:rFonts w:ascii="Arial" w:cs="Arial" w:eastAsia="Arial" w:hAnsi="Arial"/>
                <w:sz w:val="14"/>
                <w:szCs w:val="14"/>
                <w:color w:val="auto"/>
                <w:w w:val="95"/>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345.7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6.5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531.0</w:t>
            </w: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r>
              <w:rPr>
                <w:rFonts w:ascii="Arial" w:cs="Arial" w:eastAsia="Arial" w:hAnsi="Arial"/>
                <w:sz w:val="18"/>
                <w:szCs w:val="18"/>
                <w:u w:val="single" w:color="auto"/>
                <w:color w:val="auto"/>
              </w:rPr>
              <w:t>8</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Stock and blended asset funds</w:t>
            </w:r>
          </w:p>
        </w:tc>
        <w:tc>
          <w:tcPr>
            <w:tcW w:w="16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278.6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125.7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Bond funds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238.9</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517.5</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Unrealized holding losses that were attributable to fund holdings with an aggregate fair value of $195.2 million at December 31, 2008, were considered temporary.</w:t>
      </w:r>
    </w:p>
    <w:p>
      <w:pPr>
        <w:spacing w:after="0" w:line="6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Dividends, excluding capital gain distributions, earned on sponsored mutual fund investments totaled $8.3 million in 2007, $10.4 million in 2008, and $9.8 million in 2009.</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NOTE 4 — DEBT SECURITIES HELD BY AND CUSTOMER DEPOSITS AT SAVINGS BANK SUBSIDIARY.</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savings bank subsidiary holds investments in marketable debt securities, including mortgage- and other asset-backed securities, which are accounted for as available-for-sale. The following table (in millions) details the components of these investments at year end.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color w:val="auto"/>
              </w:rPr>
              <w:t>2008</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color w:val="auto"/>
              </w:rPr>
              <w:t>2009</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56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2"/>
              </w:rPr>
              <w:t>Unrealized</w:t>
            </w:r>
          </w:p>
        </w:tc>
        <w:tc>
          <w:tcPr>
            <w:tcW w:w="100" w:type="dxa"/>
            <w:vAlign w:val="bottom"/>
          </w:tcPr>
          <w:p>
            <w:pPr>
              <w:spacing w:after="0"/>
              <w:rPr>
                <w:sz w:val="10"/>
                <w:szCs w:val="10"/>
                <w:color w:val="auto"/>
              </w:rPr>
            </w:pP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7"/>
              </w:rPr>
              <w:t>holding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7"/>
              </w:rPr>
              <w:t>holding</w:t>
            </w:r>
          </w:p>
        </w:tc>
      </w:tr>
      <w:tr>
        <w:trPr>
          <w:trHeight w:val="149"/>
        </w:trPr>
        <w:tc>
          <w:tcPr>
            <w:tcW w:w="5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Fair</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89"/>
              </w:rPr>
              <w:t>gains</w:t>
            </w:r>
          </w:p>
        </w:tc>
        <w:tc>
          <w:tcPr>
            <w:tcW w:w="140" w:type="dxa"/>
            <w:vAlign w:val="bottom"/>
          </w:tcPr>
          <w:p>
            <w:pPr>
              <w:spacing w:after="0"/>
              <w:rPr>
                <w:sz w:val="12"/>
                <w:szCs w:val="12"/>
                <w:color w:val="auto"/>
              </w:rPr>
            </w:pPr>
          </w:p>
        </w:tc>
        <w:tc>
          <w:tcPr>
            <w:tcW w:w="6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Fair</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89"/>
              </w:rPr>
              <w:t>gains</w:t>
            </w:r>
          </w:p>
        </w:tc>
      </w:tr>
      <w:tr>
        <w:trPr>
          <w:trHeight w:val="167"/>
        </w:trPr>
        <w:tc>
          <w:tcPr>
            <w:tcW w:w="5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value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680"/>
              <w:spacing w:after="0"/>
              <w:rPr>
                <w:sz w:val="20"/>
                <w:szCs w:val="20"/>
                <w:color w:val="auto"/>
              </w:rPr>
            </w:pPr>
            <w:r>
              <w:rPr>
                <w:rFonts w:ascii="Arial" w:cs="Arial" w:eastAsia="Arial" w:hAnsi="Arial"/>
                <w:sz w:val="14"/>
                <w:szCs w:val="14"/>
                <w:color w:val="auto"/>
                <w:w w:val="89"/>
              </w:rPr>
              <w:t>(losses)</w:t>
            </w:r>
          </w:p>
        </w:tc>
        <w:tc>
          <w:tcPr>
            <w:tcW w:w="14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color w:val="auto"/>
              </w:rPr>
              <w:t>value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89"/>
              </w:rPr>
              <w:t>(losses)</w:t>
            </w: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temporary impairment (41 securities in 2009) of</w:t>
            </w:r>
          </w:p>
        </w:tc>
        <w:tc>
          <w:tcPr>
            <w:tcW w:w="9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40" w:type="dxa"/>
            <w:vAlign w:val="bottom"/>
          </w:tcPr>
          <w:p>
            <w:pPr>
              <w:ind w:left="220"/>
              <w:spacing w:after="0"/>
              <w:rPr>
                <w:sz w:val="20"/>
                <w:szCs w:val="20"/>
                <w:color w:val="auto"/>
              </w:rPr>
            </w:pPr>
            <w:r>
              <w:rPr>
                <w:rFonts w:ascii="Arial" w:cs="Arial" w:eastAsia="Arial" w:hAnsi="Arial"/>
                <w:sz w:val="18"/>
                <w:szCs w:val="18"/>
                <w:color w:val="auto"/>
              </w:rPr>
              <w:t>Less than 12 months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40.1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5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12 months or more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.8)</w:t>
            </w:r>
          </w:p>
        </w:tc>
      </w:tr>
      <w:tr>
        <w:trPr>
          <w:trHeight w:val="223"/>
        </w:trPr>
        <w:tc>
          <w:tcPr>
            <w:tcW w:w="5640" w:type="dxa"/>
            <w:vAlign w:val="bottom"/>
          </w:tcPr>
          <w:p>
            <w:pPr>
              <w:ind w:left="220"/>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Investments with unrealized holding gains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r>
      <w:tr>
        <w:trPr>
          <w:trHeight w:val="223"/>
        </w:trPr>
        <w:tc>
          <w:tcPr>
            <w:tcW w:w="5640" w:type="dxa"/>
            <w:vAlign w:val="bottom"/>
          </w:tcPr>
          <w:p>
            <w:pPr>
              <w:spacing w:after="0"/>
              <w:rPr>
                <w:sz w:val="20"/>
                <w:szCs w:val="20"/>
                <w:color w:val="auto"/>
              </w:rPr>
            </w:pPr>
            <w:r>
              <w:rPr>
                <w:rFonts w:ascii="Arial" w:cs="Arial" w:eastAsia="Arial" w:hAnsi="Arial"/>
                <w:sz w:val="18"/>
                <w:szCs w:val="18"/>
                <w:color w:val="auto"/>
              </w:rPr>
              <w:t>Balance at December 31</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Aggregate cost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unrealized losses in these investments were generally caused by changes in interest rates and market liquidity, and not by changes in credit quality. We intend to hold these securities to their maturities, which generally correlate to the maturities of our customer deposits, and believe it is more likely than not that we will not be required to sell any of these securities before recovery of their amortized cost. Accordingly, impairment of these investments is considered temporary. The adoption in 2009 of new financial reporting guidance for other-than-temporary impairments of debt securities did not have a material impact on our consolidated financial statements.</w:t>
      </w:r>
    </w:p>
    <w:p>
      <w:pPr>
        <w:spacing w:after="0" w:line="80"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 estimated fair value of our customer deposit liability, based on discounting expected cash outflows at maturity dates that range up to five years, using current interest rates offered for deposits with the same dates of maturity, was $162.3 million at December 31, 2008, and $164.9 million at December 31, 2009.</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 5 — OTHER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 millions) at December 31 include: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Cost method investments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ind w:left="200"/>
              <w:spacing w:after="0"/>
              <w:rPr>
                <w:sz w:val="20"/>
                <w:szCs w:val="20"/>
                <w:color w:val="auto"/>
              </w:rPr>
            </w:pPr>
            <w:r>
              <w:rPr>
                <w:rFonts w:ascii="Arial" w:cs="Arial" w:eastAsia="Arial" w:hAnsi="Arial"/>
                <w:sz w:val="18"/>
                <w:szCs w:val="18"/>
                <w:color w:val="auto"/>
              </w:rPr>
              <w:t>10% interest in Daiwa SB Investments Ltd. (Japan)</w:t>
            </w:r>
          </w:p>
        </w:tc>
        <w:tc>
          <w:tcPr>
            <w:tcW w:w="2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13.6</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investments</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Equity method investments</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 investments held as trading</w:t>
            </w:r>
          </w:p>
        </w:tc>
        <w:tc>
          <w:tcPr>
            <w:tcW w:w="2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tcPr>
          <w:p>
            <w:pPr>
              <w:spacing w:after="0"/>
              <w:rPr>
                <w:sz w:val="20"/>
                <w:szCs w:val="20"/>
                <w:color w:val="auto"/>
              </w:rPr>
            </w:pPr>
            <w:r>
              <w:rPr>
                <w:rFonts w:ascii="Arial" w:cs="Arial" w:eastAsia="Arial" w:hAnsi="Arial"/>
                <w:sz w:val="18"/>
                <w:szCs w:val="18"/>
                <w:color w:val="auto"/>
              </w:rPr>
              <w:t>INR non-deliverable forward contract</w:t>
            </w:r>
          </w:p>
        </w:tc>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8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 other investments</w:t>
            </w:r>
          </w:p>
        </w:tc>
        <w:tc>
          <w:tcPr>
            <w:tcW w:w="2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w:t>
            </w:r>
            <w:r>
              <w:rPr>
                <w:rFonts w:ascii="Arial" w:cs="Arial" w:eastAsia="Arial" w:hAnsi="Arial"/>
                <w:sz w:val="18"/>
                <w:szCs w:val="18"/>
                <w:u w:val="single" w:color="auto"/>
                <w:color w:val="auto"/>
              </w:rPr>
              <w:t>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w:t>
            </w:r>
            <w:r>
              <w:rPr>
                <w:rFonts w:ascii="Arial" w:cs="Arial" w:eastAsia="Arial" w:hAnsi="Arial"/>
                <w:sz w:val="18"/>
                <w:szCs w:val="18"/>
                <w:u w:val="single" w:color="auto"/>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On January 20, 2010, we purchased a 26% equity interest in UTI Asset Management Company and an affiliate from existing stockholders for 6.5 billion Indian rupees (INR) or $142.4 million, plus transaction costs of about $3.5 million. UTI Asset Management Company is an unlisted company in India with approximately $17.8 billion in average assets under management in December 2009. We will account for this investment using the equity method.</w:t>
      </w:r>
    </w:p>
    <w:p>
      <w:pPr>
        <w:spacing w:after="0" w:line="3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In conjunction with our signing of the definitive UTI purchase agreements in November 2009, we entered into a series of rolling non-deliverable forward contracts to economically hedge the foreign currency exchange rate exposure relating to the UTI acquisition price. We recognized non-operating investment income of $.3 million in 2009 and $2.2 million in January 2010 in the valuation and settlement of these contracts.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We had outstanding commitments to fund other investments totaling $35.4 million at December 31,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NOTE 6 —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determine the fair value of our investments using three broad levels of inputs as defined by related accounting standards: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11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We do not value any of our investments using Level 3 inputs.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0" w:name="page31"/>
    <w:bookmarkEnd w:id="30"/>
    <w:p>
      <w:pPr>
        <w:ind w:right="340"/>
        <w:spacing w:after="0" w:line="342" w:lineRule="auto"/>
        <w:rPr>
          <w:sz w:val="20"/>
          <w:szCs w:val="20"/>
          <w:color w:val="auto"/>
        </w:rPr>
      </w:pPr>
      <w:r>
        <w:rPr>
          <w:rFonts w:ascii="Arial" w:cs="Arial" w:eastAsia="Arial" w:hAnsi="Arial"/>
          <w:sz w:val="16"/>
          <w:szCs w:val="16"/>
          <w:color w:val="auto"/>
        </w:rPr>
        <w:t>These levels are not necessarily an indication of the risk or liquidity associated with our investments. The following table summarizes our investments (in millions) that are recognized in our balance sheet at year end using fair value measurements determined based on the differing levels of inputs.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7"/>
              </w:rPr>
              <w:t>Level 1</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color w:val="auto"/>
              </w:rPr>
              <w:t>Level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equivalents</w:t>
            </w:r>
          </w:p>
        </w:tc>
        <w:tc>
          <w:tcPr>
            <w:tcW w:w="2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555.6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Held as available-for-sale</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513.5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as trading</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Debt securities held by savings bank subsidiary</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1,070.4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166.0</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2009</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00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Held as available-for-sale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200"/>
              <w:spacing w:after="0"/>
              <w:rPr>
                <w:sz w:val="20"/>
                <w:szCs w:val="20"/>
                <w:color w:val="auto"/>
              </w:rPr>
            </w:pPr>
            <w:r>
              <w:rPr>
                <w:rFonts w:ascii="Arial" w:cs="Arial" w:eastAsia="Arial" w:hAnsi="Arial"/>
                <w:sz w:val="18"/>
                <w:szCs w:val="18"/>
                <w:color w:val="auto"/>
              </w:rPr>
              <w:t>Held as trading</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INR non-deliverable forward contract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1,356.7</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color w:val="auto"/>
              </w:rPr>
              <w:t>NOTE 7 — PROPERTY AND EQUIPMENT.</w:t>
            </w: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00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000" w:type="dxa"/>
            <w:vAlign w:val="bottom"/>
            <w:gridSpan w:val="2"/>
          </w:tcPr>
          <w:p>
            <w:pPr>
              <w:spacing w:after="0"/>
              <w:rPr>
                <w:sz w:val="20"/>
                <w:szCs w:val="20"/>
                <w:color w:val="auto"/>
              </w:rPr>
            </w:pPr>
            <w:r>
              <w:rPr>
                <w:rFonts w:ascii="Arial" w:cs="Arial" w:eastAsia="Arial" w:hAnsi="Arial"/>
                <w:sz w:val="18"/>
                <w:szCs w:val="18"/>
                <w:color w:val="auto"/>
              </w:rPr>
              <w:t>Property and equipment (in millions) at December 31 consists of:</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2008</w:t>
            </w: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Computer and communications software and equipment</w:t>
            </w: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250.6</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Furniture and other equipment</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109.6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Leased land</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731.9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291.8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$8.9 million in 2007, $10.9 million in 2008, and $7.5 million in 2009 have been capitalized.</w:t>
      </w:r>
    </w:p>
    <w:p>
      <w:pPr>
        <w:spacing w:after="0" w:line="6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rent computer and other equipment under noncancelable operating leases. Related rental expense was $26.6 million in 2007, $28.2 million in 2008, and $29.1 million in 2009. Future minimum payments under these leases aggregate $27.8 million in 2010, $27.0 million in 2011, $25.2 million in 2012, $24.9 million in 2013, $24.5 million in 2014, and $69.1 million in later years.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NOTE 8 — INTANGIBLE ASSETS.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assets include mutual fund customer-relationship intangible assets acquired in 2006. Our unamortized cost was $2.5 million at December 31, 2008, and $2.0 million at December 31,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9 —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(in millions) consists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U.S. federal</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327.7</w:t>
            </w:r>
          </w:p>
        </w:tc>
        <w:tc>
          <w:tcPr>
            <w:tcW w:w="6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265.9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232.5</w:t>
            </w:r>
          </w:p>
        </w:tc>
      </w:tr>
      <w:tr>
        <w:trPr>
          <w:trHeight w:val="216"/>
        </w:trPr>
        <w:tc>
          <w:tcPr>
            <w:tcW w:w="7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40.9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7900" w:type="dxa"/>
            <w:vAlign w:val="bottom"/>
          </w:tcPr>
          <w:p>
            <w:pPr>
              <w:ind w:left="220"/>
              <w:spacing w:after="0"/>
              <w:rPr>
                <w:sz w:val="20"/>
                <w:szCs w:val="20"/>
                <w:color w:val="auto"/>
              </w:rPr>
            </w:pPr>
            <w:r>
              <w:rPr>
                <w:rFonts w:ascii="Arial" w:cs="Arial" w:eastAsia="Arial" w:hAnsi="Arial"/>
                <w:sz w:val="18"/>
                <w:szCs w:val="18"/>
                <w:color w:val="auto"/>
              </w:rPr>
              <w:t>State and local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right"/>
              <w:ind w:right="680"/>
              <w:spacing w:after="0"/>
              <w:rPr>
                <w:sz w:val="20"/>
                <w:szCs w:val="20"/>
                <w:color w:val="auto"/>
              </w:rPr>
            </w:pPr>
            <w:r>
              <w:rPr>
                <w:rFonts w:ascii="Arial" w:cs="Arial" w:eastAsia="Arial" w:hAnsi="Arial"/>
                <w:sz w:val="18"/>
                <w:szCs w:val="18"/>
                <w:color w:val="auto"/>
              </w:rPr>
              <w:t>53.3</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39.3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benefits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(15.7)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(35.7)</w:t>
            </w:r>
          </w:p>
        </w:tc>
      </w:tr>
      <w:tr>
        <w:trPr>
          <w:trHeight w:val="223"/>
        </w:trPr>
        <w:tc>
          <w:tcPr>
            <w:tcW w:w="7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406.2</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w:t>
            </w:r>
          </w:p>
        </w:tc>
        <w:tc>
          <w:tcPr>
            <w:tcW w:w="100" w:type="dxa"/>
            <w:vAlign w:val="bottom"/>
          </w:tcPr>
          <w:p>
            <w:pPr>
              <w:spacing w:after="0"/>
              <w:rPr>
                <w:sz w:val="19"/>
                <w:szCs w:val="19"/>
                <w:color w:val="auto"/>
              </w:rPr>
            </w:pPr>
          </w:p>
        </w:tc>
      </w:tr>
      <w:tr>
        <w:trPr>
          <w:trHeight w:val="20"/>
        </w:trPr>
        <w:tc>
          <w:tcPr>
            <w:tcW w:w="7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Deferred income taxes arise from temporary differences between taxable income for financial statement and income tax return purposes. Deferred tax benefits include $25.7 million in 2007, $23.9 million in 2008, and $22.4 million in 2009 relating to the recognition of stock-based compensation expense. Deferred tax benefits of $31.9 million in 2008 and $12.4 million in 2009 are attributable to other than temporary impairments recognized on our sponsored mutual fund investments. Partially offsetting the deferred tax benefits in 2007 were deferred taxes of</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1" w:name="page32"/>
    <w:bookmarkEnd w:id="31"/>
    <w:p>
      <w:pPr>
        <w:ind w:right="240"/>
        <w:spacing w:after="0" w:line="277" w:lineRule="auto"/>
        <w:rPr>
          <w:sz w:val="20"/>
          <w:szCs w:val="20"/>
          <w:color w:val="auto"/>
        </w:rPr>
      </w:pPr>
      <w:r>
        <w:rPr>
          <w:rFonts w:ascii="Arial" w:cs="Arial" w:eastAsia="Arial" w:hAnsi="Arial"/>
          <w:sz w:val="18"/>
          <w:szCs w:val="18"/>
          <w:color w:val="auto"/>
        </w:rPr>
        <w:t>$8.1 million from the reversal of temporary differences related to property and equipment and the use of foreign net operating loss carryforwards. Deferred taxes relating to property and equipment of $17.4 million in 2008 partially offset deferred tax benefits.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 recognized in our balance sheet in other assets includes the following (in millions) at December 31.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Related to property and equipment</w:t>
            </w:r>
          </w:p>
        </w:tc>
        <w:tc>
          <w:tcPr>
            <w:tcW w:w="1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(17.1)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(18.0)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Recognized in other comprehensive income on net unrealized holding gains</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w:t>
            </w: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7"/>
        </w:trPr>
        <w:tc>
          <w:tcPr>
            <w:tcW w:w="20" w:type="dxa"/>
            <w:vAlign w:val="bottom"/>
          </w:tcPr>
          <w:p>
            <w:pPr>
              <w:spacing w:after="0"/>
              <w:rPr>
                <w:sz w:val="2"/>
                <w:szCs w:val="2"/>
                <w:color w:val="auto"/>
              </w:rPr>
            </w:pPr>
          </w:p>
        </w:tc>
        <w:tc>
          <w:tcPr>
            <w:tcW w:w="74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(83.3)</w:t>
            </w: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7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stock-based compensation</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68.2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Related to other than temporary impairments of investments in mutual funds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35.9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Related to accrued compensation</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7480" w:type="dxa"/>
            <w:vAlign w:val="bottom"/>
          </w:tcPr>
          <w:p>
            <w:pPr>
              <w:ind w:left="200"/>
              <w:spacing w:after="0"/>
              <w:rPr>
                <w:sz w:val="20"/>
                <w:szCs w:val="20"/>
                <w:color w:val="auto"/>
              </w:rPr>
            </w:pPr>
            <w:r>
              <w:rPr>
                <w:rFonts w:ascii="Arial" w:cs="Arial" w:eastAsia="Arial" w:hAnsi="Arial"/>
                <w:sz w:val="18"/>
                <w:szCs w:val="18"/>
                <w:color w:val="auto"/>
              </w:rPr>
              <w:t>Recognized in other comprehensive loss on net unrealized holding losses</w:t>
            </w:r>
          </w:p>
        </w:tc>
        <w:tc>
          <w:tcPr>
            <w:tcW w:w="1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98.</w:t>
            </w:r>
            <w:r>
              <w:rPr>
                <w:rFonts w:ascii="Arial" w:cs="Arial" w:eastAsia="Arial" w:hAnsi="Arial"/>
                <w:sz w:val="18"/>
                <w:szCs w:val="18"/>
                <w:u w:val="single" w:color="auto"/>
                <w:color w:val="auto"/>
              </w:rPr>
              <w:t>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w:t>
            </w:r>
            <w:r>
              <w:rPr>
                <w:rFonts w:ascii="Arial" w:cs="Arial" w:eastAsia="Arial" w:hAnsi="Arial"/>
                <w:sz w:val="18"/>
                <w:szCs w:val="18"/>
                <w:u w:val="single" w:color="auto"/>
                <w:color w:val="auto"/>
              </w:rPr>
              <w:t>3</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Other assets also include tax refund receivables of $46.2 million at December 31, 2008, and $18.1 million at December 31,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outflows from operating activities include income taxes paid of $329.6 million in 2007, $289.9 million in 2008, and $221.6 million in 2009.</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Additional income tax benefits of $96.9 million in 2007, $69.7 million in 2008, and $33.1 million in 2009 arising from stock-based compensation plans activity reduced the amount of income taxes that would have otherwise been payable.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the statutory federal income tax rate to the effective income tax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2007</w:t>
            </w:r>
          </w:p>
        </w:tc>
        <w:tc>
          <w:tcPr>
            <w:tcW w:w="3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2008</w:t>
            </w:r>
          </w:p>
        </w:tc>
        <w:tc>
          <w:tcPr>
            <w:tcW w:w="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2009</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980" w:type="dxa"/>
            <w:vAlign w:val="bottom"/>
            <w:gridSpan w:val="4"/>
            <w:shd w:val="clear" w:color="auto" w:fill="CCEEFF"/>
          </w:tcPr>
          <w:p>
            <w:pPr>
              <w:jc w:val="right"/>
              <w:ind w:right="9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State income taxes for current year, net of federal income tax benefits</w:t>
            </w:r>
          </w:p>
        </w:tc>
        <w:tc>
          <w:tcPr>
            <w:tcW w:w="980" w:type="dxa"/>
            <w:vAlign w:val="bottom"/>
            <w:gridSpan w:val="4"/>
          </w:tcPr>
          <w:p>
            <w:pPr>
              <w:jc w:val="right"/>
              <w:ind w:right="230"/>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4"/>
          </w:tcPr>
          <w:p>
            <w:pPr>
              <w:jc w:val="right"/>
              <w:ind w:right="7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items</w:t>
            </w:r>
          </w:p>
        </w:tc>
        <w:tc>
          <w:tcPr>
            <w:tcW w:w="98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24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7"/>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37.7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38.4</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37.1</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80" w:type="dxa"/>
            <w:vAlign w:val="bottom"/>
            <w:gridSpan w:val="2"/>
            <w:vMerge w:val="restart"/>
          </w:tcPr>
          <w:p>
            <w:pPr>
              <w:spacing w:after="0"/>
              <w:rPr>
                <w:sz w:val="20"/>
                <w:szCs w:val="20"/>
                <w:color w:val="auto"/>
              </w:rPr>
            </w:pPr>
            <w:r>
              <w:rPr>
                <w:rFonts w:ascii="Arial" w:cs="Arial" w:eastAsia="Arial" w:hAnsi="Arial"/>
                <w:sz w:val="18"/>
                <w:szCs w:val="18"/>
                <w:color w:val="auto"/>
              </w:rPr>
              <w:t>The following table reconciles our unrecognized tax benefits (in millions) during the year:</w:t>
            </w: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3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520" w:type="dxa"/>
            <w:vAlign w:val="bottom"/>
            <w:gridSpan w:val="2"/>
          </w:tcPr>
          <w:p>
            <w:pPr>
              <w:spacing w:after="0"/>
              <w:rPr>
                <w:sz w:val="24"/>
                <w:szCs w:val="24"/>
                <w:color w:val="auto"/>
              </w:rPr>
            </w:pPr>
          </w:p>
        </w:tc>
        <w:tc>
          <w:tcPr>
            <w:tcW w:w="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color w:val="auto"/>
              </w:rPr>
              <w:t>2007</w:t>
            </w:r>
          </w:p>
        </w:tc>
        <w:tc>
          <w:tcPr>
            <w:tcW w:w="300" w:type="dxa"/>
            <w:vAlign w:val="bottom"/>
          </w:tcPr>
          <w:p>
            <w:pPr>
              <w:spacing w:after="0"/>
              <w:rPr>
                <w:sz w:val="24"/>
                <w:szCs w:val="24"/>
                <w:color w:val="auto"/>
              </w:rPr>
            </w:pPr>
          </w:p>
        </w:tc>
        <w:tc>
          <w:tcPr>
            <w:tcW w:w="380" w:type="dxa"/>
            <w:vAlign w:val="bottom"/>
            <w:gridSpan w:val="2"/>
          </w:tcPr>
          <w:p>
            <w:pPr>
              <w:spacing w:after="0"/>
              <w:rPr>
                <w:sz w:val="24"/>
                <w:szCs w:val="24"/>
                <w:color w:val="auto"/>
              </w:rPr>
            </w:pPr>
          </w:p>
        </w:tc>
        <w:tc>
          <w:tcPr>
            <w:tcW w:w="6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color w:val="auto"/>
              </w:rPr>
              <w:t>2008</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3.0</w:t>
            </w:r>
          </w:p>
        </w:tc>
        <w:tc>
          <w:tcPr>
            <w:tcW w:w="6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4.8</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Changes in tax positions related to</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year</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1.5</w:t>
            </w:r>
          </w:p>
        </w:tc>
        <w:tc>
          <w:tcPr>
            <w:tcW w:w="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1.3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200"/>
              <w:spacing w:after="0"/>
              <w:rPr>
                <w:sz w:val="20"/>
                <w:szCs w:val="20"/>
                <w:color w:val="auto"/>
              </w:rPr>
            </w:pPr>
            <w:r>
              <w:rPr>
                <w:rFonts w:ascii="Arial" w:cs="Arial" w:eastAsia="Arial" w:hAnsi="Arial"/>
                <w:sz w:val="18"/>
                <w:szCs w:val="18"/>
                <w:color w:val="auto"/>
              </w:rPr>
              <w:t>Prior years</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Balance at year end</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4.8</w:t>
            </w:r>
          </w:p>
        </w:tc>
        <w:tc>
          <w:tcPr>
            <w:tcW w:w="66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7"/>
              </w:rPr>
              <w:t>6.3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If recognized, these tax benefits would affect our effective tax rate; however, we do not expect that unrecognized tax benefits for tax positions taken with respect to 2009 and prior years will significantly change in 2010. Our United States federal tax obligations have been settled through the year 2000. Net interest recoverable recognized in our balance sheets was $3.5 million at December 31, 2008, and $4.5 million at December 31, 2009. Our accounting policy with respect to interest and penalties arising from income tax settlements is to recognize them as part of our provision for income taxes. Interest recognized as part of our provision for income taxes was not material.</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AUTHORIZED SHARES.</w:t>
      </w:r>
    </w:p>
    <w:p>
      <w:pPr>
        <w:spacing w:after="0" w:line="1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At December 31, 2009, 57,346,800 shares of unissued common stock were authorized for issuance under our stock-based compensation plans. Additionally, 3,360,000 shares are authorized for issuance under a plan whereby substantially all employees may acquire common stock through payroll deductions at prevailing market prices. We believe that our stock-based compensation programs align the interests of our employees and directors with those of our common stockholders.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12,409,110 common shares as of December 31, 2009.</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Accounts payable and accrued expenses includes $4.0 million at December 31, 2008, representing the unsettled liability for common stock repurchases made prior to year end.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DIVIDENDS.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dividends declared per share were $.75 in 2007, $.96 in 2008, and $1.00 in 2009. In March 2008, we began paying our quarterly dividend before quarter end instead of in the following month.</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11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ind w:left="240"/>
              <w:spacing w:after="0" w:line="149" w:lineRule="exact"/>
              <w:rPr>
                <w:sz w:val="20"/>
                <w:szCs w:val="20"/>
                <w:color w:val="auto"/>
              </w:rPr>
            </w:pPr>
            <w:r>
              <w:rPr>
                <w:rFonts w:ascii="Arial" w:cs="Arial" w:eastAsia="Arial" w:hAnsi="Arial"/>
                <w:sz w:val="14"/>
                <w:szCs w:val="14"/>
                <w:color w:val="auto"/>
              </w:rPr>
              <w:t>Weighted-</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4"/>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contractual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1"/>
              </w:rPr>
              <w:t>exercise</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8"/>
              </w:rPr>
              <w:t>term in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color w:val="auto"/>
              </w:rPr>
              <w:t>Options</w:t>
            </w:r>
          </w:p>
        </w:tc>
        <w:tc>
          <w:tcPr>
            <w:tcW w:w="5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price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39,037,741</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$36.52</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Semiannual grants</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6,197,940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$36.22</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Reload grants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479,815</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$42.03</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New hire grants</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7,000</w:t>
            </w:r>
          </w:p>
        </w:tc>
        <w:tc>
          <w:tcPr>
            <w:tcW w:w="280" w:type="dxa"/>
            <w:vAlign w:val="bottom"/>
          </w:tcPr>
          <w:p>
            <w:pPr>
              <w:spacing w:after="0"/>
              <w:rPr>
                <w:sz w:val="18"/>
                <w:szCs w:val="18"/>
                <w:color w:val="auto"/>
              </w:rPr>
            </w:pP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$36.40</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Non-employee director grants</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8,000</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$44.30</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Exercised</w:t>
            </w:r>
          </w:p>
        </w:tc>
        <w:tc>
          <w:tcPr>
            <w:tcW w:w="1420" w:type="dxa"/>
            <w:vAlign w:val="bottom"/>
            <w:gridSpan w:val="4"/>
          </w:tcPr>
          <w:p>
            <w:pPr>
              <w:jc w:val="right"/>
              <w:ind w:right="240"/>
              <w:spacing w:after="0"/>
              <w:rPr>
                <w:sz w:val="20"/>
                <w:szCs w:val="20"/>
                <w:color w:val="auto"/>
              </w:rPr>
            </w:pPr>
            <w:r>
              <w:rPr>
                <w:rFonts w:ascii="Arial" w:cs="Arial" w:eastAsia="Arial" w:hAnsi="Arial"/>
                <w:sz w:val="18"/>
                <w:szCs w:val="18"/>
                <w:color w:val="auto"/>
              </w:rPr>
              <w:t>(5,152,674)</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$22.49</w:t>
            </w: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4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(826,900)</w:t>
            </w: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$44.45</w:t>
            </w: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Expired</w:t>
            </w:r>
          </w:p>
        </w:tc>
        <w:tc>
          <w:tcPr>
            <w:tcW w:w="300" w:type="dxa"/>
            <w:vAlign w:val="bottom"/>
          </w:tcPr>
          <w:p>
            <w:pPr>
              <w:spacing w:after="0"/>
              <w:rPr>
                <w:sz w:val="19"/>
                <w:szCs w:val="19"/>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(481,763)</w:t>
            </w:r>
          </w:p>
        </w:tc>
        <w:tc>
          <w:tcPr>
            <w:tcW w:w="1600" w:type="dxa"/>
            <w:vAlign w:val="bottom"/>
            <w:gridSpan w:val="2"/>
          </w:tcPr>
          <w:p>
            <w:pPr>
              <w:ind w:left="760"/>
              <w:spacing w:after="0"/>
              <w:rPr>
                <w:sz w:val="20"/>
                <w:szCs w:val="20"/>
                <w:color w:val="auto"/>
              </w:rPr>
            </w:pPr>
            <w:r>
              <w:rPr>
                <w:rFonts w:ascii="Arial" w:cs="Arial" w:eastAsia="Arial" w:hAnsi="Arial"/>
                <w:sz w:val="18"/>
                <w:szCs w:val="18"/>
                <w:color w:val="auto"/>
              </w:rPr>
              <w:t>$45.64</w:t>
            </w:r>
          </w:p>
        </w:tc>
        <w:tc>
          <w:tcPr>
            <w:tcW w:w="5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30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39,269,159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$38.10</w:t>
            </w:r>
          </w:p>
        </w:tc>
        <w:tc>
          <w:tcPr>
            <w:tcW w:w="1420" w:type="dxa"/>
            <w:vAlign w:val="bottom"/>
            <w:gridSpan w:val="2"/>
            <w:shd w:val="clear" w:color="auto" w:fill="CCEEFF"/>
          </w:tcPr>
          <w:p>
            <w:pPr>
              <w:jc w:val="center"/>
              <w:ind w:left="430"/>
              <w:spacing w:after="0"/>
              <w:rPr>
                <w:sz w:val="20"/>
                <w:szCs w:val="20"/>
                <w:color w:val="auto"/>
              </w:rPr>
            </w:pPr>
            <w:r>
              <w:rPr>
                <w:rFonts w:ascii="Arial" w:cs="Arial" w:eastAsia="Arial" w:hAnsi="Arial"/>
                <w:sz w:val="18"/>
                <w:szCs w:val="18"/>
                <w:color w:val="auto"/>
                <w:w w:val="87"/>
              </w:rPr>
              <w:t>6.1</w:t>
            </w: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Exercisable at end of year</w:t>
            </w:r>
          </w:p>
        </w:tc>
        <w:tc>
          <w:tcPr>
            <w:tcW w:w="11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vMerge w:val="restart"/>
          </w:tcPr>
          <w:p>
            <w:pPr>
              <w:ind w:left="760"/>
              <w:spacing w:after="0"/>
              <w:rPr>
                <w:sz w:val="20"/>
                <w:szCs w:val="20"/>
                <w:color w:val="auto"/>
              </w:rPr>
            </w:pPr>
            <w:r>
              <w:rPr>
                <w:rFonts w:ascii="Arial" w:cs="Arial" w:eastAsia="Arial" w:hAnsi="Arial"/>
                <w:sz w:val="18"/>
                <w:szCs w:val="18"/>
                <w:color w:val="auto"/>
              </w:rPr>
              <w:t>$33.48</w:t>
            </w:r>
          </w:p>
        </w:tc>
        <w:tc>
          <w:tcPr>
            <w:tcW w:w="1420" w:type="dxa"/>
            <w:vAlign w:val="bottom"/>
            <w:gridSpan w:val="2"/>
            <w:vMerge w:val="restart"/>
          </w:tcPr>
          <w:p>
            <w:pPr>
              <w:jc w:val="center"/>
              <w:ind w:left="430"/>
              <w:spacing w:after="0"/>
              <w:rPr>
                <w:sz w:val="20"/>
                <w:szCs w:val="20"/>
                <w:color w:val="auto"/>
              </w:rPr>
            </w:pPr>
            <w:r>
              <w:rPr>
                <w:rFonts w:ascii="Arial" w:cs="Arial" w:eastAsia="Arial" w:hAnsi="Arial"/>
                <w:sz w:val="18"/>
                <w:szCs w:val="18"/>
                <w:color w:val="auto"/>
                <w:w w:val="87"/>
              </w:rPr>
              <w:t>4.6</w:t>
            </w:r>
          </w:p>
        </w:tc>
        <w:tc>
          <w:tcPr>
            <w:tcW w:w="0" w:type="dxa"/>
            <w:vAlign w:val="bottom"/>
          </w:tcPr>
          <w:p>
            <w:pPr>
              <w:spacing w:after="0" w:line="20" w:lineRule="exact"/>
              <w:rPr>
                <w:sz w:val="1"/>
                <w:szCs w:val="1"/>
                <w:color w:val="auto"/>
              </w:rPr>
            </w:pPr>
          </w:p>
        </w:tc>
      </w:tr>
      <w:tr>
        <w:trPr>
          <w:trHeight w:val="210"/>
        </w:trPr>
        <w:tc>
          <w:tcPr>
            <w:tcW w:w="69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23,407,860</w:t>
            </w:r>
          </w:p>
        </w:tc>
        <w:tc>
          <w:tcPr>
            <w:tcW w:w="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Net income includes a charge for stock option-based compensation expense of $71.8 million in 2007, $71.7 million in 2008, and $72.1 million in 2009, including $8.6 million, $5.6 million, and $4.1 million, respectively, for reload option grants.</w:t>
      </w:r>
    </w:p>
    <w:p>
      <w:pPr>
        <w:spacing w:after="0" w:line="6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$300.1 million in 2007, $230.4 million in 2008, and $115.7 million in 2009. At December 31, 2009, the aggregate intrinsic value of in-the-money options outstanding was $619.4 million and of options exercisable was $472.3 million.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STOCK AWARDS.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ind w:left="240"/>
              <w:spacing w:after="0"/>
              <w:rPr>
                <w:sz w:val="20"/>
                <w:szCs w:val="20"/>
                <w:color w:val="auto"/>
              </w:rPr>
            </w:pPr>
            <w:r>
              <w:rPr>
                <w:rFonts w:ascii="Arial" w:cs="Arial" w:eastAsia="Arial" w:hAnsi="Arial"/>
                <w:sz w:val="14"/>
                <w:szCs w:val="14"/>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5"/>
              </w:rPr>
              <w:t>Restricted</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Restricted</w:t>
            </w:r>
          </w:p>
        </w:tc>
        <w:tc>
          <w:tcPr>
            <w:tcW w:w="50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color w:val="auto"/>
              </w:rPr>
              <w:t>shares</w:t>
            </w:r>
          </w:p>
        </w:tc>
        <w:tc>
          <w:tcPr>
            <w:tcW w:w="500" w:type="dxa"/>
            <w:vAlign w:val="bottom"/>
          </w:tcPr>
          <w:p>
            <w:pPr>
              <w:spacing w:after="0"/>
              <w:rPr>
                <w:sz w:val="14"/>
                <w:szCs w:val="14"/>
                <w:color w:val="auto"/>
              </w:rPr>
            </w:pPr>
          </w:p>
        </w:tc>
        <w:tc>
          <w:tcPr>
            <w:tcW w:w="120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stock units</w:t>
            </w:r>
          </w:p>
        </w:tc>
        <w:tc>
          <w:tcPr>
            <w:tcW w:w="50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fair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2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475,194</w:t>
            </w:r>
          </w:p>
        </w:tc>
        <w:tc>
          <w:tcPr>
            <w:tcW w:w="13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86"/>
              </w:rPr>
              <w:t>233,539</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Granted to employees and directors</w:t>
            </w:r>
          </w:p>
        </w:tc>
        <w:tc>
          <w:tcPr>
            <w:tcW w:w="1260" w:type="dxa"/>
            <w:vAlign w:val="bottom"/>
            <w:gridSpan w:val="3"/>
          </w:tcPr>
          <w:p>
            <w:pPr>
              <w:jc w:val="right"/>
              <w:ind w:right="320"/>
              <w:spacing w:after="0"/>
              <w:rPr>
                <w:sz w:val="20"/>
                <w:szCs w:val="20"/>
                <w:color w:val="auto"/>
              </w:rPr>
            </w:pPr>
            <w:r>
              <w:rPr>
                <w:rFonts w:ascii="Arial" w:cs="Arial" w:eastAsia="Arial" w:hAnsi="Arial"/>
                <w:sz w:val="18"/>
                <w:szCs w:val="18"/>
                <w:color w:val="auto"/>
              </w:rPr>
              <w:t>270,500</w:t>
            </w:r>
          </w:p>
        </w:tc>
        <w:tc>
          <w:tcPr>
            <w:tcW w:w="1380" w:type="dxa"/>
            <w:vAlign w:val="bottom"/>
            <w:gridSpan w:val="3"/>
          </w:tcPr>
          <w:p>
            <w:pPr>
              <w:ind w:left="800"/>
              <w:spacing w:after="0"/>
              <w:rPr>
                <w:sz w:val="20"/>
                <w:szCs w:val="20"/>
                <w:color w:val="auto"/>
              </w:rPr>
            </w:pPr>
            <w:r>
              <w:rPr>
                <w:rFonts w:ascii="Arial" w:cs="Arial" w:eastAsia="Arial" w:hAnsi="Arial"/>
                <w:sz w:val="18"/>
                <w:szCs w:val="18"/>
                <w:color w:val="auto"/>
                <w:w w:val="86"/>
              </w:rPr>
              <w:t>165,450</w:t>
            </w:r>
          </w:p>
        </w:tc>
        <w:tc>
          <w:tcPr>
            <w:tcW w:w="320" w:type="dxa"/>
            <w:vAlign w:val="bottom"/>
          </w:tcPr>
          <w:p>
            <w:pPr>
              <w:spacing w:after="0"/>
              <w:rPr>
                <w:sz w:val="18"/>
                <w:szCs w:val="18"/>
                <w:color w:val="auto"/>
              </w:rPr>
            </w:pP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$36.79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Vested (value at vest date was $10.0 million)</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(136,787)</w:t>
            </w:r>
          </w:p>
        </w:tc>
        <w:tc>
          <w:tcPr>
            <w:tcW w:w="1700" w:type="dxa"/>
            <w:vAlign w:val="bottom"/>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(68,288)</w:t>
            </w: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$53.46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Forfeited</w:t>
            </w:r>
          </w:p>
        </w:tc>
        <w:tc>
          <w:tcPr>
            <w:tcW w:w="3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(20,988)</w:t>
            </w:r>
          </w:p>
        </w:tc>
        <w:tc>
          <w:tcPr>
            <w:tcW w:w="1700" w:type="dxa"/>
            <w:vAlign w:val="bottom"/>
            <w:gridSpan w:val="4"/>
          </w:tcPr>
          <w:p>
            <w:pPr>
              <w:jc w:val="right"/>
              <w:ind w:right="260"/>
              <w:spacing w:after="0"/>
              <w:rPr>
                <w:sz w:val="20"/>
                <w:szCs w:val="20"/>
                <w:color w:val="auto"/>
              </w:rPr>
            </w:pPr>
            <w:r>
              <w:rPr>
                <w:rFonts w:ascii="Arial" w:cs="Arial" w:eastAsia="Arial" w:hAnsi="Arial"/>
                <w:sz w:val="18"/>
                <w:szCs w:val="18"/>
                <w:color w:val="auto"/>
              </w:rPr>
              <w:t>(19,750)</w:t>
            </w:r>
          </w:p>
        </w:tc>
        <w:tc>
          <w:tcPr>
            <w:tcW w:w="1580" w:type="dxa"/>
            <w:vAlign w:val="bottom"/>
            <w:gridSpan w:val="2"/>
          </w:tcPr>
          <w:p>
            <w:pPr>
              <w:ind w:left="740"/>
              <w:spacing w:after="0"/>
              <w:rPr>
                <w:sz w:val="20"/>
                <w:szCs w:val="20"/>
                <w:color w:val="auto"/>
              </w:rPr>
            </w:pPr>
            <w:r>
              <w:rPr>
                <w:rFonts w:ascii="Arial" w:cs="Arial" w:eastAsia="Arial" w:hAnsi="Arial"/>
                <w:sz w:val="18"/>
                <w:szCs w:val="18"/>
                <w:color w:val="auto"/>
              </w:rPr>
              <w:t>$49.65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end of year</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587,919</w:t>
            </w:r>
          </w:p>
        </w:tc>
        <w:tc>
          <w:tcPr>
            <w:tcW w:w="1380" w:type="dxa"/>
            <w:vAlign w:val="bottom"/>
            <w:gridSpan w:val="3"/>
            <w:shd w:val="clear" w:color="auto" w:fill="CCEEFF"/>
          </w:tcPr>
          <w:p>
            <w:pPr>
              <w:ind w:left="800"/>
              <w:spacing w:after="0"/>
              <w:rPr>
                <w:sz w:val="20"/>
                <w:szCs w:val="20"/>
                <w:color w:val="auto"/>
              </w:rPr>
            </w:pPr>
            <w:r>
              <w:rPr>
                <w:rFonts w:ascii="Arial" w:cs="Arial" w:eastAsia="Arial" w:hAnsi="Arial"/>
                <w:sz w:val="18"/>
                <w:szCs w:val="18"/>
                <w:color w:val="auto"/>
                <w:w w:val="86"/>
              </w:rPr>
              <w:t>310,951</w:t>
            </w:r>
          </w:p>
        </w:tc>
        <w:tc>
          <w:tcPr>
            <w:tcW w:w="3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We recognized compensation expense for restricted shares and restricted stock units of $8.0 million in 2007, $13.8 million in 2008, and $17.0 million in 2009.</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2009, non-employee directors hold 15,143 vested stock units that will convert to common shares upon their separation from the board.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117"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following table presents the compensation expense (in millions) to be recognized over the remaining vesting periods of the stock-based awards outstanding at December 31, 2009.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First quarter 2010</w:t>
            </w:r>
          </w:p>
        </w:tc>
        <w:tc>
          <w:tcPr>
            <w:tcW w:w="7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Second quarter 2010</w:t>
            </w:r>
          </w:p>
        </w:tc>
        <w:tc>
          <w:tcPr>
            <w:tcW w:w="7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Third quarter 2010</w:t>
            </w:r>
          </w:p>
        </w:tc>
        <w:tc>
          <w:tcPr>
            <w:tcW w:w="7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Fourth quarter 2010</w:t>
            </w:r>
          </w:p>
        </w:tc>
        <w:tc>
          <w:tcPr>
            <w:tcW w:w="7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 2010</w:t>
            </w:r>
          </w:p>
        </w:tc>
        <w:tc>
          <w:tcPr>
            <w:tcW w:w="7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2011 through 2014</w:t>
            </w:r>
          </w:p>
        </w:tc>
        <w:tc>
          <w:tcPr>
            <w:tcW w:w="7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7140" w:type="dxa"/>
            <w:vAlign w:val="bottom"/>
            <w:vMerge w:val="restart"/>
          </w:tcPr>
          <w:p>
            <w:pPr>
              <w:jc w:val="right"/>
              <w:ind w:right="4650"/>
              <w:spacing w:after="0"/>
              <w:rPr>
                <w:sz w:val="20"/>
                <w:szCs w:val="20"/>
                <w:color w:val="auto"/>
              </w:rPr>
            </w:pPr>
            <w:r>
              <w:rPr>
                <w:rFonts w:ascii="Arial" w:cs="Arial" w:eastAsia="Arial" w:hAnsi="Arial"/>
                <w:sz w:val="18"/>
                <w:szCs w:val="18"/>
                <w:color w:val="auto"/>
              </w:rPr>
              <w:t>- 33 -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7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7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NOTE 12 — EARNINGS PER SHARE CALCULATIONS.</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reconciliation (in millions) of our net income to net income allocated to our common stockholders and the weighted average shares (in millions) that are used in calculating the basic and the diluted earnings per share on our common stock follow.</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2007</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670.6</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490.8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Less net income allocated to outstanding restricted stock and stock units</w:t>
            </w: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allocated to our common stockholders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489.7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common shares</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6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Weighted average common shares outstanding assuming dilution reflects the potential additional dilution, determined using the treasury stock method, that could occur if outstanding stock options were exercised. There are 19.9 million outstanding stock options with an average exercise price of $48.20 that, when taken together with related unrecognized compensation expense, are out-of-the-money and, therefore, not included in the 2009 weighted average common shares outstanding assuming dilution.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NOTE 13 — INVESTMENT GAINS (LOSSES) AND OTHER COMPREHENSIVE INCOME (LOSS).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our net unrealized investment holding gains and losses (in millions) to that recognized in other comprehensive income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color w:val="auto"/>
                <w:w w:val="94"/>
              </w:rPr>
              <w:t>Debt</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gridSpan w:val="3"/>
          </w:tcPr>
          <w:p>
            <w:pPr>
              <w:jc w:val="center"/>
              <w:ind w:right="280"/>
              <w:spacing w:after="0" w:line="149" w:lineRule="exact"/>
              <w:rPr>
                <w:sz w:val="20"/>
                <w:szCs w:val="20"/>
                <w:color w:val="auto"/>
              </w:rPr>
            </w:pPr>
            <w:r>
              <w:rPr>
                <w:rFonts w:ascii="Arial" w:cs="Arial" w:eastAsia="Arial" w:hAnsi="Arial"/>
                <w:sz w:val="14"/>
                <w:szCs w:val="14"/>
                <w:color w:val="auto"/>
                <w:w w:val="91"/>
              </w:rPr>
              <w:t>securities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1"/>
              </w:rPr>
              <w:t>in</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2"/>
              </w:rPr>
              <w:t>held by</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8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8"/>
              </w:rPr>
              <w:t>sponsored</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savings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mutual</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2"/>
              </w:rPr>
              <w:t>bank</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color w:val="auto"/>
                <w:w w:val="93"/>
              </w:rPr>
              <w:t>funds</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3"/>
          </w:tcPr>
          <w:p>
            <w:pPr>
              <w:jc w:val="center"/>
              <w:ind w:right="300"/>
              <w:spacing w:after="0"/>
              <w:rPr>
                <w:sz w:val="20"/>
                <w:szCs w:val="20"/>
                <w:color w:val="auto"/>
              </w:rPr>
            </w:pPr>
            <w:r>
              <w:rPr>
                <w:rFonts w:ascii="Arial" w:cs="Arial" w:eastAsia="Arial" w:hAnsi="Arial"/>
                <w:sz w:val="14"/>
                <w:szCs w:val="14"/>
                <w:color w:val="auto"/>
                <w:w w:val="95"/>
              </w:rPr>
              <w:t>subsidiary</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7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66.0</w:t>
            </w: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Reconciling amounts recognized in non-operating investment income</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Capital gain distributions received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(22.1)</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than temporary impairments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Net gains realized on dispositions, determined using average cost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 before taxes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24.7</w:t>
            </w: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2008</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losses</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(254.7)</w:t>
            </w: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Reconciling amounts recognized in non-operating investment loss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gain distributions received</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Other than temporary impairments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91.3</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losses realized on dispositions, determined using average cost</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Net unrealized holding losses recognized in other comprehensive loss, before taxes</w:t>
            </w:r>
          </w:p>
        </w:tc>
        <w:tc>
          <w:tcPr>
            <w:tcW w:w="7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(164.5)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(167.5)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58.4</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Net unrealized holding losses recognized in other comprehensive loss</w:t>
            </w:r>
          </w:p>
        </w:tc>
        <w:tc>
          <w:tcPr>
            <w:tcW w:w="7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Net unrealized holding gains</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150.8</w:t>
            </w:r>
          </w:p>
        </w:tc>
        <w:tc>
          <w:tcPr>
            <w:tcW w:w="420" w:type="dxa"/>
            <w:vAlign w:val="bottom"/>
            <w:gridSpan w:val="3"/>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6.0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Reconciling amounts recognized in non-operating investment loss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Capital gain distributions received</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than temporary impairments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Net losses (gains) realized on dispositions, determined using average cost</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(7.4)</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 before taxes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(66.6)</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recognized in other comprehensive income</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110.9</w:t>
            </w:r>
          </w:p>
        </w:tc>
        <w:tc>
          <w:tcPr>
            <w:tcW w:w="4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spacing w:after="0"/>
              <w:rPr>
                <w:sz w:val="20"/>
                <w:szCs w:val="20"/>
                <w:color w:val="auto"/>
              </w:rPr>
            </w:pPr>
            <w:r>
              <w:rPr>
                <w:rFonts w:ascii="Arial" w:cs="Arial" w:eastAsia="Arial" w:hAnsi="Arial"/>
                <w:sz w:val="18"/>
                <w:szCs w:val="18"/>
                <w:color w:val="auto"/>
              </w:rPr>
              <w:t>Accumulated other comprehensive income (loss) (in millions) at December 31 includes:</w:t>
            </w: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1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89"/>
              </w:rPr>
              <w:t>2008</w:t>
            </w: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holding gains (losses) on</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(17.5)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 securities held by savings bank subsidiary</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benefits (income taxes)</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20" w:type="dxa"/>
            <w:vAlign w:val="bottom"/>
            <w:gridSpan w:val="2"/>
            <w:vMerge w:val="restart"/>
          </w:tcPr>
          <w:p>
            <w:pPr>
              <w:ind w:left="5520"/>
              <w:spacing w:after="0"/>
              <w:rPr>
                <w:sz w:val="20"/>
                <w:szCs w:val="20"/>
                <w:color w:val="auto"/>
              </w:rPr>
            </w:pPr>
            <w:r>
              <w:rPr>
                <w:rFonts w:ascii="Arial" w:cs="Arial" w:eastAsia="Arial" w:hAnsi="Arial"/>
                <w:sz w:val="18"/>
                <w:szCs w:val="18"/>
                <w:color w:val="auto"/>
              </w:rPr>
              <w:t>- 34 -</w:t>
            </w: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1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1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397"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NOTE 14 — OTHER DISCLOSURES.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Our consolidated stockholders’ equity at December 31, 2009, includes about $75 million that is restricted as to use by various regulations and agreements arising in the ordinary course of our business.</w:t>
      </w:r>
    </w:p>
    <w:p>
      <w:pPr>
        <w:spacing w:after="0" w:line="6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From time to time, various claims against us arise in the ordinary course of business, including employment-related claims. In the opinion of management, after consultation with counsel, the likelihood that an adverse determination in one or more pending claims would have a material adverse effect on our financial position or results of operations is remote.</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recognized for our defined contribution retirement plans was $44.1 million in 2007, $43.6 million in 2008, and $41.2 million in 2009.</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NOTE 15 — SUPPLEMENTARY QUARTERLY FINANCIAL DATA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color w:val="auto"/>
                <w:w w:val="93"/>
              </w:rPr>
              <w:t>Basic</w:t>
            </w:r>
          </w:p>
        </w:tc>
        <w:tc>
          <w:tcPr>
            <w:tcW w:w="540" w:type="dxa"/>
            <w:vAlign w:val="bottom"/>
          </w:tcPr>
          <w:p>
            <w:pPr>
              <w:spacing w:after="0"/>
              <w:rPr>
                <w:sz w:val="14"/>
                <w:szCs w:val="14"/>
                <w:color w:val="auto"/>
              </w:rPr>
            </w:pPr>
          </w:p>
        </w:tc>
        <w:tc>
          <w:tcPr>
            <w:tcW w:w="900" w:type="dxa"/>
            <w:vAlign w:val="bottom"/>
          </w:tcPr>
          <w:p>
            <w:pPr>
              <w:ind w:left="240"/>
              <w:spacing w:after="0"/>
              <w:rPr>
                <w:sz w:val="20"/>
                <w:szCs w:val="20"/>
                <w:color w:val="auto"/>
              </w:rPr>
            </w:pPr>
            <w:r>
              <w:rPr>
                <w:rFonts w:ascii="Arial" w:cs="Arial" w:eastAsia="Arial" w:hAnsi="Arial"/>
                <w:sz w:val="14"/>
                <w:szCs w:val="14"/>
                <w:color w:val="auto"/>
              </w:rPr>
              <w:t>Diluted</w:t>
            </w:r>
          </w:p>
        </w:tc>
      </w:tr>
      <w:tr>
        <w:trPr>
          <w:trHeight w:val="149"/>
        </w:trPr>
        <w:tc>
          <w:tcPr>
            <w:tcW w:w="5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9"/>
              </w:rPr>
              <w:t>earnings</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earnings</w:t>
            </w:r>
          </w:p>
        </w:tc>
      </w:tr>
      <w:tr>
        <w:trPr>
          <w:trHeight w:val="149"/>
        </w:trPr>
        <w:tc>
          <w:tcPr>
            <w:tcW w:w="5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per</w:t>
            </w:r>
          </w:p>
        </w:tc>
      </w:tr>
      <w:tr>
        <w:trPr>
          <w:trHeight w:val="149"/>
        </w:trPr>
        <w:tc>
          <w:tcPr>
            <w:tcW w:w="5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share on</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88"/>
              </w:rPr>
              <w:t>share on</w:t>
            </w:r>
          </w:p>
        </w:tc>
      </w:tr>
      <w:tr>
        <w:trPr>
          <w:trHeight w:val="149"/>
        </w:trPr>
        <w:tc>
          <w:tcPr>
            <w:tcW w:w="5940" w:type="dxa"/>
            <w:vAlign w:val="bottom"/>
          </w:tcPr>
          <w:p>
            <w:pPr>
              <w:spacing w:after="0"/>
              <w:rPr>
                <w:sz w:val="12"/>
                <w:szCs w:val="12"/>
                <w:color w:val="auto"/>
              </w:rPr>
            </w:pPr>
          </w:p>
        </w:tc>
        <w:tc>
          <w:tcPr>
            <w:tcW w:w="860" w:type="dxa"/>
            <w:vAlign w:val="bottom"/>
          </w:tcPr>
          <w:p>
            <w:pPr>
              <w:jc w:val="right"/>
              <w:ind w:right="154"/>
              <w:spacing w:after="0" w:line="149" w:lineRule="exact"/>
              <w:rPr>
                <w:sz w:val="20"/>
                <w:szCs w:val="20"/>
                <w:color w:val="auto"/>
              </w:rPr>
            </w:pPr>
            <w:r>
              <w:rPr>
                <w:rFonts w:ascii="Arial" w:cs="Arial" w:eastAsia="Arial" w:hAnsi="Arial"/>
                <w:sz w:val="14"/>
                <w:szCs w:val="14"/>
                <w:color w:val="auto"/>
              </w:rPr>
              <w:t>Net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Net</w:t>
            </w:r>
          </w:p>
        </w:tc>
        <w:tc>
          <w:tcPr>
            <w:tcW w:w="5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common</w:t>
            </w:r>
          </w:p>
        </w:tc>
        <w:tc>
          <w:tcPr>
            <w:tcW w:w="5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color w:val="auto"/>
                <w:w w:val="93"/>
              </w:rPr>
              <w:t>common</w:t>
            </w:r>
          </w:p>
        </w:tc>
      </w:tr>
      <w:tr>
        <w:trPr>
          <w:trHeight w:val="167"/>
        </w:trPr>
        <w:tc>
          <w:tcPr>
            <w:tcW w:w="594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revenues</w:t>
            </w:r>
          </w:p>
        </w:tc>
        <w:tc>
          <w:tcPr>
            <w:tcW w:w="1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4"/>
                <w:szCs w:val="14"/>
                <w:color w:val="auto"/>
              </w:rPr>
              <w:t>income</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w:t>
            </w:r>
          </w:p>
        </w:tc>
        <w:tc>
          <w:tcPr>
            <w:tcW w:w="54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stock</w:t>
            </w:r>
          </w:p>
        </w:tc>
      </w:tr>
      <w:tr>
        <w:trPr>
          <w:trHeight w:val="142"/>
        </w:trPr>
        <w:tc>
          <w:tcPr>
            <w:tcW w:w="5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20" w:type="dxa"/>
            <w:vAlign w:val="bottom"/>
            <w:gridSpan w:val="3"/>
          </w:tcPr>
          <w:p>
            <w:pPr>
              <w:jc w:val="right"/>
              <w:ind w:right="148"/>
              <w:spacing w:after="0" w:line="142" w:lineRule="exact"/>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1st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$559.1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151.5</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$.58</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$.55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2nd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$586.5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162.2</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$.62</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3rd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$554.8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152.8</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$.59</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$.56</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4th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$415.9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24.3</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$.09</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$.09</w:t>
            </w:r>
          </w:p>
        </w:tc>
      </w:tr>
      <w:tr>
        <w:trPr>
          <w:trHeight w:val="432"/>
        </w:trPr>
        <w:tc>
          <w:tcPr>
            <w:tcW w:w="5940" w:type="dxa"/>
            <w:vAlign w:val="bottom"/>
          </w:tcPr>
          <w:p>
            <w:pPr>
              <w:spacing w:after="0"/>
              <w:rPr>
                <w:sz w:val="20"/>
                <w:szCs w:val="20"/>
                <w:color w:val="auto"/>
              </w:rPr>
            </w:pPr>
            <w:r>
              <w:rPr>
                <w:rFonts w:ascii="Arial" w:cs="Arial" w:eastAsia="Arial" w:hAnsi="Arial"/>
                <w:sz w:val="18"/>
                <w:szCs w:val="18"/>
                <w:color w:val="auto"/>
              </w:rPr>
              <w:t>2009</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1st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$384.5</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48.2</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$.19</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2nd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$442.2</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100.0</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$.39</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$.38</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3rd quarter</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$498.1</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132.9</w:t>
            </w:r>
          </w:p>
        </w:tc>
        <w:tc>
          <w:tcPr>
            <w:tcW w:w="142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$.52</w:t>
            </w:r>
          </w:p>
        </w:tc>
        <w:tc>
          <w:tcPr>
            <w:tcW w:w="144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$.50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4th quarter</w:t>
            </w: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$542.6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32"/>
              <w:spacing w:after="0"/>
              <w:rPr>
                <w:sz w:val="20"/>
                <w:szCs w:val="20"/>
                <w:color w:val="auto"/>
              </w:rPr>
            </w:pPr>
            <w:r>
              <w:rPr>
                <w:rFonts w:ascii="Arial" w:cs="Arial" w:eastAsia="Arial" w:hAnsi="Arial"/>
                <w:sz w:val="18"/>
                <w:szCs w:val="18"/>
                <w:color w:val="auto"/>
                <w:w w:val="88"/>
              </w:rPr>
              <w:t>152.5</w:t>
            </w:r>
          </w:p>
        </w:tc>
        <w:tc>
          <w:tcPr>
            <w:tcW w:w="1420" w:type="dxa"/>
            <w:vAlign w:val="bottom"/>
            <w:gridSpan w:val="2"/>
          </w:tcPr>
          <w:p>
            <w:pPr>
              <w:jc w:val="right"/>
              <w:ind w:right="248"/>
              <w:spacing w:after="0"/>
              <w:rPr>
                <w:sz w:val="20"/>
                <w:szCs w:val="20"/>
                <w:color w:val="auto"/>
              </w:rPr>
            </w:pPr>
            <w:r>
              <w:rPr>
                <w:rFonts w:ascii="Arial" w:cs="Arial" w:eastAsia="Arial" w:hAnsi="Arial"/>
                <w:sz w:val="18"/>
                <w:szCs w:val="18"/>
                <w:color w:val="auto"/>
              </w:rPr>
              <w:t>$.59</w:t>
            </w:r>
          </w:p>
        </w:tc>
        <w:tc>
          <w:tcPr>
            <w:tcW w:w="1440" w:type="dxa"/>
            <w:vAlign w:val="bottom"/>
            <w:gridSpan w:val="2"/>
          </w:tcPr>
          <w:p>
            <w:pPr>
              <w:ind w:left="780"/>
              <w:spacing w:after="0"/>
              <w:rPr>
                <w:sz w:val="20"/>
                <w:szCs w:val="20"/>
                <w:color w:val="auto"/>
              </w:rPr>
            </w:pPr>
            <w:r>
              <w:rPr>
                <w:rFonts w:ascii="Arial" w:cs="Arial" w:eastAsia="Arial" w:hAnsi="Arial"/>
                <w:sz w:val="18"/>
                <w:szCs w:val="18"/>
                <w:color w:val="auto"/>
              </w:rPr>
              <w:t>$.57</w:t>
            </w:r>
          </w:p>
        </w:tc>
      </w:tr>
    </w:tbl>
    <w:p>
      <w:pPr>
        <w:spacing w:after="0" w:line="79" w:lineRule="exact"/>
        <w:rPr>
          <w:sz w:val="20"/>
          <w:szCs w:val="20"/>
          <w:color w:val="auto"/>
        </w:rPr>
      </w:pPr>
    </w:p>
    <w:p>
      <w:pPr>
        <w:ind w:left="5520" w:right="2000" w:hanging="5510"/>
        <w:spacing w:after="0" w:line="496" w:lineRule="auto"/>
        <w:rPr>
          <w:sz w:val="20"/>
          <w:szCs w:val="20"/>
          <w:color w:val="auto"/>
        </w:rPr>
      </w:pPr>
      <w:r>
        <w:rPr>
          <w:rFonts w:ascii="Arial" w:cs="Arial" w:eastAsia="Arial" w:hAnsi="Arial"/>
          <w:sz w:val="18"/>
          <w:szCs w:val="18"/>
          <w:color w:val="auto"/>
        </w:rPr>
        <w:t>The sums of quarterly earnings per share do not equal annual earnings per share because the computations are done independently. - 35 -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have audited the accompanying consolidated balance sheets of T. Rowe Price Group, Inc. and subsidiaries (“the Company”) as of December 31, 2009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2008, and the related consolidated statements of income, stockholders’ equity, and cash flows for each of the years in the three-year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2009. These consolidated financial statements are the responsibility of the Company’s management. Our responsibility is to express an opinion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 these consolidated financial statements based on our audits.</w:t>
      </w:r>
    </w:p>
    <w:p>
      <w:pPr>
        <w:spacing w:after="0" w:line="10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 Rowe Price Group, Inc. and subsidiaries as of December 31, 2009 and 2008, and the results of their operations and their cash flows for each of the years in the three-year period ended December 31, 2009, in conformity with U.S. generally accepted accounting principles.</w:t>
      </w:r>
    </w:p>
    <w:p>
      <w:pPr>
        <w:spacing w:after="0" w:line="7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Company’s internal control over financial reporting as of December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(COSO), and our report dated February 5, 2010, expressed an unqualified opinion on the effectiveness of the Company’s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2009. Based on that evaluation, our principal executive and principal financial officers have concluded that our disclosure controls and procedures as of December 31, 2009,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2009, and has concluded that there was no change during the fourth quarter of 2009 that has materially affected, or is reasonably likely to materially affect, our internal control over financial reporting.</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auto"/>
        </w:rPr>
        <w:t>Report of Management on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4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7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2009,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w:t>
      </w:r>
      <w:r>
        <w:rPr>
          <w:rFonts w:ascii="Arial" w:cs="Arial" w:eastAsia="Arial" w:hAnsi="Arial"/>
          <w:sz w:val="17"/>
          <w:szCs w:val="17"/>
          <w:color w:val="auto"/>
        </w:rPr>
        <w:t>issued by the Committee of Sponsoring Organizations of the Treadway Commission (COSO). Based on management’s</w:t>
      </w:r>
      <w:r>
        <w:rPr>
          <w:rFonts w:ascii="Arial" w:cs="Arial" w:eastAsia="Arial" w:hAnsi="Arial"/>
          <w:sz w:val="17"/>
          <w:szCs w:val="17"/>
          <w:i w:val="1"/>
          <w:iCs w:val="1"/>
          <w:color w:val="auto"/>
        </w:rPr>
        <w:t xml:space="preserve"> </w:t>
      </w:r>
      <w:r>
        <w:rPr>
          <w:rFonts w:ascii="Arial" w:cs="Arial" w:eastAsia="Arial" w:hAnsi="Arial"/>
          <w:sz w:val="17"/>
          <w:szCs w:val="17"/>
          <w:color w:val="auto"/>
        </w:rPr>
        <w:t>assessment, we believe that the company’s internal control over financial reporting was effective as of December 31, 2009.</w:t>
      </w:r>
    </w:p>
    <w:p>
      <w:pPr>
        <w:spacing w:after="0" w:line="5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We have audited T. Rowe Price Group, Inc. and subsidiaries’ (“the Company”) internal control over financial reporting as of December 31, 2009,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issued by the Committee of Sponsoring Organizations of the Treadway Commission (COSO). The Company’s management is responsible for maintaining effective internal control over financial reporting and for its assessment of the effectiveness of internal control over financial reporting, included in the accompanying Report of Management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In our opinion, T. Rowe Price Group, Inc. and subsidiaries maintained, in all material respects, effective internal control over financial reporting as of December 31, 2009,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w:t>
      </w:r>
    </w:p>
    <w:p>
      <w:pPr>
        <w:spacing w:after="0" w:line="7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 Rowe Price Group, Inc. and subsidiaries as of December 31, 2009 and 2008, and the related consolidated statements of income, stockholders’ equity, and cash flows for each of the years in the three-year period ended December 31, 2009, and our report dated February 5, 2010, expressed an unqualified opinion on those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Item 9B.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2010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2010 Annual Meeting of our stockholders.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225" w:lineRule="exact"/>
        <w:rPr>
          <w:sz w:val="20"/>
          <w:szCs w:val="20"/>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225" w:lineRule="exact"/>
        <w:rPr>
          <w:rFonts w:ascii="Arial" w:cs="Arial" w:eastAsia="Arial" w:hAnsi="Arial"/>
          <w:sz w:val="18"/>
          <w:szCs w:val="18"/>
          <w:color w:val="auto"/>
        </w:rPr>
      </w:pPr>
    </w:p>
    <w:p>
      <w:pPr>
        <w:ind w:left="420" w:right="600" w:hanging="412"/>
        <w:spacing w:after="0" w:line="277" w:lineRule="auto"/>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filed as Exhibits 10.06 through 10.18.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ind w:left="420"/>
              <w:spacing w:after="0"/>
              <w:rPr>
                <w:sz w:val="20"/>
                <w:szCs w:val="20"/>
                <w:color w:val="auto"/>
              </w:rPr>
            </w:pPr>
            <w:r>
              <w:rPr>
                <w:rFonts w:ascii="Arial" w:cs="Arial" w:eastAsia="Arial" w:hAnsi="Arial"/>
                <w:sz w:val="18"/>
                <w:szCs w:val="18"/>
                <w:color w:val="auto"/>
              </w:rPr>
              <w:t>3(i)</w:t>
            </w:r>
          </w:p>
        </w:tc>
        <w:tc>
          <w:tcPr>
            <w:tcW w:w="10360" w:type="dxa"/>
            <w:vAlign w:val="bottom"/>
          </w:tcPr>
          <w:p>
            <w:pPr>
              <w:ind w:left="100"/>
              <w:spacing w:after="0"/>
              <w:rPr>
                <w:sz w:val="20"/>
                <w:szCs w:val="20"/>
                <w:color w:val="auto"/>
              </w:rPr>
            </w:pPr>
            <w:r>
              <w:rPr>
                <w:rFonts w:ascii="Arial" w:cs="Arial" w:eastAsia="Arial" w:hAnsi="Arial"/>
                <w:sz w:val="18"/>
                <w:szCs w:val="18"/>
                <w:color w:val="auto"/>
                <w:w w:val="93"/>
              </w:rPr>
              <w:t>Charter of T. Rowe Price Group, Inc., as Amended by Articles of Amendment dated April 10, 2008. (Incorporated by reference from Form</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10-Q Report for the quarterly period ended March 31, 2008; Accession No. 0000950133-08-001597.)</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3(ii)</w:t>
            </w:r>
          </w:p>
        </w:tc>
        <w:tc>
          <w:tcPr>
            <w:tcW w:w="10360" w:type="dxa"/>
            <w:vAlign w:val="bottom"/>
          </w:tcPr>
          <w:p>
            <w:pPr>
              <w:ind w:left="100"/>
              <w:spacing w:after="0"/>
              <w:rPr>
                <w:sz w:val="20"/>
                <w:szCs w:val="20"/>
                <w:color w:val="auto"/>
              </w:rPr>
            </w:pPr>
            <w:r>
              <w:rPr>
                <w:rFonts w:ascii="Arial" w:cs="Arial" w:eastAsia="Arial" w:hAnsi="Arial"/>
                <w:sz w:val="18"/>
                <w:szCs w:val="18"/>
                <w:color w:val="auto"/>
                <w:w w:val="93"/>
              </w:rPr>
              <w:t>Amended and Restated By-Laws of T. Rowe Price Group, Inc. as of February 12, 2009. (Incorporated by reference from Form 8-K Current</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Report as of February 17, 2009; Accession No. 0000950133-09-000369.)</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10.01.1</w:t>
            </w:r>
          </w:p>
        </w:tc>
        <w:tc>
          <w:tcPr>
            <w:tcW w:w="10360" w:type="dxa"/>
            <w:vAlign w:val="bottom"/>
          </w:tcPr>
          <w:p>
            <w:pPr>
              <w:ind w:left="100"/>
              <w:spacing w:after="0"/>
              <w:rPr>
                <w:sz w:val="20"/>
                <w:szCs w:val="20"/>
                <w:color w:val="auto"/>
              </w:rPr>
            </w:pPr>
            <w:r>
              <w:rPr>
                <w:rFonts w:ascii="Arial" w:cs="Arial" w:eastAsia="Arial" w:hAnsi="Arial"/>
                <w:sz w:val="18"/>
                <w:szCs w:val="18"/>
                <w:color w:val="auto"/>
                <w:w w:val="98"/>
              </w:rPr>
              <w:t>Representative Investment Management Agreement with most of the T. Rowe Price mutual funds. (Incorporated by reference from</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Form 485BPOS; Accession No. 0000216907-05-000006.)</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10.01.2</w:t>
            </w:r>
          </w:p>
        </w:tc>
        <w:tc>
          <w:tcPr>
            <w:tcW w:w="10360" w:type="dxa"/>
            <w:vAlign w:val="bottom"/>
          </w:tcPr>
          <w:p>
            <w:pPr>
              <w:ind w:left="100"/>
              <w:spacing w:after="0"/>
              <w:rPr>
                <w:sz w:val="20"/>
                <w:szCs w:val="20"/>
                <w:color w:val="auto"/>
              </w:rPr>
            </w:pPr>
            <w:r>
              <w:rPr>
                <w:rFonts w:ascii="Arial" w:cs="Arial" w:eastAsia="Arial" w:hAnsi="Arial"/>
                <w:sz w:val="18"/>
                <w:szCs w:val="18"/>
                <w:color w:val="auto"/>
                <w:w w:val="92"/>
              </w:rPr>
              <w:t>Amendment to representative Investment Management Agreement with most of the T. Rowe Price mutual funds. (Incorporated by reference</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from Form 485BPOS; Accession No. 0001267862-05-000006.)</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10.02</w:t>
            </w:r>
          </w:p>
        </w:tc>
        <w:tc>
          <w:tcPr>
            <w:tcW w:w="10360" w:type="dxa"/>
            <w:vAlign w:val="bottom"/>
          </w:tcPr>
          <w:p>
            <w:pPr>
              <w:ind w:left="100"/>
              <w:spacing w:after="0"/>
              <w:rPr>
                <w:sz w:val="20"/>
                <w:szCs w:val="20"/>
                <w:color w:val="auto"/>
              </w:rPr>
            </w:pPr>
            <w:r>
              <w:rPr>
                <w:rFonts w:ascii="Arial" w:cs="Arial" w:eastAsia="Arial" w:hAnsi="Arial"/>
                <w:sz w:val="18"/>
                <w:szCs w:val="18"/>
                <w:color w:val="auto"/>
                <w:w w:val="91"/>
              </w:rPr>
              <w:t>Representative Underwriting Agreement between a T. Rowe Price mutual fund and T. Rowe Price Investment Services, Inc. (Incorporated by</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reference from Form N-1A/A; Accession No. 0001368135-06-000014.)</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10.03</w:t>
            </w:r>
          </w:p>
        </w:tc>
        <w:tc>
          <w:tcPr>
            <w:tcW w:w="10360" w:type="dxa"/>
            <w:vAlign w:val="bottom"/>
          </w:tcPr>
          <w:p>
            <w:pPr>
              <w:ind w:left="100"/>
              <w:spacing w:after="0"/>
              <w:rPr>
                <w:sz w:val="20"/>
                <w:szCs w:val="20"/>
                <w:color w:val="auto"/>
              </w:rPr>
            </w:pPr>
            <w:r>
              <w:rPr>
                <w:rFonts w:ascii="Arial" w:cs="Arial" w:eastAsia="Arial" w:hAnsi="Arial"/>
                <w:sz w:val="18"/>
                <w:szCs w:val="18"/>
                <w:color w:val="auto"/>
                <w:w w:val="97"/>
              </w:rPr>
              <w:t>Transfer Agency and Service Agreement as of January 1, 2009, between T. Rowe Price Services, Inc. and the T. Rowe Price Funds.</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(Incorporated by reference from Form 485BPOS; Accession No. 0000887147-09-000006.)</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10.04</w:t>
            </w:r>
          </w:p>
        </w:tc>
        <w:tc>
          <w:tcPr>
            <w:tcW w:w="10360" w:type="dxa"/>
            <w:vAlign w:val="bottom"/>
          </w:tcPr>
          <w:p>
            <w:pPr>
              <w:ind w:left="100"/>
              <w:spacing w:after="0"/>
              <w:rPr>
                <w:sz w:val="20"/>
                <w:szCs w:val="20"/>
                <w:color w:val="auto"/>
              </w:rPr>
            </w:pPr>
            <w:r>
              <w:rPr>
                <w:rFonts w:ascii="Arial" w:cs="Arial" w:eastAsia="Arial" w:hAnsi="Arial"/>
                <w:sz w:val="18"/>
                <w:szCs w:val="18"/>
                <w:color w:val="auto"/>
                <w:w w:val="99"/>
              </w:rPr>
              <w:t>Agreement as of January 1, 2009, between T. Rowe Price Retirement Plan Services, Inc. and certain of the T. Rowe Price Funds.</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(Incorporated by reference from Form 485BPOS; Accession No. 0000887147-09-000006.)</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10.05</w:t>
            </w:r>
          </w:p>
        </w:tc>
        <w:tc>
          <w:tcPr>
            <w:tcW w:w="10360" w:type="dxa"/>
            <w:vAlign w:val="bottom"/>
          </w:tcPr>
          <w:p>
            <w:pPr>
              <w:ind w:left="100"/>
              <w:spacing w:after="0"/>
              <w:rPr>
                <w:sz w:val="20"/>
                <w:szCs w:val="20"/>
                <w:color w:val="auto"/>
              </w:rPr>
            </w:pPr>
            <w:r>
              <w:rPr>
                <w:rFonts w:ascii="Arial" w:cs="Arial" w:eastAsia="Arial" w:hAnsi="Arial"/>
                <w:sz w:val="18"/>
                <w:szCs w:val="18"/>
                <w:color w:val="auto"/>
                <w:w w:val="93"/>
              </w:rPr>
              <w:t>Second Amended, Restated and Consolidated Lease Agreement dated November 9, 2004, between East Pratt Street Associates Limited</w:t>
            </w:r>
          </w:p>
        </w:tc>
      </w:tr>
      <w:tr>
        <w:trPr>
          <w:trHeight w:val="216"/>
        </w:trPr>
        <w:tc>
          <w:tcPr>
            <w:tcW w:w="1060" w:type="dxa"/>
            <w:vAlign w:val="bottom"/>
          </w:tcPr>
          <w:p>
            <w:pPr>
              <w:spacing w:after="0"/>
              <w:rPr>
                <w:sz w:val="18"/>
                <w:szCs w:val="18"/>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w w:val="96"/>
              </w:rPr>
              <w:t>Partnership and T. Rowe Price Associates, Inc. (Incorporated by reference from Form 10-K for 2004; Accession No. 0000950133-05-</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000815.)</w:t>
            </w:r>
          </w:p>
        </w:tc>
      </w:tr>
      <w:tr>
        <w:trPr>
          <w:trHeight w:val="432"/>
        </w:trPr>
        <w:tc>
          <w:tcPr>
            <w:tcW w:w="1060" w:type="dxa"/>
            <w:vAlign w:val="bottom"/>
          </w:tcPr>
          <w:p>
            <w:pPr>
              <w:ind w:left="420"/>
              <w:spacing w:after="0"/>
              <w:rPr>
                <w:sz w:val="20"/>
                <w:szCs w:val="20"/>
                <w:color w:val="auto"/>
              </w:rPr>
            </w:pPr>
            <w:r>
              <w:rPr>
                <w:rFonts w:ascii="Arial" w:cs="Arial" w:eastAsia="Arial" w:hAnsi="Arial"/>
                <w:sz w:val="18"/>
                <w:szCs w:val="18"/>
                <w:color w:val="auto"/>
              </w:rPr>
              <w:t>10.06</w:t>
            </w:r>
          </w:p>
        </w:tc>
        <w:tc>
          <w:tcPr>
            <w:tcW w:w="10360" w:type="dxa"/>
            <w:vAlign w:val="bottom"/>
          </w:tcPr>
          <w:p>
            <w:pPr>
              <w:ind w:left="100"/>
              <w:spacing w:after="0"/>
              <w:rPr>
                <w:sz w:val="20"/>
                <w:szCs w:val="20"/>
                <w:color w:val="auto"/>
              </w:rPr>
            </w:pPr>
            <w:r>
              <w:rPr>
                <w:rFonts w:ascii="Arial" w:cs="Arial" w:eastAsia="Arial" w:hAnsi="Arial"/>
                <w:sz w:val="18"/>
                <w:szCs w:val="18"/>
                <w:color w:val="auto"/>
              </w:rPr>
              <w:t>1995 Director Stock Option Plan. (Incorporated by reference from Form DEF 14A; Accession No. 0000933259-95-000009.)</w:t>
            </w:r>
          </w:p>
        </w:tc>
      </w:tr>
      <w:tr>
        <w:trPr>
          <w:trHeight w:val="418"/>
        </w:trPr>
        <w:tc>
          <w:tcPr>
            <w:tcW w:w="1060" w:type="dxa"/>
            <w:vAlign w:val="bottom"/>
          </w:tcPr>
          <w:p>
            <w:pPr>
              <w:ind w:left="420"/>
              <w:spacing w:after="0"/>
              <w:rPr>
                <w:sz w:val="20"/>
                <w:szCs w:val="20"/>
                <w:color w:val="auto"/>
              </w:rPr>
            </w:pPr>
            <w:r>
              <w:rPr>
                <w:rFonts w:ascii="Arial" w:cs="Arial" w:eastAsia="Arial" w:hAnsi="Arial"/>
                <w:sz w:val="18"/>
                <w:szCs w:val="18"/>
                <w:color w:val="auto"/>
              </w:rPr>
              <w:t>10.07</w:t>
            </w:r>
          </w:p>
        </w:tc>
        <w:tc>
          <w:tcPr>
            <w:tcW w:w="10360" w:type="dxa"/>
            <w:vAlign w:val="bottom"/>
          </w:tcPr>
          <w:p>
            <w:pPr>
              <w:ind w:left="100"/>
              <w:spacing w:after="0"/>
              <w:rPr>
                <w:sz w:val="20"/>
                <w:szCs w:val="20"/>
                <w:color w:val="auto"/>
              </w:rPr>
            </w:pPr>
            <w:r>
              <w:rPr>
                <w:rFonts w:ascii="Arial" w:cs="Arial" w:eastAsia="Arial" w:hAnsi="Arial"/>
                <w:sz w:val="18"/>
                <w:szCs w:val="18"/>
                <w:color w:val="auto"/>
                <w:w w:val="99"/>
              </w:rPr>
              <w:t>1998 Director Stock Option Plan, as Amended and Restated effective December 16, 2004, including forms of option agreements.</w:t>
            </w:r>
          </w:p>
        </w:tc>
      </w:tr>
      <w:tr>
        <w:trPr>
          <w:trHeight w:val="230"/>
        </w:trPr>
        <w:tc>
          <w:tcPr>
            <w:tcW w:w="1060" w:type="dxa"/>
            <w:vAlign w:val="bottom"/>
          </w:tcPr>
          <w:p>
            <w:pPr>
              <w:spacing w:after="0"/>
              <w:rPr>
                <w:sz w:val="20"/>
                <w:szCs w:val="20"/>
                <w:color w:val="auto"/>
              </w:rPr>
            </w:pPr>
          </w:p>
        </w:tc>
        <w:tc>
          <w:tcPr>
            <w:tcW w:w="10360" w:type="dxa"/>
            <w:vAlign w:val="bottom"/>
          </w:tcPr>
          <w:p>
            <w:pPr>
              <w:ind w:left="100"/>
              <w:spacing w:after="0"/>
              <w:rPr>
                <w:sz w:val="20"/>
                <w:szCs w:val="20"/>
                <w:color w:val="auto"/>
              </w:rPr>
            </w:pPr>
            <w:r>
              <w:rPr>
                <w:rFonts w:ascii="Arial" w:cs="Arial" w:eastAsia="Arial" w:hAnsi="Arial"/>
                <w:sz w:val="18"/>
                <w:szCs w:val="18"/>
                <w:color w:val="auto"/>
              </w:rPr>
              <w:t>(Incorporated by reference from Form 10-K for 2004; Accession No. 0000950133-05-000815.)</w:t>
            </w:r>
          </w:p>
        </w:tc>
      </w:tr>
      <w:tr>
        <w:trPr>
          <w:trHeight w:val="405"/>
        </w:trPr>
        <w:tc>
          <w:tcPr>
            <w:tcW w:w="1060" w:type="dxa"/>
            <w:vAlign w:val="bottom"/>
          </w:tcPr>
          <w:p>
            <w:pPr>
              <w:spacing w:after="0"/>
              <w:rPr>
                <w:sz w:val="24"/>
                <w:szCs w:val="24"/>
                <w:color w:val="auto"/>
              </w:rPr>
            </w:pPr>
          </w:p>
        </w:tc>
        <w:tc>
          <w:tcPr>
            <w:tcW w:w="10360" w:type="dxa"/>
            <w:vAlign w:val="bottom"/>
          </w:tcPr>
          <w:p>
            <w:pPr>
              <w:ind w:left="4460"/>
              <w:spacing w:after="0"/>
              <w:rPr>
                <w:sz w:val="20"/>
                <w:szCs w:val="20"/>
                <w:color w:val="auto"/>
              </w:rPr>
            </w:pPr>
            <w:r>
              <w:rPr>
                <w:rFonts w:ascii="Arial" w:cs="Arial" w:eastAsia="Arial" w:hAnsi="Arial"/>
                <w:sz w:val="18"/>
                <w:szCs w:val="18"/>
                <w:color w:val="auto"/>
              </w:rPr>
              <w:t>- 40 -</w:t>
            </w:r>
          </w:p>
        </w:tc>
      </w:tr>
      <w:tr>
        <w:trPr>
          <w:trHeight w:val="226"/>
        </w:trPr>
        <w:tc>
          <w:tcPr>
            <w:tcW w:w="1060" w:type="dxa"/>
            <w:vAlign w:val="bottom"/>
            <w:tcBorders>
              <w:bottom w:val="single" w:sz="8" w:color="808080"/>
            </w:tcBorders>
          </w:tcPr>
          <w:p>
            <w:pPr>
              <w:spacing w:after="0"/>
              <w:rPr>
                <w:sz w:val="19"/>
                <w:szCs w:val="19"/>
                <w:color w:val="auto"/>
              </w:rPr>
            </w:pPr>
          </w:p>
        </w:tc>
        <w:tc>
          <w:tcPr>
            <w:tcW w:w="103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843" w:gutter="0" w:footer="0" w:header="0"/>
        </w:sectPr>
      </w:pPr>
    </w:p>
    <w:bookmarkStart w:id="40" w:name="page41"/>
    <w:bookmarkEnd w:id="40"/>
    <w:p>
      <w:pPr>
        <w:jc w:val="both"/>
        <w:ind w:left="747" w:right="400" w:hanging="742"/>
        <w:spacing w:after="0" w:line="264" w:lineRule="auto"/>
        <w:tabs>
          <w:tab w:leader="none" w:pos="726" w:val="left"/>
        </w:tabs>
        <w:rPr>
          <w:sz w:val="20"/>
          <w:szCs w:val="20"/>
          <w:color w:val="auto"/>
        </w:rPr>
      </w:pPr>
      <w:r>
        <w:rPr>
          <w:rFonts w:ascii="Arial" w:cs="Arial" w:eastAsia="Arial" w:hAnsi="Arial"/>
          <w:sz w:val="18"/>
          <w:szCs w:val="18"/>
          <w:color w:val="auto"/>
        </w:rPr>
        <w:t>10.08</w:t>
      </w:r>
      <w:r>
        <w:rPr>
          <w:sz w:val="20"/>
          <w:szCs w:val="20"/>
          <w:color w:val="auto"/>
        </w:rPr>
        <w:tab/>
      </w:r>
      <w:r>
        <w:rPr>
          <w:rFonts w:ascii="Arial" w:cs="Arial" w:eastAsia="Arial" w:hAnsi="Arial"/>
          <w:sz w:val="18"/>
          <w:szCs w:val="18"/>
          <w:color w:val="auto"/>
        </w:rPr>
        <w:t>Amended and Restated 2007 Non-Employee Director Equity Plan as of February 12, 2009, including statements of additional terms and conditions for awards granted after that date. (Incorporated by reference from Form 10-Q for the quarterly period ended March 31, 2009; Accession No. 0000950133-09-001209.)</w:t>
      </w:r>
    </w:p>
    <w:p>
      <w:pPr>
        <w:spacing w:after="0" w:line="181" w:lineRule="exact"/>
        <w:rPr>
          <w:sz w:val="20"/>
          <w:szCs w:val="20"/>
          <w:color w:val="auto"/>
        </w:rPr>
      </w:pPr>
    </w:p>
    <w:p>
      <w:pPr>
        <w:ind w:left="747" w:right="40" w:hanging="742"/>
        <w:spacing w:after="0" w:line="277" w:lineRule="auto"/>
        <w:tabs>
          <w:tab w:leader="none" w:pos="726" w:val="left"/>
        </w:tabs>
        <w:rPr>
          <w:sz w:val="20"/>
          <w:szCs w:val="20"/>
          <w:color w:val="auto"/>
        </w:rPr>
      </w:pPr>
      <w:r>
        <w:rPr>
          <w:rFonts w:ascii="Arial" w:cs="Arial" w:eastAsia="Arial" w:hAnsi="Arial"/>
          <w:sz w:val="18"/>
          <w:szCs w:val="18"/>
          <w:color w:val="auto"/>
        </w:rPr>
        <w:t>10.09</w:t>
      </w:r>
      <w:r>
        <w:rPr>
          <w:sz w:val="20"/>
          <w:szCs w:val="20"/>
          <w:color w:val="auto"/>
        </w:rPr>
        <w:tab/>
      </w:r>
      <w:r>
        <w:rPr>
          <w:rFonts w:ascii="Arial" w:cs="Arial" w:eastAsia="Arial" w:hAnsi="Arial"/>
          <w:sz w:val="18"/>
          <w:szCs w:val="18"/>
          <w:color w:val="auto"/>
        </w:rPr>
        <w:t>Schedule of Non-Employee Director Compensation, as amended April 12, 2007. (Incorporated by reference from Form 10-Q for the quarterly period ended March 31, 2007; Accession No. 0000950133-07-001865.)</w:t>
      </w:r>
    </w:p>
    <w:p>
      <w:pPr>
        <w:spacing w:after="0" w:line="170" w:lineRule="exact"/>
        <w:rPr>
          <w:sz w:val="20"/>
          <w:szCs w:val="20"/>
          <w:color w:val="auto"/>
        </w:rPr>
      </w:pPr>
    </w:p>
    <w:p>
      <w:pPr>
        <w:ind w:left="747" w:right="180" w:hanging="742"/>
        <w:spacing w:after="0" w:line="277" w:lineRule="auto"/>
        <w:tabs>
          <w:tab w:leader="none" w:pos="726"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 Rowe Price Group, Inc. Outside Directors Deferred Compensation Plan. (Incorporated by reference from Form 10-K for 2004; Accession No. 0000950133-05-000815.)</w:t>
      </w:r>
    </w:p>
    <w:p>
      <w:pPr>
        <w:spacing w:after="0" w:line="170"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6"/>
          <w:szCs w:val="16"/>
          <w:color w:val="auto"/>
        </w:rPr>
        <w:t>1993 Stock Incentive Plan. (Incorporated by reference from Form S-8 Registration Statement [File No. 33-72568].)</w:t>
      </w:r>
    </w:p>
    <w:p>
      <w:pPr>
        <w:spacing w:after="0" w:line="225"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6"/>
          <w:szCs w:val="16"/>
          <w:color w:val="auto"/>
        </w:rPr>
        <w:t>1996 Stock Incentive Plan. (Incorporated by reference from Form DEF 14A; Accession No. 0001006199-96-000031.)</w:t>
      </w:r>
    </w:p>
    <w:p>
      <w:pPr>
        <w:spacing w:after="0" w:line="225"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8"/>
          <w:szCs w:val="18"/>
          <w:color w:val="auto"/>
        </w:rPr>
        <w:t>10.13.1</w:t>
      </w:r>
      <w:r>
        <w:rPr>
          <w:sz w:val="20"/>
          <w:szCs w:val="20"/>
          <w:color w:val="auto"/>
        </w:rPr>
        <w:tab/>
      </w:r>
      <w:r>
        <w:rPr>
          <w:rFonts w:ascii="Arial" w:cs="Arial" w:eastAsia="Arial" w:hAnsi="Arial"/>
          <w:sz w:val="16"/>
          <w:szCs w:val="16"/>
          <w:color w:val="auto"/>
        </w:rPr>
        <w:t>2001 Stock Incentive Plan. (Incorporated by reference from Form DEF 14A; Accession No. 0001113169-01-000002.)</w:t>
      </w:r>
    </w:p>
    <w:p>
      <w:pPr>
        <w:spacing w:after="0" w:line="225" w:lineRule="exact"/>
        <w:rPr>
          <w:sz w:val="20"/>
          <w:szCs w:val="20"/>
          <w:color w:val="auto"/>
        </w:rPr>
      </w:pPr>
    </w:p>
    <w:p>
      <w:pPr>
        <w:ind w:left="747" w:right="1020" w:hanging="742"/>
        <w:spacing w:after="0" w:line="277" w:lineRule="auto"/>
        <w:tabs>
          <w:tab w:leader="none" w:pos="726" w:val="left"/>
        </w:tabs>
        <w:rPr>
          <w:sz w:val="20"/>
          <w:szCs w:val="20"/>
          <w:color w:val="auto"/>
        </w:rPr>
      </w:pPr>
      <w:r>
        <w:rPr>
          <w:rFonts w:ascii="Arial" w:cs="Arial" w:eastAsia="Arial" w:hAnsi="Arial"/>
          <w:sz w:val="18"/>
          <w:szCs w:val="18"/>
          <w:color w:val="auto"/>
        </w:rPr>
        <w:t>10.13.2</w:t>
        <w:tab/>
        <w:t>First Amendment to 2001 Stock Incentive Plan dated April 8, 2004. (Incorporated by reference from Form DEF 14A; Accession No. 0001113169-04-000023.)</w:t>
      </w:r>
    </w:p>
    <w:p>
      <w:pPr>
        <w:spacing w:after="0" w:line="170" w:lineRule="exact"/>
        <w:rPr>
          <w:sz w:val="20"/>
          <w:szCs w:val="20"/>
          <w:color w:val="auto"/>
        </w:rPr>
      </w:pPr>
    </w:p>
    <w:p>
      <w:pPr>
        <w:ind w:left="747" w:right="320" w:hanging="742"/>
        <w:spacing w:after="0" w:line="277" w:lineRule="auto"/>
        <w:tabs>
          <w:tab w:leader="none" w:pos="726" w:val="left"/>
        </w:tabs>
        <w:rPr>
          <w:sz w:val="20"/>
          <w:szCs w:val="20"/>
          <w:color w:val="auto"/>
        </w:rPr>
      </w:pPr>
      <w:r>
        <w:rPr>
          <w:rFonts w:ascii="Arial" w:cs="Arial" w:eastAsia="Arial" w:hAnsi="Arial"/>
          <w:sz w:val="18"/>
          <w:szCs w:val="18"/>
          <w:color w:val="auto"/>
        </w:rPr>
        <w:t>10.13.3</w:t>
        <w:tab/>
        <w:t>Second Amendment to 2001 Stock Incentive Plan dated December 12, 2008. (Incorporated by reference from Form 10-Q for the quarterly period ended March 31, 2009; Accession No. 0000950133-09-001209.)</w:t>
      </w:r>
    </w:p>
    <w:p>
      <w:pPr>
        <w:spacing w:after="0" w:line="170"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8"/>
          <w:szCs w:val="18"/>
          <w:color w:val="auto"/>
        </w:rPr>
        <w:t>10.14.1</w:t>
      </w:r>
      <w:r>
        <w:rPr>
          <w:sz w:val="20"/>
          <w:szCs w:val="20"/>
          <w:color w:val="auto"/>
        </w:rPr>
        <w:tab/>
      </w:r>
      <w:r>
        <w:rPr>
          <w:rFonts w:ascii="Arial" w:cs="Arial" w:eastAsia="Arial" w:hAnsi="Arial"/>
          <w:sz w:val="16"/>
          <w:szCs w:val="16"/>
          <w:color w:val="auto"/>
        </w:rPr>
        <w:t>2004 Stock Incentive Plan. (Incorporated by reference from Form 10-K for 2007; Accession No. 0000950133-08-000389.)</w:t>
      </w:r>
    </w:p>
    <w:p>
      <w:pPr>
        <w:spacing w:after="0" w:line="225" w:lineRule="exact"/>
        <w:rPr>
          <w:sz w:val="20"/>
          <w:szCs w:val="20"/>
          <w:color w:val="auto"/>
        </w:rPr>
      </w:pPr>
    </w:p>
    <w:p>
      <w:pPr>
        <w:ind w:left="747" w:right="40" w:hanging="742"/>
        <w:spacing w:after="0" w:line="264" w:lineRule="auto"/>
        <w:tabs>
          <w:tab w:leader="none" w:pos="726" w:val="left"/>
        </w:tabs>
        <w:rPr>
          <w:sz w:val="20"/>
          <w:szCs w:val="20"/>
          <w:color w:val="auto"/>
        </w:rPr>
      </w:pPr>
      <w:r>
        <w:rPr>
          <w:rFonts w:ascii="Arial" w:cs="Arial" w:eastAsia="Arial" w:hAnsi="Arial"/>
          <w:sz w:val="18"/>
          <w:szCs w:val="18"/>
          <w:color w:val="auto"/>
        </w:rPr>
        <w:t>10.14.2</w:t>
        <w:tab/>
        <w:t>HM Revenue and Customs Approved Sub-Plan for UK Employees under the 2004 Stock Incentive Plan and form of agreement for stock options issued under this sub-plan. (Incorporated by reference from Form 10-Q for the quarterly period ended September 30, 2009; Accession No. 0000950123-09-052559.)</w:t>
      </w:r>
    </w:p>
    <w:p>
      <w:pPr>
        <w:spacing w:after="0" w:line="181" w:lineRule="exact"/>
        <w:rPr>
          <w:sz w:val="20"/>
          <w:szCs w:val="20"/>
          <w:color w:val="auto"/>
        </w:rPr>
      </w:pPr>
    </w:p>
    <w:p>
      <w:pPr>
        <w:ind w:left="747" w:hanging="742"/>
        <w:spacing w:after="0" w:line="277" w:lineRule="auto"/>
        <w:tabs>
          <w:tab w:leader="none" w:pos="726" w:val="left"/>
        </w:tabs>
        <w:rPr>
          <w:sz w:val="20"/>
          <w:szCs w:val="20"/>
          <w:color w:val="auto"/>
        </w:rPr>
      </w:pPr>
      <w:r>
        <w:rPr>
          <w:rFonts w:ascii="Arial" w:cs="Arial" w:eastAsia="Arial" w:hAnsi="Arial"/>
          <w:sz w:val="18"/>
          <w:szCs w:val="18"/>
          <w:color w:val="auto"/>
        </w:rPr>
        <w:t>10.14.3</w:t>
        <w:tab/>
        <w:t>First Amendment to 2004 Stock Incentive Plan dated December 12, 2008. (Incorporated by reference from Form 10-Q for the quarterly period ended March 31, 2009; Accession No. 0000950133-09-001209.)</w:t>
      </w:r>
    </w:p>
    <w:p>
      <w:pPr>
        <w:spacing w:after="0" w:line="170" w:lineRule="exact"/>
        <w:rPr>
          <w:sz w:val="20"/>
          <w:szCs w:val="20"/>
          <w:color w:val="auto"/>
        </w:rPr>
      </w:pPr>
    </w:p>
    <w:p>
      <w:pPr>
        <w:ind w:left="747" w:hanging="742"/>
        <w:spacing w:after="0" w:line="277" w:lineRule="auto"/>
        <w:tabs>
          <w:tab w:leader="none" w:pos="726"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8"/>
          <w:szCs w:val="18"/>
          <w:color w:val="auto"/>
        </w:rPr>
        <w:t>Forms of agreements available for stock-based awards issued under the 2001 and 2004 Stock Incentive Plans. (Incorporated by reference from Form 10-K for 2007; Accession No. 0000950133-08-000389.)</w:t>
      </w:r>
    </w:p>
    <w:p>
      <w:pPr>
        <w:spacing w:after="0" w:line="170"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Annual Incentive Compensation Pool. (Incorporated by reference from Form DEF 14A; Accession No. 0001113169-03-000001.)</w:t>
      </w:r>
    </w:p>
    <w:p>
      <w:pPr>
        <w:spacing w:after="0" w:line="225" w:lineRule="exact"/>
        <w:rPr>
          <w:sz w:val="20"/>
          <w:szCs w:val="20"/>
          <w:color w:val="auto"/>
        </w:rPr>
      </w:pPr>
    </w:p>
    <w:p>
      <w:pPr>
        <w:ind w:left="747" w:right="680" w:hanging="742"/>
        <w:spacing w:after="0" w:line="277" w:lineRule="auto"/>
        <w:tabs>
          <w:tab w:leader="none" w:pos="726"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8"/>
          <w:szCs w:val="18"/>
          <w:color w:val="auto"/>
        </w:rPr>
        <w:t>Consulting Agreement dated January 31, 2006, with James S. Riepe. (Incorporated by reference from Form 8-K Current Report as of January 31, 2006; Accession No. 0000950133-06-000434.)</w:t>
      </w:r>
    </w:p>
    <w:p>
      <w:pPr>
        <w:spacing w:after="0" w:line="170" w:lineRule="exact"/>
        <w:rPr>
          <w:sz w:val="20"/>
          <w:szCs w:val="20"/>
          <w:color w:val="auto"/>
        </w:rPr>
      </w:pPr>
    </w:p>
    <w:p>
      <w:pPr>
        <w:ind w:left="747" w:right="520" w:hanging="742"/>
        <w:spacing w:after="0" w:line="277" w:lineRule="auto"/>
        <w:tabs>
          <w:tab w:leader="none" w:pos="726"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8"/>
          <w:szCs w:val="18"/>
          <w:color w:val="auto"/>
        </w:rPr>
        <w:t>Consulting Agreement dated January 23, 2007, with George A. Roche. (Incorporated by reference from Form 8-K Current Report as of January 23, 2007; Accession No. 0000950133-07-000205.)</w:t>
      </w:r>
    </w:p>
    <w:p>
      <w:pPr>
        <w:spacing w:after="0" w:line="170" w:lineRule="exact"/>
        <w:rPr>
          <w:sz w:val="20"/>
          <w:szCs w:val="20"/>
          <w:color w:val="auto"/>
        </w:rPr>
      </w:pPr>
    </w:p>
    <w:p>
      <w:pPr>
        <w:ind w:left="747" w:right="200" w:hanging="747"/>
        <w:spacing w:after="0" w:line="277" w:lineRule="auto"/>
        <w:tabs>
          <w:tab w:leader="none" w:pos="74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Code of Ethics for Principal Executive Officer and Senior Financial Officers of T. Rowe Price Group, Inc. under the Sarbanes-Oxley Act of 2002. (Incorporated by reference from Form 10-K for 2007; Accession No. 0000950133-08-000389.)</w:t>
      </w:r>
    </w:p>
    <w:p>
      <w:pPr>
        <w:spacing w:after="0" w:line="170" w:lineRule="exact"/>
        <w:rPr>
          <w:sz w:val="20"/>
          <w:szCs w:val="20"/>
          <w:color w:val="auto"/>
        </w:rPr>
      </w:pPr>
    </w:p>
    <w:p>
      <w:pPr>
        <w:ind w:left="7"/>
        <w:spacing w:after="0"/>
        <w:tabs>
          <w:tab w:leader="none" w:pos="726"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 Rowe Price Group, Inc.</w:t>
      </w:r>
    </w:p>
    <w:p>
      <w:pPr>
        <w:spacing w:after="0" w:line="225" w:lineRule="exact"/>
        <w:rPr>
          <w:sz w:val="20"/>
          <w:szCs w:val="20"/>
          <w:color w:val="auto"/>
        </w:rPr>
      </w:pPr>
    </w:p>
    <w:p>
      <w:pPr>
        <w:ind w:left="7" w:right="4940" w:hanging="7"/>
        <w:spacing w:after="0" w:line="530" w:lineRule="auto"/>
        <w:tabs>
          <w:tab w:leader="none" w:pos="75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Consent of Independent Registered Public Accounting Firm, KPMG LLP. 31(i).1 Rule 13a-14(a) Certification of Principal Executive Officer.</w:t>
      </w:r>
    </w:p>
    <w:p>
      <w:pPr>
        <w:ind w:left="7"/>
        <w:spacing w:after="0"/>
        <w:rPr>
          <w:rFonts w:ascii="Arial" w:cs="Arial" w:eastAsia="Arial" w:hAnsi="Arial"/>
          <w:sz w:val="17"/>
          <w:szCs w:val="17"/>
          <w:color w:val="auto"/>
        </w:rPr>
      </w:pPr>
      <w:r>
        <w:rPr>
          <w:rFonts w:ascii="Arial" w:cs="Arial" w:eastAsia="Arial" w:hAnsi="Arial"/>
          <w:sz w:val="18"/>
          <w:szCs w:val="18"/>
          <w:color w:val="auto"/>
        </w:rPr>
        <w:t>31(i).2   Rule 13a-14(a) Certification of Principal Financial Officer.</w:t>
      </w:r>
    </w:p>
    <w:p>
      <w:pPr>
        <w:spacing w:after="0" w:line="225" w:lineRule="exact"/>
        <w:rPr>
          <w:rFonts w:ascii="Arial" w:cs="Arial" w:eastAsia="Arial" w:hAnsi="Arial"/>
          <w:sz w:val="17"/>
          <w:szCs w:val="17"/>
          <w:color w:val="auto"/>
        </w:rPr>
      </w:pPr>
    </w:p>
    <w:p>
      <w:pPr>
        <w:ind w:left="747" w:hanging="747"/>
        <w:spacing w:after="0"/>
        <w:tabs>
          <w:tab w:leader="none" w:pos="747"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Section 1350 Certifications.</w:t>
      </w:r>
    </w:p>
    <w:p>
      <w:pPr>
        <w:spacing w:after="0" w:line="225" w:lineRule="exact"/>
        <w:rPr>
          <w:sz w:val="20"/>
          <w:szCs w:val="20"/>
          <w:color w:val="auto"/>
        </w:rPr>
      </w:pPr>
    </w:p>
    <w:p>
      <w:pPr>
        <w:ind w:left="747" w:right="40" w:hanging="747"/>
        <w:spacing w:after="0" w:line="342" w:lineRule="auto"/>
        <w:tabs>
          <w:tab w:leader="none" w:pos="747"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following series of unaudited XBRL-formatted documents are collectively included herewith as Exhibit 101. The financial information is extracted from T. Rowe Price Group’s consolidated financial statements and notes that are included in this Form 10-K Report.</w:t>
      </w:r>
    </w:p>
    <w:p>
      <w:pPr>
        <w:spacing w:after="0" w:line="124" w:lineRule="exact"/>
        <w:rPr>
          <w:sz w:val="20"/>
          <w:szCs w:val="20"/>
          <w:color w:val="auto"/>
        </w:rPr>
      </w:pPr>
    </w:p>
    <w:tbl>
      <w:tblPr>
        <w:tblLayout w:type="fixed"/>
        <w:tblInd w:w="747" w:type="dxa"/>
        <w:tblCellMar>
          <w:top w:w="0" w:type="dxa"/>
          <w:left w:w="0" w:type="dxa"/>
          <w:bottom w:w="0" w:type="dxa"/>
          <w:right w:w="0" w:type="dxa"/>
        </w:tblCellMar>
      </w:tblPr>
      <w:tr>
        <w:trPr>
          <w:trHeight w:val="230"/>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480" w:type="dxa"/>
            <w:vAlign w:val="bottom"/>
          </w:tcPr>
          <w:p>
            <w:pPr>
              <w:ind w:left="20"/>
              <w:spacing w:after="0"/>
              <w:rPr>
                <w:sz w:val="20"/>
                <w:szCs w:val="20"/>
                <w:color w:val="auto"/>
              </w:rPr>
            </w:pPr>
            <w:r>
              <w:rPr>
                <w:rFonts w:ascii="Arial" w:cs="Arial" w:eastAsia="Arial" w:hAnsi="Arial"/>
                <w:sz w:val="18"/>
                <w:szCs w:val="18"/>
                <w:color w:val="auto"/>
              </w:rPr>
              <w:t>INS</w:t>
            </w:r>
          </w:p>
        </w:tc>
        <w:tc>
          <w:tcPr>
            <w:tcW w:w="6560" w:type="dxa"/>
            <w:vAlign w:val="bottom"/>
          </w:tcPr>
          <w:p>
            <w:pPr>
              <w:ind w:left="100"/>
              <w:spacing w:after="0"/>
              <w:rPr>
                <w:sz w:val="20"/>
                <w:szCs w:val="20"/>
                <w:color w:val="auto"/>
              </w:rPr>
            </w:pPr>
            <w:r>
              <w:rPr>
                <w:rFonts w:ascii="Arial" w:cs="Arial" w:eastAsia="Arial" w:hAnsi="Arial"/>
                <w:sz w:val="18"/>
                <w:szCs w:val="18"/>
                <w:color w:val="auto"/>
              </w:rPr>
              <w:t>XBRL Instance Document (File name: trow-20091231.xml)</w:t>
            </w:r>
          </w:p>
        </w:tc>
      </w:tr>
      <w:tr>
        <w:trPr>
          <w:trHeight w:val="432"/>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480" w:type="dxa"/>
            <w:vAlign w:val="bottom"/>
          </w:tcPr>
          <w:p>
            <w:pPr>
              <w:ind w:left="20"/>
              <w:spacing w:after="0"/>
              <w:rPr>
                <w:sz w:val="20"/>
                <w:szCs w:val="20"/>
                <w:color w:val="auto"/>
              </w:rPr>
            </w:pPr>
            <w:r>
              <w:rPr>
                <w:rFonts w:ascii="Arial" w:cs="Arial" w:eastAsia="Arial" w:hAnsi="Arial"/>
                <w:sz w:val="18"/>
                <w:szCs w:val="18"/>
                <w:color w:val="auto"/>
              </w:rPr>
              <w:t>SCH</w:t>
            </w:r>
          </w:p>
        </w:tc>
        <w:tc>
          <w:tcPr>
            <w:tcW w:w="656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 (File name: trow-20091231.xsd)</w:t>
            </w:r>
          </w:p>
        </w:tc>
      </w:tr>
      <w:tr>
        <w:trPr>
          <w:trHeight w:val="432"/>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480" w:type="dxa"/>
            <w:vAlign w:val="bottom"/>
          </w:tcPr>
          <w:p>
            <w:pPr>
              <w:ind w:left="20"/>
              <w:spacing w:after="0"/>
              <w:rPr>
                <w:sz w:val="20"/>
                <w:szCs w:val="20"/>
                <w:color w:val="auto"/>
              </w:rPr>
            </w:pPr>
            <w:r>
              <w:rPr>
                <w:rFonts w:ascii="Arial" w:cs="Arial" w:eastAsia="Arial" w:hAnsi="Arial"/>
                <w:sz w:val="18"/>
                <w:szCs w:val="18"/>
                <w:color w:val="auto"/>
              </w:rPr>
              <w:t>CAL</w:t>
            </w:r>
          </w:p>
        </w:tc>
        <w:tc>
          <w:tcPr>
            <w:tcW w:w="6560" w:type="dxa"/>
            <w:vAlign w:val="bottom"/>
          </w:tcPr>
          <w:p>
            <w:pPr>
              <w:ind w:left="100"/>
              <w:spacing w:after="0"/>
              <w:rPr>
                <w:sz w:val="20"/>
                <w:szCs w:val="20"/>
                <w:color w:val="auto"/>
              </w:rPr>
            </w:pPr>
            <w:r>
              <w:rPr>
                <w:rFonts w:ascii="Arial" w:cs="Arial" w:eastAsia="Arial" w:hAnsi="Arial"/>
                <w:sz w:val="18"/>
                <w:szCs w:val="18"/>
                <w:color w:val="auto"/>
                <w:w w:val="93"/>
              </w:rPr>
              <w:t>XBRL Taxonomy Calculation Linkbase Document (File name: trow-20091231_cal.xml)</w:t>
            </w:r>
          </w:p>
        </w:tc>
      </w:tr>
      <w:tr>
        <w:trPr>
          <w:trHeight w:val="432"/>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480" w:type="dxa"/>
            <w:vAlign w:val="bottom"/>
          </w:tcPr>
          <w:p>
            <w:pPr>
              <w:ind w:left="20"/>
              <w:spacing w:after="0"/>
              <w:rPr>
                <w:sz w:val="20"/>
                <w:szCs w:val="20"/>
                <w:color w:val="auto"/>
              </w:rPr>
            </w:pPr>
            <w:r>
              <w:rPr>
                <w:rFonts w:ascii="Arial" w:cs="Arial" w:eastAsia="Arial" w:hAnsi="Arial"/>
                <w:sz w:val="18"/>
                <w:szCs w:val="18"/>
                <w:color w:val="auto"/>
              </w:rPr>
              <w:t>LAB</w:t>
            </w:r>
          </w:p>
        </w:tc>
        <w:tc>
          <w:tcPr>
            <w:tcW w:w="6560" w:type="dxa"/>
            <w:vAlign w:val="bottom"/>
          </w:tcPr>
          <w:p>
            <w:pPr>
              <w:ind w:left="100"/>
              <w:spacing w:after="0"/>
              <w:rPr>
                <w:sz w:val="20"/>
                <w:szCs w:val="20"/>
                <w:color w:val="auto"/>
              </w:rPr>
            </w:pPr>
            <w:r>
              <w:rPr>
                <w:rFonts w:ascii="Arial" w:cs="Arial" w:eastAsia="Arial" w:hAnsi="Arial"/>
                <w:sz w:val="18"/>
                <w:szCs w:val="18"/>
                <w:color w:val="auto"/>
              </w:rPr>
              <w:t>XBRL Taxonomy Label Linkbase Document (File name: trow-20091231_lab.xml)</w:t>
            </w:r>
          </w:p>
        </w:tc>
      </w:tr>
      <w:tr>
        <w:trPr>
          <w:trHeight w:val="432"/>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480" w:type="dxa"/>
            <w:vAlign w:val="bottom"/>
          </w:tcPr>
          <w:p>
            <w:pPr>
              <w:ind w:left="20"/>
              <w:spacing w:after="0"/>
              <w:rPr>
                <w:sz w:val="20"/>
                <w:szCs w:val="20"/>
                <w:color w:val="auto"/>
              </w:rPr>
            </w:pPr>
            <w:r>
              <w:rPr>
                <w:rFonts w:ascii="Arial" w:cs="Arial" w:eastAsia="Arial" w:hAnsi="Arial"/>
                <w:sz w:val="18"/>
                <w:szCs w:val="18"/>
                <w:color w:val="auto"/>
              </w:rPr>
              <w:t>PRE</w:t>
            </w:r>
          </w:p>
        </w:tc>
        <w:tc>
          <w:tcPr>
            <w:tcW w:w="6560" w:type="dxa"/>
            <w:vAlign w:val="bottom"/>
          </w:tcPr>
          <w:p>
            <w:pPr>
              <w:ind w:left="100"/>
              <w:spacing w:after="0"/>
              <w:rPr>
                <w:sz w:val="20"/>
                <w:szCs w:val="20"/>
                <w:color w:val="auto"/>
              </w:rPr>
            </w:pPr>
            <w:r>
              <w:rPr>
                <w:rFonts w:ascii="Arial" w:cs="Arial" w:eastAsia="Arial" w:hAnsi="Arial"/>
                <w:sz w:val="18"/>
                <w:szCs w:val="18"/>
                <w:color w:val="auto"/>
                <w:w w:val="91"/>
              </w:rPr>
              <w:t>XBRL Taxonomy Presentation Linkbase Document (File name: trow-20091231_pre.xml)</w:t>
            </w:r>
          </w:p>
        </w:tc>
      </w:tr>
      <w:tr>
        <w:trPr>
          <w:trHeight w:val="432"/>
        </w:trPr>
        <w:tc>
          <w:tcPr>
            <w:tcW w:w="340" w:type="dxa"/>
            <w:vAlign w:val="bottom"/>
          </w:tcPr>
          <w:p>
            <w:pPr>
              <w:jc w:val="right"/>
              <w:spacing w:after="0"/>
              <w:rPr>
                <w:sz w:val="20"/>
                <w:szCs w:val="20"/>
                <w:color w:val="auto"/>
              </w:rPr>
            </w:pPr>
            <w:r>
              <w:rPr>
                <w:rFonts w:ascii="Arial" w:cs="Arial" w:eastAsia="Arial" w:hAnsi="Arial"/>
                <w:sz w:val="18"/>
                <w:szCs w:val="18"/>
                <w:color w:val="auto"/>
                <w:w w:val="85"/>
              </w:rPr>
              <w:t>101.</w:t>
            </w:r>
          </w:p>
        </w:tc>
        <w:tc>
          <w:tcPr>
            <w:tcW w:w="480" w:type="dxa"/>
            <w:vAlign w:val="bottom"/>
          </w:tcPr>
          <w:p>
            <w:pPr>
              <w:ind w:left="20"/>
              <w:spacing w:after="0"/>
              <w:rPr>
                <w:sz w:val="20"/>
                <w:szCs w:val="20"/>
                <w:color w:val="auto"/>
              </w:rPr>
            </w:pPr>
            <w:r>
              <w:rPr>
                <w:rFonts w:ascii="Arial" w:cs="Arial" w:eastAsia="Arial" w:hAnsi="Arial"/>
                <w:sz w:val="18"/>
                <w:szCs w:val="18"/>
                <w:color w:val="auto"/>
              </w:rPr>
              <w:t>DEF</w:t>
            </w:r>
          </w:p>
        </w:tc>
        <w:tc>
          <w:tcPr>
            <w:tcW w:w="6560" w:type="dxa"/>
            <w:vAlign w:val="bottom"/>
          </w:tcPr>
          <w:p>
            <w:pPr>
              <w:ind w:left="100"/>
              <w:spacing w:after="0"/>
              <w:rPr>
                <w:sz w:val="20"/>
                <w:szCs w:val="20"/>
                <w:color w:val="auto"/>
              </w:rPr>
            </w:pPr>
            <w:r>
              <w:rPr>
                <w:rFonts w:ascii="Arial" w:cs="Arial" w:eastAsia="Arial" w:hAnsi="Arial"/>
                <w:sz w:val="18"/>
                <w:szCs w:val="18"/>
                <w:color w:val="auto"/>
                <w:w w:val="95"/>
              </w:rPr>
              <w:t>XBRL Taxonomy Definition Linkbase Document (File name: trow-20091231_def.xml)</w:t>
            </w:r>
          </w:p>
        </w:tc>
      </w:tr>
      <w:tr>
        <w:trPr>
          <w:trHeight w:val="405"/>
        </w:trPr>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560" w:type="dxa"/>
            <w:vAlign w:val="bottom"/>
          </w:tcPr>
          <w:p>
            <w:pPr>
              <w:ind w:left="3540"/>
              <w:spacing w:after="0"/>
              <w:rPr>
                <w:sz w:val="20"/>
                <w:szCs w:val="20"/>
                <w:color w:val="auto"/>
              </w:rPr>
            </w:pPr>
            <w:r>
              <w:rPr>
                <w:rFonts w:ascii="Arial" w:cs="Arial" w:eastAsia="Arial" w:hAnsi="Arial"/>
                <w:sz w:val="18"/>
                <w:szCs w:val="18"/>
                <w:color w:val="auto"/>
              </w:rPr>
              <w:t>- 41 -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135255</wp:posOffset>
            </wp:positionV>
            <wp:extent cx="7246620" cy="4763"/>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007"/>
          </w:cols>
          <w:pgMar w:left="653" w:top="1152" w:right="239" w:bottom="0"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5,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By: /s/ James A.C. Kennedy, Chief Executive Officer and President</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5, 2010.</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 Chief Executive Officer and President,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T. Brady,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 Alfred Broaddus,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Donald B. Hebb, Jr.,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Alfred Sommer,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 Vice President and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Joseph P. Croteau, Vice President and Treasurer</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(Principal Accounting Officer)</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300"/>
          </w:cols>
          <w:pgMar w:left="240" w:top="959" w:right="35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3660" w:type="dxa"/>
            <w:vAlign w:val="bottom"/>
          </w:tcPr>
          <w:p>
            <w:pPr>
              <w:jc w:val="right"/>
              <w:spacing w:after="0"/>
              <w:rPr>
                <w:sz w:val="20"/>
                <w:szCs w:val="20"/>
                <w:color w:val="auto"/>
              </w:rPr>
            </w:pPr>
            <w:r>
              <w:rPr>
                <w:rFonts w:ascii="Arial" w:cs="Arial" w:eastAsia="Arial" w:hAnsi="Arial"/>
                <w:sz w:val="18"/>
                <w:szCs w:val="18"/>
                <w:color w:val="auto"/>
              </w:rPr>
              <w:t>EXHIBIT 21</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DECEMBER 31, 2009</w:t>
            </w:r>
          </w:p>
        </w:tc>
        <w:tc>
          <w:tcPr>
            <w:tcW w:w="3660" w:type="dxa"/>
            <w:vAlign w:val="bottom"/>
          </w:tcPr>
          <w:p>
            <w:pPr>
              <w:spacing w:after="0"/>
              <w:rPr>
                <w:sz w:val="20"/>
                <w:szCs w:val="20"/>
                <w:color w:val="auto"/>
              </w:rPr>
            </w:pPr>
          </w:p>
        </w:tc>
      </w:tr>
      <w:tr>
        <w:trPr>
          <w:trHeight w:val="365"/>
        </w:trPr>
        <w:tc>
          <w:tcPr>
            <w:tcW w:w="7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Subsidiary companies and place of incorporation</w:t>
            </w:r>
          </w:p>
        </w:tc>
        <w:tc>
          <w:tcPr>
            <w:tcW w:w="3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Ownership</w:t>
            </w:r>
          </w:p>
        </w:tc>
      </w:tr>
      <w:tr>
        <w:trPr>
          <w:trHeight w:val="209"/>
        </w:trPr>
        <w:tc>
          <w:tcPr>
            <w:tcW w:w="7760" w:type="dxa"/>
            <w:vAlign w:val="bottom"/>
          </w:tcPr>
          <w:p>
            <w:pPr>
              <w:spacing w:after="0"/>
              <w:rPr>
                <w:sz w:val="20"/>
                <w:szCs w:val="20"/>
                <w:color w:val="auto"/>
              </w:rPr>
            </w:pPr>
            <w:r>
              <w:rPr>
                <w:rFonts w:ascii="Arial" w:cs="Arial" w:eastAsia="Arial" w:hAnsi="Arial"/>
                <w:sz w:val="18"/>
                <w:szCs w:val="18"/>
                <w:color w:val="auto"/>
              </w:rPr>
              <w:t>T. Rowe Price Advisory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spacing w:after="0"/>
              <w:rPr>
                <w:sz w:val="20"/>
                <w:szCs w:val="20"/>
                <w:color w:val="auto"/>
              </w:rPr>
            </w:pPr>
            <w:r>
              <w:rPr>
                <w:rFonts w:ascii="Arial" w:cs="Arial" w:eastAsia="Arial" w:hAnsi="Arial"/>
                <w:sz w:val="18"/>
                <w:szCs w:val="18"/>
                <w:color w:val="auto"/>
              </w:rPr>
              <w:t>T. Rowe Price Associates,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(Canada),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Investment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Retirement Plan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Savings Bank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Services,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 Rowe Price International,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16"/>
        </w:trPr>
        <w:tc>
          <w:tcPr>
            <w:tcW w:w="7760" w:type="dxa"/>
            <w:vAlign w:val="bottom"/>
          </w:tcPr>
          <w:p>
            <w:pPr>
              <w:ind w:left="220"/>
              <w:spacing w:after="0"/>
              <w:rPr>
                <w:sz w:val="20"/>
                <w:szCs w:val="20"/>
                <w:color w:val="auto"/>
              </w:rPr>
            </w:pPr>
            <w:r>
              <w:rPr>
                <w:rFonts w:ascii="Arial" w:cs="Arial" w:eastAsia="Arial" w:hAnsi="Arial"/>
                <w:sz w:val="18"/>
                <w:szCs w:val="18"/>
                <w:color w:val="auto"/>
              </w:rPr>
              <w:t>TRP Suburban Second, Inc. (Maryland)</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T. Rowe Price Global Investment Services Limited (United Kingdom)</w:t>
            </w:r>
          </w:p>
        </w:tc>
        <w:tc>
          <w:tcPr>
            <w:tcW w:w="3660" w:type="dxa"/>
            <w:vAlign w:val="bottom"/>
          </w:tcPr>
          <w:p>
            <w:pPr>
              <w:jc w:val="right"/>
              <w:ind w:right="91"/>
              <w:spacing w:after="0"/>
              <w:rPr>
                <w:sz w:val="20"/>
                <w:szCs w:val="20"/>
                <w:color w:val="auto"/>
              </w:rPr>
            </w:pPr>
            <w:r>
              <w:rPr>
                <w:rFonts w:ascii="Arial" w:cs="Arial" w:eastAsia="Arial" w:hAnsi="Arial"/>
                <w:sz w:val="18"/>
                <w:szCs w:val="18"/>
                <w:color w:val="auto"/>
              </w:rPr>
              <w:t>100%</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34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incorporation by reference in the registration statements on Form S-8 (No. 33-7012, No. 33-72568, No. 333-20333, No. 333-90967,</w:t>
      </w:r>
    </w:p>
    <w:p>
      <w:pPr>
        <w:spacing w:after="0" w:line="35"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No. 333-59714, No. 333-120882, No. 333-120883 and No. 333-142092) of T. Rowe Price Group, Inc. of our reports dated February 5, 2010, with respect to the consolidated balance sheets of T. Rowe Price Group, Inc. and subsidiaries as of December 31, 2009 and 2008, and the related consolidated statements of income, stockholders’ equity and cash flows for each of the years in the three-year period ended December 31, 2009, and the effectiveness of internal control over financial reporting as of December 31, 2009, which reports appear in the December 31, 2009 Annual Report on Form 10-K of T. Rowe Price Group, Inc.</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ectPr>
          <w:pgSz w:w="11900" w:h="16838" w:orient="portrait"/>
          <w:cols w:equalWidth="0" w:num="1">
            <w:col w:w="11420"/>
          </w:cols>
          <w:pgMar w:left="240" w:top="125"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Exhibit 31(i).1 Rule 13a-14(a) Certification of Principal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James A. C. Kennedy, certify that:</w:t>
      </w:r>
    </w:p>
    <w:p>
      <w:pPr>
        <w:spacing w:after="0" w:line="11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2009 of T. Rowe Price Group, Inc.;</w:t>
      </w:r>
    </w:p>
    <w:p>
      <w:pPr>
        <w:spacing w:after="0" w:line="117"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firstLine="218"/>
        <w:spacing w:after="0" w:line="264" w:lineRule="auto"/>
        <w:tabs>
          <w:tab w:leader="none" w:pos="117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160" w:firstLine="218"/>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520" w:firstLine="218"/>
        <w:spacing w:after="0" w:line="342" w:lineRule="auto"/>
        <w:tabs>
          <w:tab w:leader="none" w:pos="117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00" w:firstLine="218"/>
        <w:spacing w:after="0" w:line="264"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740" w:firstLine="218"/>
        <w:spacing w:after="0" w:line="308" w:lineRule="auto"/>
        <w:tabs>
          <w:tab w:leader="none" w:pos="1170"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700" w:right="420" w:firstLine="218"/>
        <w:spacing w:after="0" w:line="277" w:lineRule="auto"/>
        <w:tabs>
          <w:tab w:leader="none" w:pos="11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380"/>
          </w:cols>
          <w:pgMar w:left="240" w:top="125" w:right="27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Exhibit 31(i).2 Rule 13a-14(a) Certification of Principal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2009 of T. Rowe Price Group, Inc.;</w:t>
      </w:r>
    </w:p>
    <w:p>
      <w:pPr>
        <w:spacing w:after="0" w:line="117" w:lineRule="exact"/>
        <w:rPr>
          <w:rFonts w:ascii="Arial" w:cs="Arial" w:eastAsia="Arial" w:hAnsi="Arial"/>
          <w:sz w:val="18"/>
          <w:szCs w:val="18"/>
          <w:color w:val="auto"/>
        </w:rPr>
      </w:pPr>
    </w:p>
    <w:p>
      <w:pPr>
        <w:jc w:val="both"/>
        <w:ind w:left="460" w:right="46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460" w:right="40" w:hanging="452"/>
        <w:spacing w:after="0" w:line="264"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700" w:firstLine="218"/>
        <w:spacing w:after="0" w:line="264" w:lineRule="auto"/>
        <w:tabs>
          <w:tab w:leader="none" w:pos="117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00" w:right="160" w:firstLine="218"/>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00" w:right="520" w:firstLine="218"/>
        <w:spacing w:after="0" w:line="342" w:lineRule="auto"/>
        <w:tabs>
          <w:tab w:leader="none" w:pos="117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700" w:firstLine="218"/>
        <w:spacing w:after="0" w:line="264"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460" w:right="340" w:hanging="452"/>
        <w:spacing w:after="0" w:line="308"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700" w:right="740" w:firstLine="218"/>
        <w:spacing w:after="0" w:line="308" w:lineRule="auto"/>
        <w:tabs>
          <w:tab w:leader="none" w:pos="117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700" w:right="420" w:firstLine="218"/>
        <w:spacing w:after="0" w:line="277" w:lineRule="auto"/>
        <w:tabs>
          <w:tab w:leader="none" w:pos="11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380"/>
          </w:cols>
          <w:pgMar w:left="240" w:top="125" w:right="279" w:bottom="1440" w:gutter="0" w:footer="0" w:header="0"/>
        </w:sectPr>
      </w:pPr>
    </w:p>
    <w:bookmarkStart w:id="47" w:name="page48"/>
    <w:bookmarkEnd w:id="47"/>
    <w:p>
      <w:pPr>
        <w:spacing w:after="0"/>
        <w:tabs>
          <w:tab w:leader="none" w:pos="94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2009 of T. Rowe Price Group, Inc., that:</w:t>
      </w:r>
    </w:p>
    <w:p>
      <w:pPr>
        <w:spacing w:after="0" w:line="62"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40" w:firstLine="8"/>
        <w:spacing w:after="0" w:line="277" w:lineRule="auto"/>
        <w:tabs>
          <w:tab w:leader="none" w:pos="25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5,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Chief Executive Officer and President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Vice President and Chief Financial Officer</w:t>
      </w:r>
    </w:p>
    <w:p>
      <w:pPr>
        <w:spacing w:after="0" w:line="10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lvl w:ilvl="1">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4"/>
    </w:lvl>
  </w:abstractNum>
  <w:abstractNum w:abstractNumId="11">
    <w:nsid w:val="7FDCC233"/>
    <w:multiLevelType w:val="hybridMultilevel"/>
    <w:lvl w:ilvl="0">
      <w:lvlJc w:val="left"/>
      <w:lvlText w:val="%1"/>
      <w:numFmt w:val="decimal"/>
      <w:start w:val="23"/>
    </w:lvl>
  </w:abstractNum>
  <w:abstractNum w:abstractNumId="12">
    <w:nsid w:val="1BEFD79F"/>
    <w:multiLevelType w:val="hybridMultilevel"/>
    <w:lvl w:ilvl="0">
      <w:lvlJc w:val="left"/>
      <w:lvlText w:val="%1"/>
      <w:numFmt w:val="decimal"/>
      <w:start w:val="32"/>
    </w:lvl>
  </w:abstractNum>
  <w:abstractNum w:abstractNumId="13">
    <w:nsid w:val="41A7C4C9"/>
    <w:multiLevelType w:val="hybridMultilevel"/>
    <w:lvl w:ilvl="0">
      <w:lvlJc w:val="left"/>
      <w:lvlText w:val="%1"/>
      <w:numFmt w:val="decimal"/>
      <w:start w:val="10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2019-12-10T18:35:05Z</dcterms:created>
  <dcterms:modified xsi:type="dcterms:W3CDTF">2019-12-10T18:35:05Z</dcterms:modified>
</cp:coreProperties>
</file>