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60"/>
          </w:cols>
          <w:pgMar w:left="320" w:top="1236" w:right="319" w:bottom="1440" w:gutter="0" w:footer="0" w:header="0"/>
        </w:sectPr>
      </w:pPr>
    </w:p>
    <w:p>
      <w:pPr>
        <w:spacing w:after="0" w:line="126"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300" w:space="720"/>
            <w:col w:w="3240"/>
          </w:cols>
          <w:pgMar w:left="320" w:top="1236" w:right="319" w:bottom="1440" w:gutter="0" w:footer="0" w:header="0"/>
          <w:type w:val="continuous"/>
        </w:sectPr>
      </w:pPr>
    </w:p>
    <w:p>
      <w:pPr>
        <w:ind w:left="192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600" w:space="720"/>
            <w:col w:w="3940"/>
          </w:cols>
          <w:pgMar w:left="320" w:top="1236"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1307 Point Street, Baltimore, Maryland 21231</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3"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TROW</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50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5" w:lineRule="exact"/>
        <w:rPr>
          <w:sz w:val="24"/>
          <w:szCs w:val="24"/>
          <w:color w:val="auto"/>
        </w:rPr>
      </w:pPr>
    </w:p>
    <w:p>
      <w:pPr>
        <w:ind w:right="1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60"/>
        <w:spacing w:after="0" w:line="213"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($0.20 par value), as of the latest practicable date, April 28, 2026, is 214,266,606.</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236" w:right="31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12/31/2025</w:t>
            </w:r>
          </w:p>
        </w:tc>
        <w:tc>
          <w:tcPr>
            <w:tcW w:w="0" w:type="dxa"/>
            <w:vAlign w:val="bottom"/>
          </w:tcPr>
          <w:p>
            <w:pPr>
              <w:spacing w:after="0"/>
              <w:rPr>
                <w:sz w:val="1"/>
                <w:szCs w:val="1"/>
                <w:color w:val="auto"/>
              </w:rPr>
            </w:pPr>
          </w:p>
        </w:tc>
      </w:tr>
      <w:tr>
        <w:trPr>
          <w:trHeight w:val="21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3,325.2</w:t>
            </w:r>
          </w:p>
        </w:tc>
        <w:tc>
          <w:tcPr>
            <w:tcW w:w="0" w:type="dxa"/>
            <w:vAlign w:val="bottom"/>
          </w:tcPr>
          <w:p>
            <w:pPr>
              <w:spacing w:after="0"/>
              <w:rPr>
                <w:sz w:val="1"/>
                <w:szCs w:val="1"/>
                <w:color w:val="auto"/>
              </w:rPr>
            </w:pPr>
          </w:p>
        </w:tc>
      </w:tr>
      <w:tr>
        <w:trPr>
          <w:trHeight w:val="175"/>
        </w:trPr>
        <w:tc>
          <w:tcPr>
            <w:tcW w:w="8200" w:type="dxa"/>
            <w:vAlign w:val="bottom"/>
          </w:tcPr>
          <w:p>
            <w:pPr>
              <w:ind w:left="140"/>
              <w:spacing w:after="0" w:line="176" w:lineRule="exact"/>
              <w:rPr>
                <w:sz w:val="20"/>
                <w:szCs w:val="20"/>
                <w:color w:val="auto"/>
              </w:rPr>
            </w:pPr>
            <w:r>
              <w:rPr>
                <w:rFonts w:ascii="Arial" w:cs="Arial" w:eastAsia="Arial" w:hAnsi="Arial"/>
                <w:sz w:val="18"/>
                <w:szCs w:val="18"/>
                <w:color w:val="auto"/>
              </w:rPr>
              <w:t>Assets of consolidated investment products ($1,550.8 million at March 31, 2026 and $1,596.1 million</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1,954.5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at December 31, 2025,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14,341.8</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176"/>
        </w:trPr>
        <w:tc>
          <w:tcPr>
            <w:tcW w:w="820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investment products ($98.0 million at March 31, 2026 and $14.2 million at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8200" w:type="dxa"/>
            <w:vAlign w:val="bottom"/>
          </w:tcPr>
          <w:p>
            <w:pPr>
              <w:ind w:left="140"/>
              <w:spacing w:after="0"/>
              <w:rPr>
                <w:sz w:val="20"/>
                <w:szCs w:val="20"/>
                <w:color w:val="auto"/>
              </w:rPr>
            </w:pPr>
            <w:r>
              <w:rPr>
                <w:rFonts w:ascii="Arial" w:cs="Arial" w:eastAsia="Arial" w:hAnsi="Arial"/>
                <w:sz w:val="18"/>
                <w:szCs w:val="18"/>
                <w:color w:val="auto"/>
              </w:rPr>
              <w:t>December 31, 2025,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70"/>
        </w:trPr>
        <w:tc>
          <w:tcPr>
            <w:tcW w:w="8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Preferred stock, undesignated, $0.20 par value — authorized and unissued 20,000,000 shares</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$0.20 par value — authorized 750,000,000; issued 214,880,000 shares at March 31,</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3"/>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 and 218,565,000 at December 31, 2025</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10,866.8</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attributable to T. Rowe Price Group</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10,860.1</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11,017.2</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14,393.0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14,341.8</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202"/>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3/31/2025</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1,598.4</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advisory fees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Capital allocation-based income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servicing, and other fees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1,763.9</w:t>
            </w:r>
          </w:p>
        </w:tc>
      </w:tr>
      <w:tr>
        <w:trPr>
          <w:trHeight w:val="142"/>
        </w:trPr>
        <w:tc>
          <w:tcPr>
            <w:tcW w:w="8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Distribution and servicing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General, administrative, and other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89.7</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w:t>
            </w:r>
          </w:p>
        </w:tc>
      </w:tr>
      <w:tr>
        <w:trPr>
          <w:trHeight w:val="142"/>
        </w:trPr>
        <w:tc>
          <w:tcPr>
            <w:tcW w:w="8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r>
      <w:tr>
        <w:trPr>
          <w:trHeight w:val="162"/>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(loss)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Net gains (losses)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gains (losses), including foreign currency gains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income (loss)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162"/>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net income (loss) attributable to redeemable 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on common stock of T. Rowe Price Group, Inc.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4760"/>
        <w:spacing w:after="0" w:line="279" w:lineRule="auto"/>
        <w:rPr>
          <w:sz w:val="20"/>
          <w:szCs w:val="20"/>
          <w:color w:val="auto"/>
        </w:rPr>
      </w:pPr>
      <w:r>
        <w:rPr>
          <w:rFonts w:ascii="Arial" w:cs="Arial" w:eastAsia="Arial" w:hAnsi="Arial"/>
          <w:sz w:val="18"/>
          <w:szCs w:val="18"/>
          <w:b w:val="1"/>
          <w:bCs w:val="1"/>
          <w:color w:val="auto"/>
        </w:rPr>
        <w:t>UNAUDITED CONSOLIDATED STATEMENTS OF COMPREHENSIVE INCOME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3/31/2025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Consolidated investment products—variable interest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(gains) losses recognized in non-operating income upon deconsolidation of certain</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products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Total currency translation adjustments of consolidated investment products—variable interest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comprehensive income (loss) attributable to redeemable non-controlling interests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 Rowe Price Group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40" w:type="dxa"/>
            <w:vAlign w:val="bottom"/>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and impairment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(gains) losses recognized on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rPr>
              <w:t>Net redemptions in investment products used to economically hedge deferred compensation</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8240" w:type="dxa"/>
            <w:vAlign w:val="bottom"/>
          </w:tcPr>
          <w:p>
            <w:pPr>
              <w:ind w:left="36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securities held by consolidated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cash of investment products upon deconsolidation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 to common stockholders and equity-unit holders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contributions (distributions) to non-controlling interests in consolidated entities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subscriptions from redeemable non-controlling interest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of consolidated investment products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176"/>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$39.1 million at December 31, 2025,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3,417.3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2,712.9</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$63.1 million at December 31, 2024, held by consolidated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$66.6 million at March 31, 2026, and $50.8</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3,796.4</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million at March 31, 2025, held by consolidated investment products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4820"/>
        <w:spacing w:after="0" w:line="279" w:lineRule="auto"/>
        <w:rPr>
          <w:sz w:val="20"/>
          <w:szCs w:val="20"/>
          <w:color w:val="auto"/>
        </w:rPr>
      </w:pPr>
      <w:r>
        <w:rPr>
          <w:rFonts w:ascii="Arial" w:cs="Arial" w:eastAsia="Arial" w:hAnsi="Arial"/>
          <w:sz w:val="18"/>
          <w:szCs w:val="18"/>
          <w:b w:val="1"/>
          <w:bCs w:val="1"/>
          <w:color w:val="auto"/>
        </w:rPr>
        <w:t>UNAUDITED CONSOLIDATED STATEMENTS OF STOCKHOLDERS’ EQUITY (shares in thousands; dollars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2520" w:type="dxa"/>
            <w:vAlign w:val="bottom"/>
            <w:tcBorders>
              <w:bottom w:val="single" w:sz="8" w:color="auto"/>
            </w:tcBorders>
            <w:gridSpan w:val="8"/>
            <w:shd w:val="clear" w:color="auto" w:fill="CCEEFF"/>
          </w:tcPr>
          <w:p>
            <w:pPr>
              <w:ind w:left="460"/>
              <w:spacing w:after="0"/>
              <w:rPr>
                <w:sz w:val="20"/>
                <w:szCs w:val="20"/>
                <w:color w:val="auto"/>
              </w:rPr>
            </w:pPr>
            <w:r>
              <w:rPr>
                <w:rFonts w:ascii="Arial" w:cs="Arial" w:eastAsia="Arial" w:hAnsi="Arial"/>
                <w:sz w:val="13"/>
                <w:szCs w:val="13"/>
                <w:b w:val="1"/>
                <w:bCs w:val="1"/>
                <w:color w:val="auto"/>
              </w:rPr>
              <w:t>Three months ended 3/31/2026</w:t>
            </w: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94"/>
              </w:rPr>
              <w:t>Additional</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equity</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0"/>
                <w:szCs w:val="10"/>
                <w:color w:val="auto"/>
              </w:rPr>
            </w:pPr>
          </w:p>
        </w:tc>
        <w:tc>
          <w:tcPr>
            <w:tcW w:w="7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9"/>
              </w:rPr>
              <w:t>capital in</w:t>
            </w:r>
          </w:p>
        </w:tc>
        <w:tc>
          <w:tcPr>
            <w:tcW w:w="8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attributable to</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permanent</w:t>
            </w:r>
          </w:p>
        </w:tc>
        <w:tc>
          <w:tcPr>
            <w:tcW w:w="120" w:type="dxa"/>
            <w:vAlign w:val="bottom"/>
          </w:tcPr>
          <w:p>
            <w:pPr>
              <w:spacing w:after="0"/>
              <w:rPr>
                <w:sz w:val="10"/>
                <w:szCs w:val="10"/>
                <w:color w:val="auto"/>
              </w:rPr>
            </w:pPr>
          </w:p>
        </w:tc>
        <w:tc>
          <w:tcPr>
            <w:tcW w:w="66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3"/>
            <w:vMerge w:val="continue"/>
          </w:tcPr>
          <w:p>
            <w:pPr>
              <w:spacing w:after="0"/>
              <w:rPr>
                <w:sz w:val="11"/>
                <w:szCs w:val="11"/>
                <w:color w:val="auto"/>
              </w:rPr>
            </w:pPr>
          </w:p>
        </w:tc>
        <w:tc>
          <w:tcPr>
            <w:tcW w:w="8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excess of</w:t>
            </w: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11"/>
                <w:szCs w:val="11"/>
                <w:color w:val="auto"/>
              </w:rPr>
            </w:pPr>
          </w:p>
        </w:tc>
        <w:tc>
          <w:tcPr>
            <w:tcW w:w="9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T. Rowe Price</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stockholders'</w:t>
            </w: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6"/>
        </w:trPr>
        <w:tc>
          <w:tcPr>
            <w:tcW w:w="37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4"/>
              </w:rPr>
              <w:t>stock</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7"/>
              </w:rPr>
              <w:t>Group</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6"/>
              </w:rPr>
              <w:t>entities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2025</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218,565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99"/>
              </w:rPr>
              <w:t>$ 10,866.8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11,017.2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1,036.0</w:t>
            </w:r>
          </w:p>
        </w:tc>
        <w:tc>
          <w:tcPr>
            <w:tcW w:w="0" w:type="dxa"/>
            <w:vAlign w:val="bottom"/>
          </w:tcPr>
          <w:p>
            <w:pPr>
              <w:spacing w:after="0"/>
              <w:rPr>
                <w:sz w:val="1"/>
                <w:szCs w:val="1"/>
                <w:color w:val="auto"/>
              </w:rPr>
            </w:pPr>
          </w:p>
        </w:tc>
      </w:tr>
      <w:tr>
        <w:trPr>
          <w:trHeight w:val="201"/>
        </w:trPr>
        <w:tc>
          <w:tcPr>
            <w:tcW w:w="37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498.2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509.6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1"/>
        </w:trPr>
        <w:tc>
          <w:tcPr>
            <w:tcW w:w="3700" w:type="dxa"/>
            <w:vAlign w:val="bottom"/>
          </w:tcPr>
          <w:p>
            <w:pPr>
              <w:ind w:left="20"/>
              <w:spacing w:after="0"/>
              <w:rPr>
                <w:sz w:val="20"/>
                <w:szCs w:val="20"/>
                <w:color w:val="auto"/>
              </w:rPr>
            </w:pPr>
            <w:r>
              <w:rPr>
                <w:rFonts w:ascii="Arial" w:cs="Arial" w:eastAsia="Arial" w:hAnsi="Arial"/>
                <w:sz w:val="14"/>
                <w:szCs w:val="14"/>
                <w:color w:val="auto"/>
              </w:rPr>
              <w:t>Dividends declared ($1.30 per share)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240"/>
              <w:spacing w:after="0"/>
              <w:rPr>
                <w:sz w:val="20"/>
                <w:szCs w:val="20"/>
                <w:color w:val="auto"/>
              </w:rPr>
            </w:pPr>
            <w:r>
              <w:rPr>
                <w:rFonts w:ascii="Arial" w:cs="Arial" w:eastAsia="Arial" w:hAnsi="Arial"/>
                <w:sz w:val="14"/>
                <w:szCs w:val="14"/>
                <w:color w:val="auto"/>
              </w:rPr>
              <w:t>Shares issued upon option exercises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rPr>
              <w:t>Net shares issued upon vesting of restricted stock</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units</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0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Restricted stock units issued as dividend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0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(3,694)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(49.4)</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distributions to non-controlling interests in</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70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154"/>
        </w:trPr>
        <w:tc>
          <w:tcPr>
            <w:tcW w:w="370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Net deconsolidations of T. Rowe Price investment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3"/>
                <w:szCs w:val="13"/>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(198.1)</w:t>
            </w:r>
          </w:p>
        </w:tc>
        <w:tc>
          <w:tcPr>
            <w:tcW w:w="0" w:type="dxa"/>
            <w:vAlign w:val="bottom"/>
          </w:tcPr>
          <w:p>
            <w:pPr>
              <w:spacing w:after="0"/>
              <w:rPr>
                <w:sz w:val="1"/>
                <w:szCs w:val="1"/>
                <w:color w:val="auto"/>
              </w:rPr>
            </w:pPr>
          </w:p>
        </w:tc>
      </w:tr>
      <w:tr>
        <w:trPr>
          <w:trHeight w:val="185"/>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tcPr>
          <w:p>
            <w:pPr>
              <w:ind w:left="20"/>
              <w:spacing w:after="0"/>
              <w:rPr>
                <w:sz w:val="20"/>
                <w:szCs w:val="20"/>
                <w:color w:val="auto"/>
              </w:rPr>
            </w:pPr>
            <w:r>
              <w:rPr>
                <w:rFonts w:ascii="Arial" w:cs="Arial" w:eastAsia="Arial" w:hAnsi="Arial"/>
                <w:sz w:val="14"/>
                <w:szCs w:val="14"/>
                <w:color w:val="auto"/>
              </w:rPr>
              <w:t>Balances at March 31, 2026</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214,880</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$ 10,786.1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80" w:type="dxa"/>
            <w:vAlign w:val="bottom"/>
          </w:tcPr>
          <w:p>
            <w:pPr>
              <w:spacing w:after="0"/>
              <w:rPr>
                <w:sz w:val="16"/>
                <w:szCs w:val="16"/>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10,777.6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10,935.2</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940.2</w:t>
            </w: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gridSpan w:val="8"/>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37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520" w:type="dxa"/>
            <w:vAlign w:val="bottom"/>
            <w:tcBorders>
              <w:bottom w:val="single" w:sz="8" w:color="auto"/>
            </w:tcBorders>
            <w:gridSpan w:val="8"/>
            <w:shd w:val="clear" w:color="auto" w:fill="CCEEFF"/>
          </w:tcPr>
          <w:p>
            <w:pPr>
              <w:ind w:left="460"/>
              <w:spacing w:after="0"/>
              <w:rPr>
                <w:sz w:val="20"/>
                <w:szCs w:val="20"/>
                <w:color w:val="auto"/>
              </w:rPr>
            </w:pPr>
            <w:r>
              <w:rPr>
                <w:rFonts w:ascii="Arial" w:cs="Arial" w:eastAsia="Arial" w:hAnsi="Arial"/>
                <w:sz w:val="13"/>
                <w:szCs w:val="13"/>
                <w:b w:val="1"/>
                <w:bCs w:val="1"/>
                <w:color w:val="auto"/>
              </w:rPr>
              <w:t>Three months ended 3/31/2025</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w w:val="94"/>
              </w:rPr>
              <w:t>Additional</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7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equity</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9"/>
              </w:rPr>
              <w:t>Common</w:t>
            </w:r>
          </w:p>
        </w:tc>
        <w:tc>
          <w:tcPr>
            <w:tcW w:w="100" w:type="dxa"/>
            <w:vAlign w:val="bottom"/>
          </w:tcPr>
          <w:p>
            <w:pPr>
              <w:spacing w:after="0"/>
              <w:rPr>
                <w:sz w:val="10"/>
                <w:szCs w:val="10"/>
                <w:color w:val="auto"/>
              </w:rPr>
            </w:pPr>
          </w:p>
        </w:tc>
        <w:tc>
          <w:tcPr>
            <w:tcW w:w="720" w:type="dxa"/>
            <w:vAlign w:val="bottom"/>
            <w:gridSpan w:val="2"/>
          </w:tcPr>
          <w:p>
            <w:pPr>
              <w:jc w:val="center"/>
              <w:ind w:right="160"/>
              <w:spacing w:after="0" w:line="122" w:lineRule="exact"/>
              <w:rPr>
                <w:sz w:val="20"/>
                <w:szCs w:val="20"/>
                <w:color w:val="auto"/>
              </w:rPr>
            </w:pPr>
            <w:r>
              <w:rPr>
                <w:rFonts w:ascii="Arial" w:cs="Arial" w:eastAsia="Arial" w:hAnsi="Arial"/>
                <w:sz w:val="13"/>
                <w:szCs w:val="13"/>
                <w:b w:val="1"/>
                <w:bCs w:val="1"/>
                <w:color w:val="auto"/>
                <w:w w:val="99"/>
              </w:rPr>
              <w:t>capital in</w:t>
            </w:r>
          </w:p>
        </w:tc>
        <w:tc>
          <w:tcPr>
            <w:tcW w:w="8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attributable to</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9"/>
              </w:rPr>
              <w:t>permanent</w:t>
            </w:r>
          </w:p>
        </w:tc>
        <w:tc>
          <w:tcPr>
            <w:tcW w:w="120" w:type="dxa"/>
            <w:vAlign w:val="bottom"/>
          </w:tcPr>
          <w:p>
            <w:pPr>
              <w:spacing w:after="0"/>
              <w:rPr>
                <w:sz w:val="10"/>
                <w:szCs w:val="10"/>
                <w:color w:val="auto"/>
              </w:rPr>
            </w:pPr>
          </w:p>
        </w:tc>
        <w:tc>
          <w:tcPr>
            <w:tcW w:w="660" w:type="dxa"/>
            <w:vAlign w:val="bottom"/>
          </w:tcPr>
          <w:p>
            <w:pPr>
              <w:jc w:val="center"/>
              <w:ind w:right="49"/>
              <w:spacing w:after="0" w:line="122"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3700" w:type="dxa"/>
            <w:vAlign w:val="bottom"/>
          </w:tcPr>
          <w:p>
            <w:pPr>
              <w:spacing w:after="0"/>
              <w:rPr>
                <w:sz w:val="10"/>
                <w:szCs w:val="10"/>
                <w:color w:val="auto"/>
              </w:rPr>
            </w:pPr>
          </w:p>
        </w:tc>
        <w:tc>
          <w:tcPr>
            <w:tcW w:w="86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3"/>
            <w:vMerge w:val="continue"/>
          </w:tcPr>
          <w:p>
            <w:pPr>
              <w:spacing w:after="0"/>
              <w:rPr>
                <w:sz w:val="10"/>
                <w:szCs w:val="10"/>
                <w:color w:val="auto"/>
              </w:rPr>
            </w:pPr>
          </w:p>
        </w:tc>
        <w:tc>
          <w:tcPr>
            <w:tcW w:w="82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94"/>
              </w:rPr>
              <w:t>excess of</w:t>
            </w: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AOCI</w:t>
            </w:r>
            <w:r>
              <w:rPr>
                <w:rFonts w:ascii="Arial" w:cs="Arial" w:eastAsia="Arial" w:hAnsi="Arial"/>
                <w:sz w:val="16"/>
                <w:szCs w:val="16"/>
                <w:b w:val="1"/>
                <w:bCs w:val="1"/>
                <w:color w:val="auto"/>
                <w:vertAlign w:val="superscript"/>
              </w:rPr>
              <w:t>(1)</w:t>
            </w:r>
          </w:p>
        </w:tc>
        <w:tc>
          <w:tcPr>
            <w:tcW w:w="96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T. Rowe Price</w:t>
            </w:r>
          </w:p>
        </w:tc>
        <w:tc>
          <w:tcPr>
            <w:tcW w:w="90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94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stockholders'</w:t>
            </w:r>
          </w:p>
        </w:tc>
        <w:tc>
          <w:tcPr>
            <w:tcW w:w="78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6"/>
                <w:szCs w:val="16"/>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stock</w:t>
            </w:r>
          </w:p>
        </w:tc>
        <w:tc>
          <w:tcPr>
            <w:tcW w:w="8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8"/>
              </w:rPr>
              <w:t>par value</w:t>
            </w: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Group</w:t>
            </w:r>
          </w:p>
        </w:tc>
        <w:tc>
          <w:tcPr>
            <w:tcW w:w="14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entities</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equity</w:t>
            </w:r>
          </w:p>
        </w:tc>
        <w:tc>
          <w:tcPr>
            <w:tcW w:w="120" w:type="dxa"/>
            <w:vAlign w:val="bottom"/>
          </w:tcPr>
          <w:p>
            <w:pPr>
              <w:spacing w:after="0"/>
              <w:rPr>
                <w:sz w:val="16"/>
                <w:szCs w:val="16"/>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196"/>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December 31, 2024</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222,966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311.9</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99"/>
              </w:rPr>
              <w:t>$ 10,040.6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10,345.4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10,506.1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490.5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490.1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color w:val="auto"/>
              </w:rPr>
              <w:t>Dividends declared ($1.27 per share)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240"/>
              <w:spacing w:after="0"/>
              <w:rPr>
                <w:sz w:val="20"/>
                <w:szCs w:val="20"/>
                <w:color w:val="auto"/>
              </w:rPr>
            </w:pPr>
            <w:r>
              <w:rPr>
                <w:rFonts w:ascii="Arial" w:cs="Arial" w:eastAsia="Arial" w:hAnsi="Arial"/>
                <w:sz w:val="14"/>
                <w:szCs w:val="14"/>
                <w:color w:val="auto"/>
              </w:rPr>
              <w:t>Shares issued upon option exercises</w:t>
            </w: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7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Net shares issued upon vesting of restricted stock</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units</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Restricted stock units issued as dividend equivalents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780" w:type="dxa"/>
            <w:vAlign w:val="bottom"/>
          </w:tcPr>
          <w:p>
            <w:pPr>
              <w:jc w:val="right"/>
              <w:spacing w:after="0"/>
              <w:rPr>
                <w:sz w:val="20"/>
                <w:szCs w:val="20"/>
                <w:color w:val="auto"/>
              </w:rPr>
            </w:pPr>
            <w:r>
              <w:rPr>
                <w:rFonts w:ascii="Arial" w:cs="Arial" w:eastAsia="Arial" w:hAnsi="Arial"/>
                <w:sz w:val="14"/>
                <w:szCs w:val="14"/>
                <w:color w:val="auto"/>
              </w:rPr>
              <w:t>(2,141)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(217.1)</w:t>
            </w:r>
          </w:p>
        </w:tc>
        <w:tc>
          <w:tcPr>
            <w:tcW w:w="8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contributions from non-controlling interests in</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50"/>
        </w:trPr>
        <w:tc>
          <w:tcPr>
            <w:tcW w:w="3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deconsolidations of T. Rowe Price investment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89"/>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00" w:type="dxa"/>
            <w:vAlign w:val="bottom"/>
          </w:tcPr>
          <w:p>
            <w:pPr>
              <w:ind w:left="20"/>
              <w:spacing w:after="0"/>
              <w:rPr>
                <w:sz w:val="20"/>
                <w:szCs w:val="20"/>
                <w:color w:val="auto"/>
              </w:rPr>
            </w:pPr>
            <w:r>
              <w:rPr>
                <w:rFonts w:ascii="Arial" w:cs="Arial" w:eastAsia="Arial" w:hAnsi="Arial"/>
                <w:sz w:val="14"/>
                <w:szCs w:val="14"/>
                <w:color w:val="auto"/>
              </w:rPr>
              <w:t>Balances at March 31, 2025</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221,061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160.2</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99"/>
              </w:rPr>
              <w:t>$ 10,242.2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10,394.7</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10,555.1</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977.2</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3"/>
        </w:numPr>
        <w:rPr>
          <w:rFonts w:ascii="Arial" w:cs="Arial" w:eastAsia="Arial" w:hAnsi="Arial"/>
          <w:sz w:val="9"/>
          <w:szCs w:val="9"/>
          <w:i w:val="1"/>
          <w:iCs w:val="1"/>
          <w:color w:val="auto"/>
        </w:rPr>
      </w:pPr>
      <w:r>
        <w:rPr>
          <w:rFonts w:ascii="Arial" w:cs="Arial" w:eastAsia="Arial" w:hAnsi="Arial"/>
          <w:sz w:val="14"/>
          <w:szCs w:val="14"/>
          <w:i w:val="1"/>
          <w:iCs w:val="1"/>
          <w:color w:val="auto"/>
        </w:rPr>
        <w:t>Accumulated other comprehensive income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PREPARATION AND SUMMARY OF SIGNIFICANT ACCOUNTING POLICIES.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globally to individual and institutional investors that invest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other advisory services.</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investment solutions are provided in a number of vehicles including the T. Rowe Price U.S. mutual funds (U.S. mutual funds), subadvised funds, separately managed accounts, collective investment trusts, exchange-traded funds, and other sponsored products. The other sponsored products include: open-ended investment products offered to investors outside the U.S., products offered through variable annuity life insurance plans in the U.S., affiliated private investment funds, business development companies, an interval fund, and collateralized loan obligations.</w:t>
      </w:r>
    </w:p>
    <w:p>
      <w:pPr>
        <w:spacing w:after="0" w:line="20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PREPARATION.</w:t>
      </w:r>
    </w:p>
    <w:p>
      <w:pPr>
        <w:spacing w:after="0" w:line="25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These unaudited consolidated financial statements have been prepared by management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spacing w:after="0" w:line="163" w:lineRule="exact"/>
        <w:rPr>
          <w:sz w:val="20"/>
          <w:szCs w:val="20"/>
          <w:color w:val="auto"/>
        </w:rPr>
      </w:pPr>
    </w:p>
    <w:p>
      <w:pPr>
        <w:ind w:right="100"/>
        <w:spacing w:after="0" w:line="223" w:lineRule="exact"/>
        <w:rPr>
          <w:sz w:val="20"/>
          <w:szCs w:val="20"/>
          <w:color w:val="auto"/>
        </w:rPr>
      </w:pPr>
      <w:r>
        <w:rPr>
          <w:rFonts w:ascii="Arial" w:cs="Arial" w:eastAsia="Arial" w:hAnsi="Arial"/>
          <w:sz w:val="18"/>
          <w:szCs w:val="18"/>
          <w:color w:val="auto"/>
        </w:rPr>
        <w:t>Certain prior</w:t>
      </w:r>
      <w:r>
        <w:rPr>
          <w:rFonts w:ascii="MS PGothic" w:cs="MS PGothic" w:eastAsia="MS PGothic" w:hAnsi="MS PGothic"/>
          <w:sz w:val="18"/>
          <w:szCs w:val="18"/>
          <w:color w:val="auto"/>
        </w:rPr>
        <w:t>‑</w:t>
      </w:r>
      <w:r>
        <w:rPr>
          <w:rFonts w:ascii="Arial" w:cs="Arial" w:eastAsia="Arial" w:hAnsi="Arial"/>
          <w:sz w:val="18"/>
          <w:szCs w:val="18"/>
          <w:color w:val="auto"/>
        </w:rPr>
        <w:t>period technology-related professional fees and servicing costs have been reclassified from general, administrative, and other costs to technology, occupancy, and facilities costs to conform with current year presentation. The new presentation better aligns the nature of the expenses following our decision to outsource and expand certain technology capabilities through trusted vendor partnerships. The amount reclassified for the first quarter of 2025 was $13.6 million. While the presentation of certain expense categories changed, the reclassifications did not impact previously reported total operating expenses, operating income, net income, or cash flows.</w:t>
      </w:r>
    </w:p>
    <w:p>
      <w:pPr>
        <w:spacing w:after="0" w:line="2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unaudited financial information contained in these consolidated financial statements should be read in conjunction with the consolidated financial statements contained in our 2025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November 2024, the FASB issued Accounting Standards Update No. 2024-03 - </w:t>
      </w:r>
      <w:r>
        <w:rPr>
          <w:rFonts w:ascii="Arial" w:cs="Arial" w:eastAsia="Arial" w:hAnsi="Arial"/>
          <w:sz w:val="18"/>
          <w:szCs w:val="18"/>
          <w:i w:val="1"/>
          <w:iCs w:val="1"/>
          <w:color w:val="auto"/>
        </w:rPr>
        <w:t>Income Statement—Reporting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Expense Disaggregation Disclosures (Subtopic 220-4): Disaggregation of Income Statement Expenses</w:t>
      </w:r>
      <w:r>
        <w:rPr>
          <w:rFonts w:ascii="Arial" w:cs="Arial" w:eastAsia="Arial" w:hAnsi="Arial"/>
          <w:sz w:val="18"/>
          <w:szCs w:val="18"/>
          <w:color w:val="auto"/>
        </w:rPr>
        <w:t>, which requires disclosures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and disaggregation of certain expenses included in the income statement. The guidance is effective for the firm on January 1, 2027, and allows for either a prospective or retrospective approach on adoption. We are currently evaluating the impact the adoption will have on our financial statements and have not yet determined our transition approach.</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September 2025, the FASB issued Accounting Standards Update No. 2025-06 -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Targeted Improvements to the Accounting for Internal-Use Software</w:t>
      </w:r>
      <w:r>
        <w:rPr>
          <w:rFonts w:ascii="Arial" w:cs="Arial" w:eastAsia="Arial" w:hAnsi="Arial"/>
          <w:sz w:val="18"/>
          <w:szCs w:val="18"/>
          <w:color w:val="auto"/>
        </w:rPr>
        <w:t>, which amends the existing internal -use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The amendment eliminates the project stage model and clarifies that capitalization of internal-use software costs commences when management has authorized and committed funding for the project and it is probable that software will be completed and used for its intended function. The amendment allows for varying transition approaches and is effective for the firm on January 1, 2028, with early adoption permitted. We are currently evaluating the impact the adoption will have on our financial statements and have not yet determined our transition approach.</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7" w:name="page8"/>
    <w:bookmarkEnd w:id="7"/>
    <w:p>
      <w:pPr>
        <w:jc w:val="both"/>
        <w:ind w:right="380"/>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consolidated financial statements, including those we have not yet adopted. We do not believe that any such guidance has or will have a material effect on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jc w:val="both"/>
        <w:ind w:right="100"/>
        <w:spacing w:after="0" w:line="287" w:lineRule="auto"/>
        <w:rPr>
          <w:sz w:val="20"/>
          <w:szCs w:val="20"/>
          <w:color w:val="auto"/>
        </w:rPr>
      </w:pPr>
      <w:r>
        <w:rPr>
          <w:rFonts w:ascii="Arial" w:cs="Arial" w:eastAsia="Arial" w:hAnsi="Arial"/>
          <w:sz w:val="18"/>
          <w:szCs w:val="18"/>
          <w:color w:val="auto"/>
        </w:rPr>
        <w:t>Net revenues earned in the first quarter of 2026 and 2025 are included in the table below along with details of investment advisory revenues by underlying asset class. We also included average assets under management by asset class, on which we earn investment advisory fees.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7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3/31/2026</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3/31/2025</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974.7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959.2</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 including money market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Multi-asset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454.7</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1,683.0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1,598.4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advisory fees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Capital allocation-based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distribution, servicing, and other fees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Fixed income, including money market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191.6</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Multi-asset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Alternatives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AUM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Total net revenues earned from sponsored investment products totaled $1,574.5 million and $1,471.3 million for the three months ended March 31, 2026 and 2025, respectively. Accounts receivable from these products aggregate to $678.7 million at March 31, 2026 and $664.2 million at December 31, 2025.</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8.6% at March 31, 2026 and 8.8% at December 31, 2025 of our assets under management.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consolidated investment products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12/31/2025</w:t>
            </w: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00" w:type="dxa"/>
            <w:vAlign w:val="bottom"/>
          </w:tcPr>
          <w:p>
            <w:pPr>
              <w:ind w:left="2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463.7</w:t>
            </w:r>
          </w:p>
        </w:tc>
      </w:tr>
      <w:tr>
        <w:trPr>
          <w:trHeight w:val="229"/>
        </w:trPr>
        <w:tc>
          <w:tcPr>
            <w:tcW w:w="8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30"/>
        </w:trPr>
        <w:tc>
          <w:tcPr>
            <w:tcW w:w="8200" w:type="dxa"/>
            <w:vAlign w:val="bottom"/>
          </w:tcPr>
          <w:p>
            <w:pPr>
              <w:ind w:left="260"/>
              <w:spacing w:after="0"/>
              <w:rPr>
                <w:sz w:val="20"/>
                <w:szCs w:val="20"/>
                <w:color w:val="auto"/>
              </w:rPr>
            </w:pPr>
            <w:r>
              <w:rPr>
                <w:rFonts w:ascii="Arial" w:cs="Arial" w:eastAsia="Arial" w:hAnsi="Arial"/>
                <w:sz w:val="18"/>
                <w:szCs w:val="18"/>
                <w:color w:val="auto"/>
              </w:rPr>
              <w:t>Investments used to hedge the deferred compensation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1,243.3</w:t>
            </w: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00" w:type="dxa"/>
            <w:vAlign w:val="bottom"/>
          </w:tcPr>
          <w:p>
            <w:pPr>
              <w:ind w:left="160"/>
              <w:spacing w:after="0"/>
              <w:rPr>
                <w:sz w:val="20"/>
                <w:szCs w:val="20"/>
                <w:color w:val="auto"/>
              </w:rPr>
            </w:pPr>
            <w:r>
              <w:rPr>
                <w:rFonts w:ascii="Arial" w:cs="Arial" w:eastAsia="Arial" w:hAnsi="Arial"/>
                <w:sz w:val="18"/>
                <w:szCs w:val="18"/>
                <w:color w:val="auto"/>
              </w:rPr>
              <w:t>T. Rowe Price investment products - redeemable seed capital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UTI Asset Management Company Limited (India)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390.3</w:t>
            </w:r>
          </w:p>
        </w:tc>
      </w:tr>
      <w:tr>
        <w:trPr>
          <w:trHeight w:val="229"/>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r>
      <w:tr>
        <w:trPr>
          <w:trHeight w:val="230"/>
        </w:trPr>
        <w:tc>
          <w:tcPr>
            <w:tcW w:w="8200" w:type="dxa"/>
            <w:vAlign w:val="bottom"/>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204.9</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0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8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2026 and 2025, certain T. Rowe Price investment products in which we provided initial seed capital at the time of formation were deconsolidated, as we no longer had a controlling interest. Depending on our ownership interest, we report our residual interests in these T. Rowe Price investment products as either an equity method investment or an investment held at fair value. The net impact on our unaudited consolidated balance sheets and statements of income as of the dates the products were deconsolidated or reconsolidated is detailed below.</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8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3/31/2026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3/31/2025</w:t>
            </w:r>
          </w:p>
        </w:tc>
      </w:tr>
      <w:tr>
        <w:trPr>
          <w:trHeight w:val="224"/>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assets of consolidated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Net decrease in liabilities of consolidated investment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54"/>
        </w:trPr>
        <w:tc>
          <w:tcPr>
            <w:tcW w:w="8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29"/>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gains recognized upon deconsolidation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net gains recognized upon deconsolidation were the result of reclassifying currency translation adjustments accumulated on certain consolidated investment products with non-USD functional currencies from accumulated other comprehensive income to non-operating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AT FAIR VALUE</w:t>
      </w:r>
    </w:p>
    <w:p>
      <w:pPr>
        <w:spacing w:after="0" w:line="2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investment partnerships and other investments held at fair value are valued using net asset value (NAV) per share as a practical expedient or using the measurement alternative. Our interests in the investment partnerships are generally not redeemable and are subject to significant transferability restrictions. The underlying investments of these partnerships have contractual terms through 2034, though we may receive distributions of liquidating assets over a longer term. The investment strategies of these partnerships include growth equity, buyout, venture capital, and real estate.</w:t>
      </w:r>
    </w:p>
    <w:p>
      <w:pPr>
        <w:spacing w:after="0" w:line="20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During the three months ended March 31, 2026, we recognized $52.9 million of net unrealized losses on investments held at fair value that were still held at March 31, 2026. For the same period of 2025, we recognized $27.3 million of net unrealized losses on investments held at fair value that were still held at March 31, 2025.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10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fair value and equity method investments at March 31, 2026 and 2025 include interests in variable interest entities that we do not consolidate as we are not deemed the primary beneficiary. Our maximum risk of loss related to our involvement with these entities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3/31/2026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12/31/2025</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989.7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978.7</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risk of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have unfunded capital commitments, totaling $191.9 million at March 31, 2026 and $199.3 million at December 31, 2025, related primarily to the affiliated private investment funds and the investment partnerships in which we have an existing investment. In addition to such amounts, a percentage of prior distributions may be recalled under certain circumstances.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Investments in affiliated private investment funds - carried interest represent interests in the general partners of affiliated private investment funds that are entitled to a disproportionate allocation of income, also known as carried interest. The entities that hold these interests (carried interest entities) are considered variable interest entities and are consolidated as T. Rowe Price is determined to be the primary beneficiary. The total assets, liabilities and non-controlling interests of these carried interest entities as of March 31, 2026 and December 31, 2025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4"/>
                <w:szCs w:val="14"/>
                <w:b w:val="1"/>
                <w:bCs w:val="1"/>
                <w:color w:val="auto"/>
              </w:rPr>
              <w:t>3/31/2026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4"/>
                <w:szCs w:val="14"/>
                <w:b w:val="1"/>
                <w:bCs w:val="1"/>
                <w:color w:val="auto"/>
              </w:rPr>
              <w:t>12/31/2025</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438.7</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0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157.1</w:t>
            </w:r>
          </w:p>
        </w:tc>
      </w:tr>
      <w:tr>
        <w:trPr>
          <w:trHeight w:val="20"/>
        </w:trPr>
        <w:tc>
          <w:tcPr>
            <w:tcW w:w="8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is debt associated with our investments in affiliated collateralized loan obligations. The debt outstanding is related to repurchase agreements of € 18.6 million at March 31, 2026, compared to €18.6 million at December 31, 2025 (equivalent to $21.5 million at March 31, 2026 and $21.8 million at December 31, 2025 at the respective EUR spot rates) that are collateralized by the CLO investments and reported in accounts payable and accrued expenses in our consolidated balance sheets. These repurchase agreements bear interest at rates based on EURIBOR plus the initial margin, which equals all-in rates ranging from 3.0% to 10.9% as of March 31, 2026. The debt matures on various dates through 2035 or if the investments are paid back in full or cancelled, whichever is sooner.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determine the fair value of our cash equivalents and certain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27" w:lineRule="exact"/>
        <w:rPr>
          <w:sz w:val="20"/>
          <w:szCs w:val="20"/>
          <w:color w:val="auto"/>
        </w:rPr>
      </w:pPr>
    </w:p>
    <w:p>
      <w:pPr>
        <w:ind w:left="74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1" w:lineRule="exact"/>
        <w:rPr>
          <w:sz w:val="20"/>
          <w:szCs w:val="20"/>
          <w:color w:val="auto"/>
        </w:rPr>
      </w:pPr>
    </w:p>
    <w:p>
      <w:pPr>
        <w:ind w:left="740" w:right="18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March 31, 2026 and December 31, 2025.</w:t>
      </w:r>
    </w:p>
    <w:p>
      <w:pPr>
        <w:spacing w:after="0" w:line="20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consolidated balance sheets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0" w:name="page11"/>
    <w:bookmarkEnd w:id="10"/>
    <w:p>
      <w:pPr>
        <w:ind w:right="180"/>
        <w:spacing w:after="0" w:line="318" w:lineRule="auto"/>
        <w:rPr>
          <w:sz w:val="20"/>
          <w:szCs w:val="20"/>
          <w:color w:val="auto"/>
        </w:rPr>
      </w:pPr>
      <w:r>
        <w:rPr>
          <w:rFonts w:ascii="Arial" w:cs="Arial" w:eastAsia="Arial" w:hAnsi="Arial"/>
          <w:sz w:val="17"/>
          <w:szCs w:val="17"/>
          <w:color w:val="auto"/>
        </w:rPr>
        <w:t>using fair value measurements determined based on the differing levels of inputs. This table excludes investments held by the consolidated investment products, which are presented separately in our unaudited consolidated balance sheets and are detailed in Note 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3/31/2026</w:t>
            </w: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12/31/2025</w:t>
            </w:r>
          </w:p>
        </w:tc>
        <w:tc>
          <w:tcPr>
            <w:tcW w:w="800" w:type="dxa"/>
            <w:vAlign w:val="bottom"/>
            <w:tcBorders>
              <w:bottom w:val="single" w:sz="8" w:color="auto"/>
            </w:tcBorders>
            <w:shd w:val="clear" w:color="auto" w:fill="CCEEFF"/>
          </w:tcPr>
          <w:p>
            <w:pPr>
              <w:spacing w:after="0"/>
              <w:rPr>
                <w:sz w:val="17"/>
                <w:szCs w:val="17"/>
                <w:color w:val="auto"/>
              </w:rPr>
            </w:pPr>
          </w:p>
        </w:tc>
      </w:tr>
      <w:tr>
        <w:trPr>
          <w:trHeight w:val="195"/>
        </w:trPr>
        <w:tc>
          <w:tcPr>
            <w:tcW w:w="65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2</w:t>
            </w:r>
          </w:p>
        </w:tc>
      </w:tr>
      <w:tr>
        <w:trPr>
          <w:trHeight w:val="211"/>
        </w:trPr>
        <w:tc>
          <w:tcPr>
            <w:tcW w:w="6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6500" w:type="dxa"/>
            <w:vAlign w:val="bottom"/>
          </w:tcPr>
          <w:p>
            <w:pPr>
              <w:ind w:left="100"/>
              <w:spacing w:after="0"/>
              <w:rPr>
                <w:sz w:val="20"/>
                <w:szCs w:val="20"/>
                <w:color w:val="auto"/>
              </w:rPr>
            </w:pPr>
            <w:r>
              <w:rPr>
                <w:rFonts w:ascii="Arial" w:cs="Arial" w:eastAsia="Arial" w:hAnsi="Arial"/>
                <w:sz w:val="18"/>
                <w:szCs w:val="18"/>
                <w:color w:val="auto"/>
              </w:rPr>
              <w:t>Cash equivalents held in 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3,049.0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Discretionary investments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333399"/>
              </w:rPr>
              <w:t>—</w:t>
            </w:r>
          </w:p>
        </w:tc>
      </w:tr>
      <w:tr>
        <w:trPr>
          <w:trHeight w:val="229"/>
        </w:trPr>
        <w:tc>
          <w:tcPr>
            <w:tcW w:w="6500" w:type="dxa"/>
            <w:vAlign w:val="bottom"/>
          </w:tcPr>
          <w:p>
            <w:pPr>
              <w:ind w:left="100"/>
              <w:spacing w:after="0"/>
              <w:rPr>
                <w:sz w:val="20"/>
                <w:szCs w:val="20"/>
                <w:color w:val="auto"/>
              </w:rPr>
            </w:pPr>
            <w:r>
              <w:rPr>
                <w:rFonts w:ascii="Arial" w:cs="Arial" w:eastAsia="Arial" w:hAnsi="Arial"/>
                <w:sz w:val="18"/>
                <w:szCs w:val="18"/>
                <w:color w:val="auto"/>
              </w:rPr>
              <w:t>Redeemable seed capital investments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 used to hedge the deferred compensation liabilities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tcPr>
          <w:p>
            <w:pPr>
              <w:ind w:left="8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r>
      <w:tr>
        <w:trPr>
          <w:trHeight w:val="21"/>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or the measurement alternative. The carrying value of these investments as disclosed in Note 3 were $69.8 million at March 31, 2026 and $154.4 million at December 31,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INVESTMENT PRODUCTS.</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investment products that we consolidate in our consolidated financial statements are generally those products we provided initial seed capital at the time of their formation and have a controlling interest. Our U.S. mutual funds and certain other products are considered voting interest entities, while those regulated outside the U.S. are considered variable interest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investment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rPr>
              <w:t>3/31/2026</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4"/>
                <w:szCs w:val="14"/>
                <w:b w:val="1"/>
                <w:bCs w:val="1"/>
                <w:color w:val="auto"/>
              </w:rPr>
              <w:t>12/31/2025</w:t>
            </w:r>
          </w:p>
        </w:tc>
        <w:tc>
          <w:tcPr>
            <w:tcW w:w="1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2"/>
                <w:szCs w:val="12"/>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entities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1,885.5</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Attributable to T. Rowe Price Group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893.7</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80" w:right="3200" w:hanging="172"/>
        <w:spacing w:after="0" w:line="236" w:lineRule="auto"/>
        <w:tabs>
          <w:tab w:leader="none" w:pos="158" w:val="left"/>
        </w:tabs>
        <w:numPr>
          <w:ilvl w:val="0"/>
          <w:numId w:val="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Cash and cash equivalents includes $3.5 million at March 31, 2026 and $2.5 million at December 31, 2025 of investments in T. Rowe Price money market mutual funds.</w:t>
      </w:r>
    </w:p>
    <w:p>
      <w:pPr>
        <w:spacing w:after="0" w:line="1" w:lineRule="exact"/>
        <w:rPr>
          <w:rFonts w:ascii="Arial" w:cs="Arial" w:eastAsia="Arial" w:hAnsi="Arial"/>
          <w:sz w:val="18"/>
          <w:szCs w:val="18"/>
          <w:i w:val="1"/>
          <w:iCs w:val="1"/>
          <w:color w:val="auto"/>
          <w:vertAlign w:val="superscript"/>
        </w:rPr>
      </w:pPr>
    </w:p>
    <w:p>
      <w:pPr>
        <w:ind w:left="140" w:hanging="132"/>
        <w:spacing w:after="0" w:line="229"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$86.8 million at March 31, 2026 and $61.7 million at December 31, 2025 of other T. Rowe Price investment products.</w:t>
      </w:r>
    </w:p>
    <w:p>
      <w:pPr>
        <w:spacing w:after="0" w:line="2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Although we can generally redeem our net interest in the consolidated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investment products is limited to valuation changes associated with our net interest.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p>
      <w:pPr>
        <w:jc w:val="both"/>
        <w:ind w:right="560"/>
        <w:spacing w:after="0" w:line="268" w:lineRule="auto"/>
        <w:rPr>
          <w:sz w:val="20"/>
          <w:szCs w:val="20"/>
          <w:color w:val="auto"/>
        </w:rPr>
      </w:pPr>
      <w:r>
        <w:rPr>
          <w:rFonts w:ascii="Arial" w:cs="Arial" w:eastAsia="Arial" w:hAnsi="Arial"/>
          <w:sz w:val="18"/>
          <w:szCs w:val="18"/>
          <w:color w:val="auto"/>
        </w:rPr>
        <w:t>However, we are required to recognize the valuation changes associated with all underlying investments held by these products in our consolidated statements of income and disclose the portion attributable to unrelated third-party investors as net income attributable to redeemable non-controlling interests.</w:t>
      </w:r>
    </w:p>
    <w:p>
      <w:pPr>
        <w:spacing w:after="0" w:line="19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operating results of the consolidated investment products for the three months ended March 31, 2026 and 2025 are reflected in our unaudited consolidated statements of income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3/31/2026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1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investment income (loss) reflected in non-</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T. Rowe Price Group $</w:t>
            </w: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income (loss) attributable to redeemable non-</w:t>
            </w: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operating expenses of the consolidated investment products are reflected in general, administrative and other expenses. In preparing our unaudited consolidated financial statements, we eliminated operating expenses of $1.1 million and $1.4 million for the three months ended March 31, 2026 and 2025, respectively, against the investment advisory and administrative fees earned from these products. The net investment income (loss) reflected in non-operating income (loss) includes dividend and interest income as well as realized and unrealized gains and losses on the underlying securities held by the consolidated investment products.</w:t>
      </w:r>
    </w:p>
    <w:p>
      <w:pPr>
        <w:spacing w:after="0" w:line="30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following table details the impact of these consolidated investment products on the individual lines of our unaudited consolidated statements of cash flows.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3/31/2026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3/31/2025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Voting interest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Voting interest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160" w:type="dxa"/>
            <w:vAlign w:val="bottom"/>
            <w:gridSpan w:val="3"/>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3"/>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Arial" w:cs="Arial" w:eastAsia="Arial" w:hAnsi="Arial"/>
                <w:sz w:val="15"/>
                <w:szCs w:val="15"/>
                <w:color w:val="auto"/>
              </w:rPr>
              <w:t>Net cash provided by (used in) operating activities</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4320" w:type="dxa"/>
            <w:vAlign w:val="bottom"/>
          </w:tcPr>
          <w:p>
            <w:pPr>
              <w:spacing w:after="0"/>
              <w:rPr>
                <w:sz w:val="20"/>
                <w:szCs w:val="20"/>
                <w:color w:val="auto"/>
              </w:rPr>
            </w:pPr>
            <w:r>
              <w:rPr>
                <w:rFonts w:ascii="Arial" w:cs="Arial" w:eastAsia="Arial" w:hAnsi="Arial"/>
                <w:sz w:val="15"/>
                <w:szCs w:val="15"/>
                <w:color w:val="auto"/>
              </w:rPr>
              <w:t>Net cash provided by (used in) financing activities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87.0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169.9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159"/>
        </w:trPr>
        <w:tc>
          <w:tcPr>
            <w:tcW w:w="43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Effect of exchange rate changes on cash and cash equivalents</w:t>
            </w:r>
          </w:p>
        </w:tc>
        <w:tc>
          <w:tcPr>
            <w:tcW w:w="2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of consolidated investment products</w:t>
            </w:r>
          </w:p>
        </w:tc>
        <w:tc>
          <w:tcPr>
            <w:tcW w:w="2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5"/>
                <w:szCs w:val="15"/>
                <w:color w:val="auto"/>
              </w:rPr>
              <w:t>Net change in cash and cash equivalents during period</w:t>
            </w: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beginning of year</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5"/>
                <w:szCs w:val="15"/>
                <w:color w:val="auto"/>
              </w:rPr>
              <w:t>Cash and cash equivalents at end of period</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For the three months ended March 31, 2026, the net cash provided by (used in) financing activities includes $38.5 million of net subscriptions we made into the consolidated investment products, net of dividends received. For the three months ended March 31, 2025, the net cash provided by (used in) financing activities included $42.2 million of net subscriptions we made into the consolidated investment products, net of dividends received. These cash flows were eliminated in consolidation.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determine the fair value of investments held by consolidated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14" w:lineRule="exact"/>
        <w:rPr>
          <w:sz w:val="20"/>
          <w:szCs w:val="20"/>
          <w:color w:val="auto"/>
        </w:rPr>
      </w:pPr>
    </w:p>
    <w:p>
      <w:pPr>
        <w:ind w:left="740" w:right="20" w:hanging="728"/>
        <w:spacing w:after="0"/>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March 31, 2026 and December 31, 2025.</w:t>
      </w:r>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investment products using fair value measurements determined based on the differing levels of inputs.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3/31/2026</w:t>
            </w:r>
          </w:p>
        </w:tc>
        <w:tc>
          <w:tcPr>
            <w:tcW w:w="9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12/31/2025</w:t>
            </w:r>
          </w:p>
        </w:tc>
        <w:tc>
          <w:tcPr>
            <w:tcW w:w="1040" w:type="dxa"/>
            <w:vAlign w:val="bottom"/>
            <w:tcBorders>
              <w:bottom w:val="single" w:sz="8" w:color="auto"/>
            </w:tcBorders>
            <w:shd w:val="clear" w:color="auto" w:fill="CCEEFF"/>
          </w:tcPr>
          <w:p>
            <w:pPr>
              <w:spacing w:after="0"/>
              <w:rPr>
                <w:sz w:val="17"/>
                <w:szCs w:val="17"/>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6"/>
                <w:szCs w:val="16"/>
                <w:color w:val="auto"/>
              </w:rPr>
            </w:pPr>
          </w:p>
        </w:tc>
        <w:tc>
          <w:tcPr>
            <w:tcW w:w="1040" w:type="dxa"/>
            <w:vAlign w:val="bottom"/>
          </w:tcPr>
          <w:p>
            <w:pPr>
              <w:jc w:val="right"/>
              <w:ind w:right="393"/>
              <w:spacing w:after="0"/>
              <w:rPr>
                <w:sz w:val="20"/>
                <w:szCs w:val="20"/>
                <w:color w:val="auto"/>
              </w:rPr>
            </w:pPr>
            <w:r>
              <w:rPr>
                <w:rFonts w:ascii="Arial" w:cs="Arial" w:eastAsia="Arial" w:hAnsi="Arial"/>
                <w:sz w:val="14"/>
                <w:szCs w:val="14"/>
                <w:b w:val="1"/>
                <w:bCs w:val="1"/>
                <w:color w:val="auto"/>
              </w:rPr>
              <w:t>Level 2</w:t>
            </w:r>
          </w:p>
        </w:tc>
      </w:tr>
      <w:tr>
        <w:trPr>
          <w:trHeight w:val="211"/>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r>
      <w:tr>
        <w:trPr>
          <w:trHeight w:val="229"/>
        </w:trPr>
        <w:tc>
          <w:tcPr>
            <w:tcW w:w="544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1,002.5</w:t>
            </w: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3"/>
        </w:trPr>
        <w:tc>
          <w:tcPr>
            <w:tcW w:w="54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level table above does not include investments for which fair value is estimated using their measurement alternative.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these investments were $29.1 million at March 31, 2026.</w:t>
      </w:r>
    </w:p>
    <w:p>
      <w:pPr>
        <w:spacing w:after="0" w:line="23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At March 31, 2026, we consolidated an affiliated private investment fund that has unfunded capital commitments of $187.9 million of which $44.1 million is attributable to T. Rowe Price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b w:val="1"/>
                <w:bCs w:val="1"/>
                <w:color w:val="auto"/>
              </w:rPr>
              <w:t>3/31/2026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12/31/2025</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2,642.8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4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4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2,917.0</w:t>
            </w:r>
          </w:p>
        </w:tc>
      </w:tr>
      <w:tr>
        <w:trPr>
          <w:trHeight w:val="20"/>
        </w:trPr>
        <w:tc>
          <w:tcPr>
            <w:tcW w:w="6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Amortization and impairment expense for the definite-lived investment advisory agreements intangible assets was $13.7 million and $24.4 million for the three months ended March 31, 2026 and 2025, respectively. Estimated amortization expense for the definite-lived investment advisory agreements intangible assets for the five succeeding years is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08914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128905"/>
                    </a:xfrm>
                    <a:prstGeom prst="rect">
                      <a:avLst/>
                    </a:prstGeom>
                    <a:noFill/>
                  </pic:spPr>
                </pic:pic>
              </a:graphicData>
            </a:graphic>
          </wp:anchor>
        </w:drawing>
        <w:t>(in millions)</w:t>
      </w:r>
    </w:p>
    <w:p>
      <w:pPr>
        <w:sectPr>
          <w:pgSz w:w="11900" w:h="16838" w:orient="portrait"/>
          <w:cols w:equalWidth="0" w:num="1">
            <w:col w:w="11240"/>
          </w:cols>
          <w:pgMar w:left="320" w:top="981" w:right="339" w:bottom="1440" w:gutter="0" w:footer="0" w:header="0"/>
        </w:sectPr>
      </w:pP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Remaining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891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2027</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8914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2030 and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0891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994" w:hanging="994"/>
        <w:spacing w:after="0"/>
        <w:tabs>
          <w:tab w:leader="none" w:pos="994" w:val="left"/>
        </w:tabs>
        <w:numPr>
          <w:ilvl w:val="0"/>
          <w:numId w:val="5"/>
        </w:numPr>
        <w:rPr>
          <w:rFonts w:ascii="Arial" w:cs="Arial" w:eastAsia="Arial" w:hAnsi="Arial"/>
          <w:sz w:val="18"/>
          <w:szCs w:val="18"/>
          <w:color w:val="auto"/>
        </w:rPr>
      </w:pPr>
      <w:r>
        <w:rPr>
          <w:rFonts w:ascii="Arial" w:cs="Arial" w:eastAsia="Arial" w:hAnsi="Arial"/>
          <w:sz w:val="18"/>
          <w:szCs w:val="18"/>
          <w:color w:val="auto"/>
        </w:rPr>
        <w:t>40.9</w:t>
      </w:r>
    </w:p>
    <w:p>
      <w:pPr>
        <w:spacing w:after="0" w:line="31" w:lineRule="exact"/>
        <w:rPr>
          <w:rFonts w:ascii="Arial" w:cs="Arial" w:eastAsia="Arial" w:hAnsi="Arial"/>
          <w:sz w:val="18"/>
          <w:szCs w:val="18"/>
          <w:color w:val="auto"/>
        </w:rPr>
      </w:pPr>
    </w:p>
    <w:p>
      <w:pPr>
        <w:ind w:left="994"/>
        <w:spacing w:after="0"/>
        <w:rPr>
          <w:rFonts w:ascii="Arial" w:cs="Arial" w:eastAsia="Arial" w:hAnsi="Arial"/>
          <w:sz w:val="18"/>
          <w:szCs w:val="18"/>
          <w:color w:val="auto"/>
        </w:rPr>
      </w:pPr>
      <w:r>
        <w:rPr>
          <w:rFonts w:ascii="Arial" w:cs="Arial" w:eastAsia="Arial" w:hAnsi="Arial"/>
          <w:sz w:val="18"/>
          <w:szCs w:val="18"/>
          <w:color w:val="auto"/>
        </w:rPr>
        <w:t>39.1</w:t>
      </w:r>
    </w:p>
    <w:p>
      <w:pPr>
        <w:spacing w:after="0" w:line="22" w:lineRule="exact"/>
        <w:rPr>
          <w:rFonts w:ascii="Arial" w:cs="Arial" w:eastAsia="Arial" w:hAnsi="Arial"/>
          <w:sz w:val="18"/>
          <w:szCs w:val="18"/>
          <w:color w:val="auto"/>
        </w:rPr>
      </w:pPr>
    </w:p>
    <w:p>
      <w:pPr>
        <w:ind w:left="1014"/>
        <w:spacing w:after="0"/>
        <w:rPr>
          <w:rFonts w:ascii="Arial" w:cs="Arial" w:eastAsia="Arial" w:hAnsi="Arial"/>
          <w:sz w:val="18"/>
          <w:szCs w:val="18"/>
          <w:color w:val="auto"/>
        </w:rPr>
      </w:pPr>
      <w:r>
        <w:rPr>
          <w:rFonts w:ascii="Arial" w:cs="Arial" w:eastAsia="Arial" w:hAnsi="Arial"/>
          <w:sz w:val="17"/>
          <w:szCs w:val="17"/>
          <w:color w:val="auto"/>
        </w:rPr>
        <w:t>11.8</w:t>
      </w:r>
    </w:p>
    <w:p>
      <w:pPr>
        <w:spacing w:after="0" w:line="34" w:lineRule="exact"/>
        <w:rPr>
          <w:rFonts w:ascii="Arial" w:cs="Arial" w:eastAsia="Arial" w:hAnsi="Arial"/>
          <w:sz w:val="18"/>
          <w:szCs w:val="18"/>
          <w:color w:val="auto"/>
        </w:rPr>
      </w:pPr>
    </w:p>
    <w:p>
      <w:pPr>
        <w:ind w:left="1094"/>
        <w:spacing w:after="0"/>
        <w:rPr>
          <w:rFonts w:ascii="Arial" w:cs="Arial" w:eastAsia="Arial" w:hAnsi="Arial"/>
          <w:sz w:val="18"/>
          <w:szCs w:val="18"/>
          <w:color w:val="auto"/>
        </w:rPr>
      </w:pPr>
      <w:r>
        <w:rPr>
          <w:rFonts w:ascii="Arial" w:cs="Arial" w:eastAsia="Arial" w:hAnsi="Arial"/>
          <w:sz w:val="18"/>
          <w:szCs w:val="18"/>
          <w:color w:val="auto"/>
        </w:rPr>
        <w:t>8.8</w:t>
      </w:r>
    </w:p>
    <w:p>
      <w:pPr>
        <w:spacing w:after="0" w:line="22" w:lineRule="exact"/>
        <w:rPr>
          <w:rFonts w:ascii="Arial" w:cs="Arial" w:eastAsia="Arial" w:hAnsi="Arial"/>
          <w:sz w:val="18"/>
          <w:szCs w:val="18"/>
          <w:color w:val="auto"/>
        </w:rPr>
      </w:pPr>
    </w:p>
    <w:p>
      <w:pPr>
        <w:ind w:left="1014"/>
        <w:spacing w:after="0"/>
        <w:rPr>
          <w:rFonts w:ascii="Arial" w:cs="Arial" w:eastAsia="Arial" w:hAnsi="Arial"/>
          <w:sz w:val="18"/>
          <w:szCs w:val="18"/>
          <w:color w:val="auto"/>
        </w:rPr>
      </w:pPr>
      <w:r>
        <w:rPr>
          <w:rFonts w:ascii="Arial" w:cs="Arial" w:eastAsia="Arial" w:hAnsi="Arial"/>
          <w:sz w:val="17"/>
          <w:szCs w:val="17"/>
          <w:color w:val="auto"/>
        </w:rPr>
        <w:t>11.6</w:t>
      </w:r>
    </w:p>
    <w:p>
      <w:pPr>
        <w:spacing w:after="0" w:line="38" w:lineRule="exact"/>
        <w:rPr>
          <w:sz w:val="20"/>
          <w:szCs w:val="20"/>
          <w:color w:val="auto"/>
        </w:rPr>
      </w:pPr>
    </w:p>
    <w:p>
      <w:pPr>
        <w:ind w:left="914" w:hanging="914"/>
        <w:spacing w:after="0"/>
        <w:tabs>
          <w:tab w:leader="none" w:pos="914" w:val="left"/>
        </w:tabs>
        <w:numPr>
          <w:ilvl w:val="0"/>
          <w:numId w:val="6"/>
        </w:numPr>
        <w:rPr>
          <w:rFonts w:ascii="Arial" w:cs="Arial" w:eastAsia="Arial" w:hAnsi="Arial"/>
          <w:sz w:val="17"/>
          <w:szCs w:val="17"/>
          <w:color w:val="auto"/>
        </w:rPr>
      </w:pPr>
      <w:r>
        <w:rPr>
          <w:rFonts w:ascii="Arial" w:cs="Arial" w:eastAsia="Arial" w:hAnsi="Arial"/>
          <w:sz w:val="17"/>
          <w:szCs w:val="17"/>
          <w:color w:val="auto"/>
        </w:rPr>
        <w:t>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175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6" w:space="720"/>
            <w:col w:w="1494"/>
          </w:cols>
          <w:pgMar w:left="320" w:top="981" w:right="339" w:bottom="1440" w:gutter="0" w:footer="0" w:header="0"/>
          <w:type w:val="continuous"/>
        </w:sectPr>
      </w:pPr>
    </w:p>
    <w:p>
      <w:pPr>
        <w:spacing w:after="0" w:line="2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evaluate the carrying amount of goodwill in our unaudited consolidated balance sheets for possible impairment on an annual basis in the fourth quarter or if triggering events occur that require us to evaluate for impairment earlier. No triggering events arose during the three months ended March 31,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INCENTIVE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stock units during the three months ended March 31, 2026.</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57"/>
              <w:spacing w:after="0"/>
              <w:rPr>
                <w:sz w:val="20"/>
                <w:szCs w:val="20"/>
                <w:color w:val="auto"/>
              </w:rPr>
            </w:pPr>
            <w:r>
              <w:rPr>
                <w:rFonts w:ascii="Arial" w:cs="Arial" w:eastAsia="Arial" w:hAnsi="Arial"/>
                <w:sz w:val="14"/>
                <w:szCs w:val="14"/>
                <w:b w:val="1"/>
                <w:bCs w:val="1"/>
                <w:color w:val="auto"/>
              </w:rPr>
              <w:t>Weighted-</w:t>
            </w:r>
          </w:p>
        </w:tc>
      </w:tr>
      <w:tr>
        <w:trPr>
          <w:trHeight w:val="148"/>
        </w:trPr>
        <w:tc>
          <w:tcPr>
            <w:tcW w:w="82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77"/>
              <w:spacing w:after="0" w:line="149" w:lineRule="exact"/>
              <w:rPr>
                <w:sz w:val="20"/>
                <w:szCs w:val="20"/>
                <w:color w:val="auto"/>
              </w:rPr>
            </w:pPr>
            <w:r>
              <w:rPr>
                <w:rFonts w:ascii="Arial" w:cs="Arial" w:eastAsia="Arial" w:hAnsi="Arial"/>
                <w:sz w:val="14"/>
                <w:szCs w:val="14"/>
                <w:b w:val="1"/>
                <w:bCs w:val="1"/>
                <w:color w:val="auto"/>
              </w:rPr>
              <w:t>average</w:t>
            </w:r>
          </w:p>
        </w:tc>
      </w:tr>
      <w:tr>
        <w:trPr>
          <w:trHeight w:val="185"/>
        </w:trPr>
        <w:tc>
          <w:tcPr>
            <w:tcW w:w="826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57"/>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December 31, 2025</w:t>
            </w:r>
          </w:p>
        </w:tc>
        <w:tc>
          <w:tcPr>
            <w:tcW w:w="1420" w:type="dxa"/>
            <w:vAlign w:val="bottom"/>
          </w:tcPr>
          <w:p>
            <w:pPr>
              <w:jc w:val="right"/>
              <w:spacing w:after="0"/>
              <w:rPr>
                <w:sz w:val="20"/>
                <w:szCs w:val="20"/>
                <w:color w:val="auto"/>
              </w:rPr>
            </w:pPr>
            <w:r>
              <w:rPr>
                <w:rFonts w:ascii="Arial" w:cs="Arial" w:eastAsia="Arial" w:hAnsi="Arial"/>
                <w:sz w:val="18"/>
                <w:szCs w:val="18"/>
                <w:color w:val="auto"/>
              </w:rPr>
              <w:t>5,918,352</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114.80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104.71</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(7,293)</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122.95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(70,508)</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March 31,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5,850,972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114.74</w:t>
            </w: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Nonvested at March 31, 2026 includes performance-based restricted stock units of 384,080. These nonvested performance-based restricted stock units include 110,794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requisite service period of the stock-based awards outstanding at March 31, 2026.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ectPr>
          <w:pgSz w:w="11900" w:h="16838" w:orient="portrait"/>
          <w:cols w:equalWidth="0" w:num="1">
            <w:col w:w="11240"/>
          </w:cols>
          <w:pgMar w:left="320" w:top="981" w:right="339" w:bottom="1440" w:gutter="0" w:footer="0" w:header="0"/>
          <w:type w:val="continuous"/>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2028 through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007" w:hanging="1007"/>
        <w:spacing w:after="0"/>
        <w:tabs>
          <w:tab w:leader="none" w:pos="1007" w:val="left"/>
        </w:tabs>
        <w:numPr>
          <w:ilvl w:val="0"/>
          <w:numId w:val="7"/>
        </w:numPr>
        <w:rPr>
          <w:rFonts w:ascii="Arial" w:cs="Arial" w:eastAsia="Arial" w:hAnsi="Arial"/>
          <w:sz w:val="17"/>
          <w:szCs w:val="17"/>
          <w:color w:val="auto"/>
        </w:rPr>
      </w:pPr>
      <w:r>
        <w:rPr>
          <w:rFonts w:ascii="Arial" w:cs="Arial" w:eastAsia="Arial" w:hAnsi="Arial"/>
          <w:sz w:val="17"/>
          <w:szCs w:val="17"/>
          <w:color w:val="auto"/>
        </w:rPr>
        <w:t>48.5</w:t>
      </w:r>
    </w:p>
    <w:p>
      <w:pPr>
        <w:spacing w:after="0" w:line="43"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42.8</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37.2</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80.3</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61.4</w:t>
      </w:r>
    </w:p>
    <w:p>
      <w:pPr>
        <w:spacing w:after="0" w:line="38" w:lineRule="exact"/>
        <w:rPr>
          <w:sz w:val="20"/>
          <w:szCs w:val="20"/>
          <w:color w:val="auto"/>
        </w:rPr>
      </w:pPr>
    </w:p>
    <w:p>
      <w:pPr>
        <w:ind w:left="907" w:hanging="907"/>
        <w:spacing w:after="0"/>
        <w:tabs>
          <w:tab w:leader="none" w:pos="907" w:val="left"/>
        </w:tabs>
        <w:numPr>
          <w:ilvl w:val="0"/>
          <w:numId w:val="8"/>
        </w:numPr>
        <w:rPr>
          <w:rFonts w:ascii="Arial" w:cs="Arial" w:eastAsia="Arial" w:hAnsi="Arial"/>
          <w:sz w:val="17"/>
          <w:szCs w:val="17"/>
          <w:color w:val="auto"/>
        </w:rPr>
      </w:pPr>
      <w:r>
        <w:rPr>
          <w:rFonts w:ascii="Arial" w:cs="Arial" w:eastAsia="Arial" w:hAnsi="Arial"/>
          <w:sz w:val="17"/>
          <w:szCs w:val="17"/>
          <w:color w:val="auto"/>
        </w:rPr>
        <w:t>270.2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175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93" w:space="720"/>
            <w:col w:w="1427"/>
          </w:cols>
          <w:pgMar w:left="320" w:top="981" w:right="339" w:bottom="1440" w:gutter="0" w:footer="0" w:header="0"/>
          <w:type w:val="continuous"/>
        </w:sectPr>
      </w:pP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RESTRICTED FUND UNITS.</w:t>
      </w:r>
    </w:p>
    <w:p>
      <w:pPr>
        <w:spacing w:after="0" w:line="200" w:lineRule="exact"/>
        <w:rPr>
          <w:sz w:val="20"/>
          <w:szCs w:val="20"/>
          <w:color w:val="auto"/>
        </w:rPr>
      </w:pPr>
    </w:p>
    <w:p>
      <w:pPr>
        <w:spacing w:after="0" w:line="29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following table summarizes changes in the restricted fund units liability, which is reported in deferred compensation liabilities on the unaudited consolidated balance sheet, for the three months ended March 31, 2025 and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4"/>
                <w:szCs w:val="14"/>
                <w:b w:val="1"/>
                <w:bCs w:val="1"/>
                <w:color w:val="auto"/>
              </w:rPr>
              <w:t>2025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grant date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Amortization of market appreciation (depreciation)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Balance at March 31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1"/>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following table presents the compensation expense to be recognized over the requisite service period of the restricted fund units outstanding at March 31, 2026. Estimated future compensation expense will change to reflect future grants, changes in the market value of the restricted fund units, which is based on selected hypothetical investments, and adjustments for actual forfeitures. The grants outstanding will vest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ectPr>
          <w:pgSz w:w="11900" w:h="16838" w:orient="portrait"/>
          <w:cols w:equalWidth="0" w:num="1">
            <w:col w:w="11240"/>
          </w:cols>
          <w:pgMar w:left="320" w:top="1174" w:right="339" w:bottom="1440" w:gutter="0" w:footer="0" w:header="0"/>
        </w:sectPr>
      </w:pP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2028 through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074" w:hanging="1074"/>
        <w:spacing w:after="0"/>
        <w:tabs>
          <w:tab w:leader="none" w:pos="1074" w:val="left"/>
        </w:tabs>
        <w:numPr>
          <w:ilvl w:val="0"/>
          <w:numId w:val="9"/>
        </w:numPr>
        <w:rPr>
          <w:rFonts w:ascii="Arial" w:cs="Arial" w:eastAsia="Arial" w:hAnsi="Arial"/>
          <w:sz w:val="17"/>
          <w:szCs w:val="17"/>
          <w:color w:val="auto"/>
        </w:rPr>
      </w:pPr>
      <w:r>
        <w:rPr>
          <w:rFonts w:ascii="Arial" w:cs="Arial" w:eastAsia="Arial" w:hAnsi="Arial"/>
          <w:sz w:val="17"/>
          <w:szCs w:val="17"/>
          <w:color w:val="auto"/>
        </w:rPr>
        <w:t>17.5</w:t>
      </w:r>
    </w:p>
    <w:p>
      <w:pPr>
        <w:spacing w:after="0" w:line="43"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17.0</w:t>
      </w:r>
    </w:p>
    <w:p>
      <w:pPr>
        <w:spacing w:after="0" w:line="34"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13.8</w:t>
      </w:r>
    </w:p>
    <w:p>
      <w:pPr>
        <w:spacing w:after="0" w:line="34"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33.6</w:t>
      </w:r>
    </w:p>
    <w:p>
      <w:pPr>
        <w:spacing w:after="0" w:line="34" w:lineRule="exact"/>
        <w:rPr>
          <w:rFonts w:ascii="Arial" w:cs="Arial" w:eastAsia="Arial" w:hAnsi="Arial"/>
          <w:sz w:val="17"/>
          <w:szCs w:val="17"/>
          <w:color w:val="auto"/>
        </w:rPr>
      </w:pPr>
    </w:p>
    <w:p>
      <w:pPr>
        <w:ind w:left="1074"/>
        <w:spacing w:after="0"/>
        <w:rPr>
          <w:rFonts w:ascii="Arial" w:cs="Arial" w:eastAsia="Arial" w:hAnsi="Arial"/>
          <w:sz w:val="17"/>
          <w:szCs w:val="17"/>
          <w:color w:val="auto"/>
        </w:rPr>
      </w:pPr>
      <w:r>
        <w:rPr>
          <w:rFonts w:ascii="Arial" w:cs="Arial" w:eastAsia="Arial" w:hAnsi="Arial"/>
          <w:sz w:val="17"/>
          <w:szCs w:val="17"/>
          <w:color w:val="auto"/>
        </w:rPr>
        <w:t>30.2</w:t>
      </w:r>
    </w:p>
    <w:p>
      <w:pPr>
        <w:spacing w:after="0" w:line="38" w:lineRule="exact"/>
        <w:rPr>
          <w:sz w:val="20"/>
          <w:szCs w:val="20"/>
          <w:color w:val="auto"/>
        </w:rPr>
      </w:pPr>
    </w:p>
    <w:p>
      <w:pPr>
        <w:ind w:left="974" w:hanging="974"/>
        <w:spacing w:after="0"/>
        <w:tabs>
          <w:tab w:leader="none" w:pos="974" w:val="left"/>
        </w:tabs>
        <w:numPr>
          <w:ilvl w:val="0"/>
          <w:numId w:val="10"/>
        </w:numPr>
        <w:rPr>
          <w:rFonts w:ascii="Arial" w:cs="Arial" w:eastAsia="Arial" w:hAnsi="Arial"/>
          <w:sz w:val="17"/>
          <w:szCs w:val="17"/>
          <w:color w:val="auto"/>
        </w:rPr>
      </w:pPr>
      <w:r>
        <w:rPr>
          <w:rFonts w:ascii="Arial" w:cs="Arial" w:eastAsia="Arial" w:hAnsi="Arial"/>
          <w:sz w:val="17"/>
          <w:szCs w:val="17"/>
          <w:color w:val="auto"/>
        </w:rPr>
        <w:t>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60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26" w:space="720"/>
            <w:col w:w="1494"/>
          </w:cols>
          <w:pgMar w:left="320" w:top="1174" w:right="339"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b w:val="1"/>
                <w:bCs w:val="1"/>
                <w:color w:val="FFFFFF"/>
              </w:rPr>
              <w:t>20</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260" w:type="dxa"/>
            <w:vAlign w:val="bottom"/>
          </w:tcPr>
          <w:p>
            <w:pPr>
              <w:ind w:left="5280"/>
              <w:spacing w:after="0"/>
              <w:rPr>
                <w:sz w:val="20"/>
                <w:szCs w:val="20"/>
                <w:color w:val="auto"/>
              </w:rPr>
            </w:pPr>
            <w:r>
              <w:rPr>
                <w:rFonts w:ascii="Arial" w:cs="Arial" w:eastAsia="Arial" w:hAnsi="Arial"/>
                <w:sz w:val="18"/>
                <w:szCs w:val="18"/>
                <w:color w:val="auto"/>
              </w:rPr>
              <w:t>Page 15</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8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changes in each component of accumulated other comprehensive income (loss), including reclassification adjustments, are presented in the table below.</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80" w:type="dxa"/>
            <w:vAlign w:val="bottom"/>
            <w:gridSpan w:val="8"/>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Three months ended 3/31/2026</w:t>
            </w:r>
          </w:p>
        </w:tc>
        <w:tc>
          <w:tcPr>
            <w:tcW w:w="140" w:type="dxa"/>
            <w:vAlign w:val="bottom"/>
            <w:shd w:val="clear" w:color="auto" w:fill="CCEEFF"/>
          </w:tcPr>
          <w:p>
            <w:pPr>
              <w:spacing w:after="0"/>
              <w:rPr>
                <w:sz w:val="17"/>
                <w:szCs w:val="17"/>
                <w:color w:val="auto"/>
              </w:rPr>
            </w:pPr>
          </w:p>
        </w:tc>
        <w:tc>
          <w:tcPr>
            <w:tcW w:w="3720" w:type="dxa"/>
            <w:vAlign w:val="bottom"/>
            <w:gridSpan w:val="7"/>
            <w:shd w:val="clear" w:color="auto" w:fill="CCEEFF"/>
          </w:tcPr>
          <w:p>
            <w:pPr>
              <w:jc w:val="center"/>
              <w:ind w:right="54"/>
              <w:spacing w:after="0"/>
              <w:rPr>
                <w:sz w:val="20"/>
                <w:szCs w:val="20"/>
                <w:color w:val="auto"/>
              </w:rPr>
            </w:pPr>
            <w:r>
              <w:rPr>
                <w:rFonts w:ascii="Arial" w:cs="Arial" w:eastAsia="Arial" w:hAnsi="Arial"/>
                <w:sz w:val="14"/>
                <w:szCs w:val="14"/>
                <w:b w:val="1"/>
                <w:bCs w:val="1"/>
                <w:color w:val="auto"/>
              </w:rPr>
              <w:t>Three months ended 3/31/2025</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Consolidated</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Consolidated</w:t>
            </w: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investment</w:t>
            </w:r>
          </w:p>
        </w:tc>
        <w:tc>
          <w:tcPr>
            <w:tcW w:w="13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investment</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Equity method</w:t>
            </w:r>
          </w:p>
        </w:tc>
        <w:tc>
          <w:tcPr>
            <w:tcW w:w="14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products -</w:t>
            </w:r>
          </w:p>
        </w:tc>
        <w:tc>
          <w:tcPr>
            <w:tcW w:w="1380" w:type="dxa"/>
            <w:vAlign w:val="bottom"/>
            <w:gridSpan w:val="3"/>
            <w:vMerge w:val="continue"/>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products -</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20" w:type="dxa"/>
            <w:vAlign w:val="bottom"/>
            <w:gridSpan w:val="3"/>
            <w:vMerge w:val="continue"/>
          </w:tcPr>
          <w:p>
            <w:pPr>
              <w:spacing w:after="0"/>
              <w:rPr>
                <w:sz w:val="12"/>
                <w:szCs w:val="12"/>
                <w:color w:val="auto"/>
              </w:rPr>
            </w:pP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translation</w:t>
            </w:r>
          </w:p>
        </w:tc>
        <w:tc>
          <w:tcPr>
            <w:tcW w:w="1300" w:type="dxa"/>
            <w:vAlign w:val="bottom"/>
            <w:gridSpan w:val="3"/>
            <w:vMerge w:val="continue"/>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variable interest</w:t>
            </w:r>
          </w:p>
        </w:tc>
        <w:tc>
          <w:tcPr>
            <w:tcW w:w="140" w:type="dxa"/>
            <w:vAlign w:val="bottom"/>
          </w:tcPr>
          <w:p>
            <w:pPr>
              <w:spacing w:after="0"/>
              <w:rPr>
                <w:sz w:val="12"/>
                <w:szCs w:val="12"/>
                <w:color w:val="auto"/>
              </w:rPr>
            </w:pPr>
          </w:p>
        </w:tc>
        <w:tc>
          <w:tcPr>
            <w:tcW w:w="106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140" w:type="dxa"/>
            <w:vAlign w:val="bottom"/>
          </w:tcPr>
          <w:p>
            <w:pPr>
              <w:spacing w:after="0"/>
              <w:rPr>
                <w:sz w:val="16"/>
                <w:szCs w:val="16"/>
                <w:color w:val="auto"/>
              </w:rPr>
            </w:pPr>
          </w:p>
        </w:tc>
        <w:tc>
          <w:tcPr>
            <w:tcW w:w="1060" w:type="dxa"/>
            <w:vAlign w:val="bottom"/>
          </w:tcPr>
          <w:p>
            <w:pPr>
              <w:jc w:val="center"/>
              <w:ind w:right="54"/>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beginning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center"/>
              <w:ind w:left="597"/>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156"/>
        </w:trPr>
        <w:tc>
          <w:tcPr>
            <w:tcW w:w="3340" w:type="dxa"/>
            <w:vAlign w:val="bottom"/>
          </w:tcPr>
          <w:p>
            <w:pPr>
              <w:ind w:left="180"/>
              <w:spacing w:after="0" w:line="156" w:lineRule="exact"/>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left="577"/>
              <w:spacing w:after="0"/>
              <w:rPr>
                <w:sz w:val="20"/>
                <w:szCs w:val="20"/>
                <w:color w:val="auto"/>
              </w:rPr>
            </w:pPr>
            <w:r>
              <w:rPr>
                <w:rFonts w:ascii="Arial" w:cs="Arial" w:eastAsia="Arial" w:hAnsi="Arial"/>
                <w:sz w:val="18"/>
                <w:szCs w:val="18"/>
                <w:color w:val="auto"/>
                <w:w w:val="97"/>
              </w:rPr>
              <w:t>(0.7)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before reclassifications</w:t>
            </w: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Reclassification adjustments</w:t>
            </w:r>
          </w:p>
        </w:tc>
        <w:tc>
          <w:tcPr>
            <w:tcW w:w="16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center"/>
              <w:ind w:left="577"/>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recognized in non-operating income</w:t>
            </w:r>
          </w:p>
        </w:tc>
        <w:tc>
          <w:tcPr>
            <w:tcW w:w="16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20"/>
              <w:spacing w:after="0" w:line="156" w:lineRule="exact"/>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center"/>
              <w:ind w:left="577"/>
              <w:spacing w:after="0"/>
              <w:rPr>
                <w:sz w:val="20"/>
                <w:szCs w:val="20"/>
                <w:color w:val="auto"/>
              </w:rPr>
            </w:pPr>
            <w:r>
              <w:rPr>
                <w:rFonts w:ascii="Arial" w:cs="Arial" w:eastAsia="Arial" w:hAnsi="Arial"/>
                <w:sz w:val="18"/>
                <w:szCs w:val="18"/>
                <w:color w:val="auto"/>
                <w:w w:val="97"/>
              </w:rPr>
              <w:t>(0.9)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deferred tax benefits (income</w:t>
            </w: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center"/>
              <w:ind w:left="597"/>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77"/>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597"/>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other comprehensive income (loss) in the table above excludes net losses of $0.7 million and net gains of $3.1 million for the three months ended March 31, 2026 and 2025, respectively, related to redeemable non-controlling interests held in our consolidated investment products.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 SEGMENT REPORTING.</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have one reportable segment: investment management services. We derive our revenue and net income globally and manage business activities on a consolidated basis.</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largely derive our revenues and net income from investment advisory services provided to individual and institutional investors. We also provide certain administrative services, including mutual fund transfer agent, fund and product accounting, distribution, and shareholder services; participant recordkeeping and transfer agent services for defined contribution retirement plans; and other advisory services. Our revenues and net income depend largely on the total value and composition of our assets under management, as such, the consideration for our services is generally variable and recognized over time.</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chief operating decision maker (CODM) is the chief executive officer. The CODM utilizes consolidated net income attributable to T. Rowe Price Group as reported on the consolidated statements of income and certain non-GAAP metrics to assess performance and allocate resources. Based on these metrics, the CODM decides either to reinvest profits into the business based on our strategic priorities and/or return cash to stockholders through dividends and share repurchases.</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determined there are no significant segment expenses that require a separate disclosure, as the major categories of expenses regularly reviewed by the CODM to manage operations are disclosed in the consolidated statements of income. Quarterly reviews of expenses highlight those influenced by financial markets, such as distribution and servicing costs, as well as those that are both qualitatively and quantitatively significant. The measure of segment assets is reported on the consolidated balance sheet as total assets.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5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 Rowe Price Group has committed $249 million for investment in future OHA product launches through 2026. In April, we agreed to extend the commitment to 2030.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is contingent</w:t>
      </w:r>
    </w:p>
    <w:p>
      <w:pPr>
        <w:spacing w:after="0" w:line="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in 2026 and 2027 upon satisfying or exceeding certain defined revenue targets. These defined revenue targets will be evaluated on a cumulative basis from 2022 through 2026. About 22% of the earnout is conditioned upon continued service with T. Rowe Price Group and was excluded from the purchase consideration and deemed compensatory. The fair value of the earnout is remeasured each reporting period and was valued at zero as of March 31, 2026 and December 31,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39"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RESTRUCTURING CHARGE.</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separately disclosed in the unaudited consolidated statements of income, we recognized a restructuring charge of $10.0 million, primarily severance, in the first quarter of 2026, related to actions taken under a broad and ongoing expense management program, which is designed to reduce expense growth and realign resources to support investment in existing and future capabilities. At March 31, 2026, we had $5.2 million in accrued compensation and related costs related to this program.</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reviewed the consolidated balance sheet of T. Rowe Price Group, Inc. and subsidiaries (the Company) as of March 31, 2026, the related consolidated statements of income, comprehensive income, stockholders’ equity, and cash flows for the three-month periods ended March 31, 2026 and 2025,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2025, and the related consolidated statements of income, comprehensive income, stockholders’ equity, and cash flows for the year then ended (not presented herein); and in our report dated February 13,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globally to individual and institutional investors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other advisory services.</w:t>
      </w:r>
    </w:p>
    <w:p>
      <w:pPr>
        <w:spacing w:after="0" w:line="20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our assets under management. Accordingly, fluctuations in financial markets and in the composition of assets under management affect our revenues and results of operations.</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clients and additional investments from our existing clients. These efforts often involve costs that precede any future revenues we may recognize from an increase to our assets under management.</w:t>
      </w:r>
    </w:p>
    <w:p>
      <w:pPr>
        <w:spacing w:after="0" w:line="198"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investment management industry is evolving, facing challenging trends such as passive strategies taking market share from traditional active strategies; continued downward fee pressure; demand for new investment vehicles to meet client needs; and an ever-changing regulatory landscape. In this regard, we have ample liquidity and resources that allow us to take advantage of attractive growth opportunities. Furthermore, we have developed a broad and ongoing plan to align our expense growth with anticipated revenue growth. As a result, we have initiated certain actions to reduce expense growth, realign resources, and invest in existing and future capabilities, while also helping to offset ongoing inflationary pressures on compensation and contractual spending. These investments include hiring investment and distribution professionals, adopting new technologies, and offering new products to provide our clients with strong investment management expertise and services.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5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Global financial markets experienced increased volatility during the first quarter of 2026. In the U.S., equity markets produced mixed results during the quarter. Equity prices advanced early in the quarter amid solid corporate earnings and generally favorable economic data. Later in the quarter, heightened geopolitical tensions disrupted global energy supply conditions, leading to a sharp increase in oil prices and a corresponding reassessment of inflation risks. This shift contributed to increased market volatility and downward pressure on equity valuations, particularly toward the end of the quarter.</w:t>
      </w:r>
    </w:p>
    <w:p>
      <w:pPr>
        <w:spacing w:after="0" w:line="20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Performance varied across market capitalizations and investment styles. Small - and mid-capitalization stocks outperformed large-cap stocks, and value-oriented equities outperformed growth equities across capitalization ranges. Energy stocks significantly outperformed amid higher commodity prices along with materials and utilities. In contrast, consumer discretionary, financials, information technology, and communication services underperformed.</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Developed international and emerging equity markets were modestly negative for the quarter. Early gains were offset by late-quarter declines as higher energy costs weighed on growth expectations, particularly in regions dependent on imported energy.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r>
      <w:tr>
        <w:trPr>
          <w:trHeight w:val="202"/>
        </w:trPr>
        <w:tc>
          <w:tcPr>
            <w:tcW w:w="9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3/31/2026</w:t>
            </w:r>
          </w:p>
        </w:tc>
      </w:tr>
      <w:tr>
        <w:trPr>
          <w:trHeight w:val="224"/>
        </w:trPr>
        <w:tc>
          <w:tcPr>
            <w:tcW w:w="9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(4.3)%</w:t>
            </w:r>
          </w:p>
        </w:tc>
      </w:tr>
      <w:tr>
        <w:trPr>
          <w:trHeight w:val="230"/>
        </w:trPr>
        <w:tc>
          <w:tcPr>
            <w:tcW w:w="97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500" w:type="dxa"/>
            <w:vAlign w:val="bottom"/>
          </w:tcPr>
          <w:p>
            <w:pPr>
              <w:jc w:val="center"/>
              <w:spacing w:after="0"/>
              <w:rPr>
                <w:sz w:val="20"/>
                <w:szCs w:val="20"/>
                <w:color w:val="auto"/>
              </w:rPr>
            </w:pPr>
            <w:r>
              <w:rPr>
                <w:rFonts w:ascii="Arial" w:cs="Arial" w:eastAsia="Arial" w:hAnsi="Arial"/>
                <w:sz w:val="18"/>
                <w:szCs w:val="18"/>
                <w:color w:val="auto"/>
              </w:rPr>
              <w:t>(7.1)%</w:t>
            </w:r>
          </w:p>
        </w:tc>
      </w:tr>
      <w:tr>
        <w:trPr>
          <w:trHeight w:val="230"/>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2000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0.9%</w:t>
            </w:r>
          </w:p>
        </w:tc>
      </w:tr>
      <w:tr>
        <w:trPr>
          <w:trHeight w:val="229"/>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(1.1)%</w:t>
            </w:r>
          </w:p>
        </w:tc>
      </w:tr>
      <w:tr>
        <w:trPr>
          <w:trHeight w:val="230"/>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Emerging Markets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w:t>
            </w:r>
          </w:p>
        </w:tc>
      </w:tr>
    </w:tbl>
    <w:p>
      <w:pPr>
        <w:spacing w:after="0" w:line="87"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ind w:right="520"/>
        <w:spacing w:after="0" w:line="247" w:lineRule="auto"/>
        <w:rPr>
          <w:sz w:val="20"/>
          <w:szCs w:val="20"/>
          <w:color w:val="auto"/>
        </w:rPr>
      </w:pPr>
      <w:r>
        <w:rPr>
          <w:rFonts w:ascii="Arial" w:cs="Arial" w:eastAsia="Arial" w:hAnsi="Arial"/>
          <w:sz w:val="18"/>
          <w:szCs w:val="18"/>
          <w:color w:val="auto"/>
        </w:rPr>
        <w:t>Global bond returns were modestly negative in the first quarter of 2026. In the U.S., fixed income markets were relatively flat during the quarter. Earlier gains were reversed later in the period as rising energy prices contributed to upward pressure on inflation expectations. Heightened geopolitical uncertainty increased interest rate volatility and complicated expectations regarding the duration of restrictive monetary policy. The Federal Reserve maintained its policy rate during the quarter, reflecting a continued data-dependent stance amid evolving economic and geopolitical conditions.</w:t>
      </w:r>
    </w:p>
    <w:p>
      <w:pPr>
        <w:spacing w:after="0" w:line="21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Mortgage-backed and asset-backed securities outperformed, while corporate bonds underperformed as credit spreads widened later in the quarter. Treasury securities posted modest losses. The U.S. dollar weakened early in the quarter amid shifting global capital flows before strengthening later as risk aversion increased.</w:t>
      </w:r>
    </w:p>
    <w:p>
      <w:pPr>
        <w:spacing w:after="0" w:line="20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International fixed income markets posted negative returns for the quarter, driven primarily by rising sovereign yields late in the period. Earlier gains supported by easing inflation trends were offset as geopolitical developments led to sharp increases in energy prices and a broad reassessment of inflation outlooks and anticipated central bank policy actions across major regions.</w:t>
      </w:r>
    </w:p>
    <w:p>
      <w:pPr>
        <w:spacing w:after="0" w:line="209"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Emerging market bonds also declined during the quarter. Hard-currency sovereign bonds were negatively affected by widening credit spreads as investors reassessed sovereign credit risk amid tighter global financial conditions. Local-currency emerging market debt experienced additional pressure from rising domestic yields and currency depreciation later in the period, reflecting increased risk aversion and U.S. dollar strength. Earlier supportive conditions for emerging market fixed income were outweighed as geopolitical risks intensified toward quarter-end.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bond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r>
      <w:tr>
        <w:trPr>
          <w:trHeight w:val="202"/>
        </w:trPr>
        <w:tc>
          <w:tcPr>
            <w:tcW w:w="9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3/31/2026</w:t>
            </w:r>
          </w:p>
        </w:tc>
      </w:tr>
      <w:tr>
        <w:trPr>
          <w:trHeight w:val="224"/>
        </w:trPr>
        <w:tc>
          <w:tcPr>
            <w:tcW w:w="9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Bloomberg Barclays U.S. Aggregate Bond Index</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(0.1)%</w:t>
            </w:r>
          </w:p>
        </w:tc>
      </w:tr>
      <w:tr>
        <w:trPr>
          <w:trHeight w:val="230"/>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J.P. Morgan Global High Yield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(0.2)%</w:t>
            </w:r>
          </w:p>
        </w:tc>
      </w:tr>
      <w:tr>
        <w:trPr>
          <w:trHeight w:val="229"/>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Barclays Municipal Bond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(0.2)%</w:t>
            </w:r>
          </w:p>
        </w:tc>
      </w:tr>
      <w:tr>
        <w:trPr>
          <w:trHeight w:val="230"/>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Bloomberg Barclays Global Aggregate Ex-U.S. Dollar Bond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(1.9)%</w:t>
            </w:r>
          </w:p>
        </w:tc>
      </w:tr>
      <w:tr>
        <w:trPr>
          <w:trHeight w:val="230"/>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 Morgan Emerging Markets Bond Index Plus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w:t>
            </w:r>
          </w:p>
        </w:tc>
      </w:tr>
      <w:tr>
        <w:trPr>
          <w:trHeight w:val="230"/>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Bank of America US High Yield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(0.6)%</w:t>
            </w:r>
          </w:p>
        </w:tc>
      </w:tr>
      <w:tr>
        <w:trPr>
          <w:trHeight w:val="229"/>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Suisse Leveraged Loan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(0.5)%</w:t>
            </w: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r>
        <w:rPr>
          <w:rFonts w:ascii="Arial" w:cs="Arial" w:eastAsia="Arial" w:hAnsi="Arial"/>
          <w:sz w:val="23"/>
          <w:szCs w:val="23"/>
          <w:b w:val="1"/>
          <w:bCs w:val="1"/>
          <w:i w:val="1"/>
          <w:iCs w:val="1"/>
          <w:u w:val="single" w:color="auto"/>
          <w:color w:val="auto"/>
          <w:vertAlign w:val="superscript"/>
        </w:rPr>
        <w:t>(1)</w:t>
      </w:r>
    </w:p>
    <w:p>
      <w:pPr>
        <w:spacing w:after="0" w:line="19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Assets under management ended the first quarter of 2026 at $1,709.7 billion, a decrease of $65.9 billion from December 31, 2025. The decrease was driven by market depreciation of $52.2 billion and net cash outflows of $13.7 billion.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first quarter of 2026: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860" w:type="dxa"/>
            <w:vAlign w:val="bottom"/>
            <w:tcBorders>
              <w:bottom w:val="single" w:sz="8" w:color="auto"/>
            </w:tcBorders>
            <w:gridSpan w:val="6"/>
            <w:shd w:val="clear" w:color="auto" w:fill="CCEEFF"/>
          </w:tcPr>
          <w:p>
            <w:pPr>
              <w:jc w:val="center"/>
              <w:ind w:left="288"/>
              <w:spacing w:after="0"/>
              <w:rPr>
                <w:sz w:val="20"/>
                <w:szCs w:val="20"/>
                <w:color w:val="auto"/>
              </w:rPr>
            </w:pPr>
            <w:r>
              <w:rPr>
                <w:rFonts w:ascii="Arial" w:cs="Arial" w:eastAsia="Arial" w:hAnsi="Arial"/>
                <w:sz w:val="14"/>
                <w:szCs w:val="14"/>
                <w:b w:val="1"/>
                <w:bCs w:val="1"/>
                <w:color w:val="auto"/>
              </w:rPr>
              <w:t>Three months ended 3/31/2026</w:t>
            </w:r>
          </w:p>
        </w:tc>
        <w:tc>
          <w:tcPr>
            <w:tcW w:w="5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rPr>
              <w:t>Fixed income,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28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00" w:type="dxa"/>
            <w:vAlign w:val="bottom"/>
          </w:tcPr>
          <w:p>
            <w:pPr>
              <w:spacing w:after="0"/>
              <w:rPr>
                <w:sz w:val="12"/>
                <w:szCs w:val="12"/>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10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including</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Multi-asset</w:t>
            </w:r>
            <w:r>
              <w:rPr>
                <w:rFonts w:ascii="Arial" w:cs="Arial" w:eastAsia="Arial" w:hAnsi="Arial"/>
                <w:sz w:val="18"/>
                <w:szCs w:val="18"/>
                <w:b w:val="1"/>
                <w:bCs w:val="1"/>
                <w:color w:val="auto"/>
                <w:w w:val="97"/>
                <w:vertAlign w:val="superscript"/>
              </w:rPr>
              <w:t>(2)</w:t>
            </w:r>
          </w:p>
        </w:tc>
        <w:tc>
          <w:tcPr>
            <w:tcW w:w="12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(3)</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money market</w:t>
            </w:r>
          </w:p>
        </w:tc>
        <w:tc>
          <w:tcPr>
            <w:tcW w:w="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under management at beginning of period</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627.0</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1,775.6</w:t>
            </w:r>
          </w:p>
        </w:tc>
        <w:tc>
          <w:tcPr>
            <w:tcW w:w="0" w:type="dxa"/>
            <w:vAlign w:val="bottom"/>
          </w:tcPr>
          <w:p>
            <w:pPr>
              <w:spacing w:after="0"/>
              <w:rPr>
                <w:sz w:val="1"/>
                <w:szCs w:val="1"/>
                <w:color w:val="auto"/>
              </w:rPr>
            </w:pPr>
          </w:p>
        </w:tc>
      </w:tr>
      <w:tr>
        <w:trPr>
          <w:trHeight w:val="34"/>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 prior to manager-driven distributions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8"/>
        </w:trPr>
        <w:tc>
          <w:tcPr>
            <w:tcW w:w="5280" w:type="dxa"/>
            <w:vAlign w:val="bottom"/>
          </w:tcPr>
          <w:p>
            <w:pPr>
              <w:ind w:left="20"/>
              <w:spacing w:after="0"/>
              <w:rPr>
                <w:sz w:val="20"/>
                <w:szCs w:val="20"/>
                <w:color w:val="auto"/>
              </w:rPr>
            </w:pPr>
            <w:r>
              <w:rPr>
                <w:rFonts w:ascii="Arial" w:cs="Arial" w:eastAsia="Arial" w:hAnsi="Arial"/>
                <w:sz w:val="14"/>
                <w:szCs w:val="14"/>
                <w:color w:val="auto"/>
              </w:rPr>
              <w:t>Manager-driven distributions</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flows</w:t>
            </w: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Net market appreciation (depreciation) and income</w:t>
            </w:r>
            <w:r>
              <w:rPr>
                <w:rFonts w:ascii="Arial" w:cs="Arial" w:eastAsia="Arial" w:hAnsi="Arial"/>
                <w:sz w:val="18"/>
                <w:szCs w:val="18"/>
                <w:color w:val="auto"/>
                <w:vertAlign w:val="superscript"/>
              </w:rPr>
              <w:t>(4)</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92"/>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during the period</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200"/>
        </w:trPr>
        <w:tc>
          <w:tcPr>
            <w:tcW w:w="5280" w:type="dxa"/>
            <w:vAlign w:val="bottom"/>
          </w:tcPr>
          <w:p>
            <w:pPr>
              <w:ind w:left="20"/>
              <w:spacing w:after="0"/>
              <w:rPr>
                <w:sz w:val="20"/>
                <w:szCs w:val="20"/>
                <w:color w:val="auto"/>
              </w:rPr>
            </w:pPr>
            <w:r>
              <w:rPr>
                <w:rFonts w:ascii="Arial" w:cs="Arial" w:eastAsia="Arial" w:hAnsi="Arial"/>
                <w:sz w:val="14"/>
                <w:szCs w:val="14"/>
                <w:color w:val="auto"/>
              </w:rPr>
              <w:t>Assets under management at March 31, 2026</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214.6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625.0</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1,709.7</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fee earning assets in which T. Rowe Price and its affiliates have full discretionary authority along with managed account - model delivery assets.</w:t>
      </w:r>
    </w:p>
    <w:p>
      <w:pPr>
        <w:spacing w:after="0" w:line="8" w:lineRule="exact"/>
        <w:rPr>
          <w:rFonts w:ascii="Arial" w:cs="Arial" w:eastAsia="Arial" w:hAnsi="Arial"/>
          <w:sz w:val="16"/>
          <w:szCs w:val="16"/>
          <w:i w:val="1"/>
          <w:iCs w:val="1"/>
          <w:color w:val="auto"/>
          <w:vertAlign w:val="superscript"/>
        </w:rPr>
      </w:pPr>
    </w:p>
    <w:p>
      <w:pPr>
        <w:ind w:left="240" w:hanging="232"/>
        <w:spacing w:after="0" w:line="200" w:lineRule="auto"/>
        <w:tabs>
          <w:tab w:leader="none" w:pos="2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2" w:lineRule="exact"/>
        <w:rPr>
          <w:rFonts w:ascii="Arial" w:cs="Arial" w:eastAsia="Arial" w:hAnsi="Arial"/>
          <w:sz w:val="16"/>
          <w:szCs w:val="16"/>
          <w:i w:val="1"/>
          <w:iCs w:val="1"/>
          <w:color w:val="auto"/>
          <w:vertAlign w:val="superscript"/>
        </w:rPr>
      </w:pPr>
    </w:p>
    <w:p>
      <w:pPr>
        <w:ind w:left="180" w:right="360" w:hanging="172"/>
        <w:spacing w:after="0" w:line="221" w:lineRule="auto"/>
        <w:tabs>
          <w:tab w:leader="none" w:pos="157"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alternatives asset class includes strategies authorized to invest more than 50% of its holdings in private credit, leveraged loans, mezzanine, real assets/CRE, structured products, stressed / distressed, non-investment grade CLOs, special situations, private equity, or have absolute return as its investment objective. Generally, only those strategies with longer than daily liquidity are included. Unfunded capital commitments were $20.9 billion at March 31, 2026 and $21.6 billion at December 31, 2025 and are not reflected in fee basis AUM above.</w:t>
      </w:r>
    </w:p>
    <w:p>
      <w:pPr>
        <w:ind w:left="140" w:hanging="132"/>
        <w:spacing w:after="0" w:line="200"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first quarter of 2026 of $0.6.</w:t>
      </w:r>
    </w:p>
    <w:p>
      <w:pPr>
        <w:spacing w:after="0" w:line="225" w:lineRule="exact"/>
        <w:rPr>
          <w:sz w:val="20"/>
          <w:szCs w:val="20"/>
          <w:color w:val="auto"/>
        </w:rPr>
      </w:pPr>
    </w:p>
    <w:p>
      <w:pPr>
        <w:jc w:val="both"/>
        <w:ind w:right="400"/>
        <w:spacing w:after="0" w:line="287" w:lineRule="auto"/>
        <w:rPr>
          <w:sz w:val="20"/>
          <w:szCs w:val="20"/>
          <w:color w:val="auto"/>
        </w:rPr>
      </w:pPr>
      <w:r>
        <w:rPr>
          <w:rFonts w:ascii="Arial" w:cs="Arial" w:eastAsia="Arial" w:hAnsi="Arial"/>
          <w:sz w:val="18"/>
          <w:szCs w:val="18"/>
          <w:color w:val="auto"/>
        </w:rPr>
        <w:t>Investment advisory clients outside the United States account for 8.6% of our assets under management at March 31, 2026 and 8.8% at December 31, 2025.</w:t>
      </w:r>
    </w:p>
    <w:p>
      <w:pPr>
        <w:spacing w:after="0" w:line="180"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Assets under management in our target date retirement products, which are included in the multi-asset totals shown above, were $561.3 billion at March 31, 2026, compared with $561.4 billion at December 31, 2025. Net flows into these portfolios were $4.9 billion in the first quarter of 2026.</w:t>
      </w:r>
    </w:p>
    <w:p>
      <w:pPr>
        <w:spacing w:after="0" w:line="198"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Our multi-asset investment division provides advisory solutions that include investment insights, strategic asset allocation design, tactical asset allocation recommendations, and portfolio rebalancing services. The assets in these solutions, predominantly in the United States, were $27.8 billion at March 31, 2026 and December 31, 2025.</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provide participant accounting and plan administration for defined contribution retirement plans that primarily invest in our U.S. mutual funds, collective investment trusts and funds managed outside of our complex. As of March 31, 2026, our assets under administration were $314 billion, of which $176 billion are assets we manage.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3"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Our performance disclosures include specific asset classes, assets under management weighted performance, U.S. fund performance against passive peers, and composite performance against benchmarks. The following tables present investment performance for the one-, three-, five-, and 10-years ended March 31, 2026. Past performance is not a guarantee nor a reliable indicator of future performance.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w w:val="99"/>
              </w:rPr>
              <w:t>% of U.S. funds that outperformed Morningstar median</w:t>
            </w:r>
            <w:r>
              <w:rPr>
                <w:rFonts w:ascii="Arial" w:cs="Arial" w:eastAsia="Arial" w:hAnsi="Arial"/>
                <w:sz w:val="21"/>
                <w:szCs w:val="21"/>
                <w:b w:val="1"/>
                <w:bCs w:val="1"/>
                <w:color w:val="auto"/>
                <w:w w:val="99"/>
                <w:vertAlign w:val="superscript"/>
              </w:rPr>
              <w:t>(2),(3)</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35%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58%</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57%</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27%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30%</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39%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43%</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59%</w:t>
            </w:r>
          </w:p>
        </w:tc>
      </w:tr>
      <w:tr>
        <w:trPr>
          <w:trHeight w:val="109"/>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w w:val="98"/>
              </w:rPr>
              <w:t>% of U.S. funds that outperformed passive peer median</w:t>
            </w:r>
            <w:r>
              <w:rPr>
                <w:rFonts w:ascii="Arial" w:cs="Arial" w:eastAsia="Arial" w:hAnsi="Arial"/>
                <w:sz w:val="21"/>
                <w:szCs w:val="21"/>
                <w:b w:val="1"/>
                <w:bCs w:val="1"/>
                <w:color w:val="auto"/>
                <w:w w:val="98"/>
                <w:vertAlign w:val="superscript"/>
              </w:rPr>
              <w:t>(2),(4)</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19%</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37%</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39%</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47%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26%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52%</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28%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47%</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79"/>
              <w:spacing w:after="0"/>
              <w:rPr>
                <w:sz w:val="20"/>
                <w:szCs w:val="20"/>
                <w:color w:val="auto"/>
              </w:rPr>
            </w:pPr>
            <w:r>
              <w:rPr>
                <w:rFonts w:ascii="Arial" w:cs="Arial" w:eastAsia="Arial" w:hAnsi="Arial"/>
                <w:sz w:val="16"/>
                <w:szCs w:val="16"/>
                <w:color w:val="auto"/>
                <w:w w:val="99"/>
              </w:rPr>
              <w:t>17%</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25%</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45%</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69%</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34%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r>
      <w:tr>
        <w:trPr>
          <w:trHeight w:val="36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8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5"/>
        </w:trPr>
        <w:tc>
          <w:tcPr>
            <w:tcW w:w="20" w:type="dxa"/>
            <w:vAlign w:val="bottom"/>
            <w:shd w:val="clear" w:color="auto" w:fill="CCEEFF"/>
          </w:tcPr>
          <w:p>
            <w:pPr>
              <w:spacing w:after="0"/>
              <w:rPr>
                <w:sz w:val="15"/>
                <w:szCs w:val="15"/>
                <w:color w:val="auto"/>
              </w:rPr>
            </w:pPr>
          </w:p>
        </w:tc>
        <w:tc>
          <w:tcPr>
            <w:tcW w:w="45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21%</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73%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84%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tcPr>
          <w:p>
            <w:pPr>
              <w:jc w:val="center"/>
              <w:ind w:right="559"/>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93%</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23%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58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ind w:right="559"/>
              <w:spacing w:after="0"/>
              <w:rPr>
                <w:sz w:val="20"/>
                <w:szCs w:val="20"/>
                <w:color w:val="auto"/>
              </w:rPr>
            </w:pPr>
            <w:r>
              <w:rPr>
                <w:rFonts w:ascii="Arial" w:cs="Arial" w:eastAsia="Arial" w:hAnsi="Arial"/>
                <w:sz w:val="16"/>
                <w:szCs w:val="16"/>
                <w:color w:val="auto"/>
                <w:w w:val="94"/>
              </w:rPr>
              <w:t>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25%</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42%</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72%</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80%</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58%</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100" w:type="dxa"/>
            <w:vAlign w:val="bottom"/>
            <w:shd w:val="clear" w:color="auto" w:fill="CCEEFF"/>
          </w:tcPr>
          <w:p>
            <w:pPr>
              <w:jc w:val="center"/>
              <w:ind w:right="559"/>
              <w:spacing w:after="0"/>
              <w:rPr>
                <w:sz w:val="20"/>
                <w:szCs w:val="20"/>
                <w:color w:val="auto"/>
              </w:rPr>
            </w:pPr>
            <w:r>
              <w:rPr>
                <w:rFonts w:ascii="Arial" w:cs="Arial" w:eastAsia="Arial" w:hAnsi="Arial"/>
                <w:sz w:val="16"/>
                <w:szCs w:val="16"/>
                <w:color w:val="auto"/>
                <w:w w:val="93"/>
              </w:rPr>
              <w:t>11%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56%</w:t>
            </w:r>
          </w:p>
        </w:tc>
      </w:tr>
      <w:tr>
        <w:trPr>
          <w:trHeight w:val="109"/>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2380" w:type="dxa"/>
            <w:vAlign w:val="bottom"/>
            <w:gridSpan w:val="2"/>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579"/>
              <w:spacing w:after="0"/>
              <w:rPr>
                <w:sz w:val="20"/>
                <w:szCs w:val="20"/>
                <w:color w:val="auto"/>
              </w:rPr>
            </w:pPr>
            <w:r>
              <w:rPr>
                <w:rFonts w:ascii="Arial" w:cs="Arial" w:eastAsia="Arial" w:hAnsi="Arial"/>
                <w:sz w:val="16"/>
                <w:szCs w:val="16"/>
                <w:color w:val="auto"/>
                <w:w w:val="99"/>
              </w:rPr>
              <w:t>13%</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33%</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18%</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39%</w:t>
            </w:r>
          </w:p>
        </w:tc>
      </w:tr>
      <w:tr>
        <w:trPr>
          <w:trHeight w:val="217"/>
        </w:trPr>
        <w:tc>
          <w:tcPr>
            <w:tcW w:w="20" w:type="dxa"/>
            <w:vAlign w:val="bottom"/>
            <w:shd w:val="clear" w:color="auto" w:fill="CCEEFF"/>
          </w:tcPr>
          <w:p>
            <w:pPr>
              <w:spacing w:after="0"/>
              <w:rPr>
                <w:sz w:val="18"/>
                <w:szCs w:val="18"/>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100" w:type="dxa"/>
            <w:vAlign w:val="bottom"/>
            <w:shd w:val="clear" w:color="auto" w:fill="CCEEFF"/>
          </w:tcPr>
          <w:p>
            <w:pPr>
              <w:jc w:val="center"/>
              <w:ind w:right="579"/>
              <w:spacing w:after="0"/>
              <w:rPr>
                <w:sz w:val="20"/>
                <w:szCs w:val="20"/>
                <w:color w:val="auto"/>
              </w:rPr>
            </w:pPr>
            <w:r>
              <w:rPr>
                <w:rFonts w:ascii="Arial" w:cs="Arial" w:eastAsia="Arial" w:hAnsi="Arial"/>
                <w:sz w:val="16"/>
                <w:szCs w:val="16"/>
                <w:color w:val="auto"/>
                <w:w w:val="99"/>
              </w:rPr>
              <w:t>63%</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215"/>
        </w:trPr>
        <w:tc>
          <w:tcPr>
            <w:tcW w:w="20" w:type="dxa"/>
            <w:vAlign w:val="bottom"/>
          </w:tcPr>
          <w:p>
            <w:pPr>
              <w:spacing w:after="0"/>
              <w:rPr>
                <w:sz w:val="18"/>
                <w:szCs w:val="18"/>
                <w:color w:val="auto"/>
              </w:rPr>
            </w:pPr>
          </w:p>
        </w:tc>
        <w:tc>
          <w:tcPr>
            <w:tcW w:w="456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100" w:type="dxa"/>
            <w:vAlign w:val="bottom"/>
          </w:tcPr>
          <w:p>
            <w:pPr>
              <w:jc w:val="center"/>
              <w:ind w:right="579"/>
              <w:spacing w:after="0"/>
              <w:rPr>
                <w:sz w:val="20"/>
                <w:szCs w:val="20"/>
                <w:color w:val="auto"/>
              </w:rPr>
            </w:pPr>
            <w:r>
              <w:rPr>
                <w:rFonts w:ascii="Arial" w:cs="Arial" w:eastAsia="Arial" w:hAnsi="Arial"/>
                <w:sz w:val="16"/>
                <w:szCs w:val="16"/>
                <w:color w:val="auto"/>
                <w:w w:val="99"/>
              </w:rPr>
              <w:t>23%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38%</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26%</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44%</w:t>
            </w:r>
          </w:p>
        </w:tc>
      </w:tr>
    </w:tbl>
    <w:p>
      <w:pPr>
        <w:spacing w:after="0" w:line="347" w:lineRule="exact"/>
        <w:rPr>
          <w:sz w:val="20"/>
          <w:szCs w:val="20"/>
          <w:color w:val="auto"/>
        </w:rPr>
      </w:pPr>
    </w:p>
    <w:p>
      <w:pPr>
        <w:jc w:val="both"/>
        <w:ind w:right="80"/>
        <w:spacing w:after="0" w:line="237" w:lineRule="auto"/>
        <w:rPr>
          <w:sz w:val="20"/>
          <w:szCs w:val="20"/>
          <w:color w:val="auto"/>
        </w:rPr>
      </w:pPr>
      <w:r>
        <w:rPr>
          <w:rFonts w:ascii="Arial" w:cs="Arial" w:eastAsia="Arial" w:hAnsi="Arial"/>
          <w:sz w:val="18"/>
          <w:szCs w:val="18"/>
          <w:color w:val="auto"/>
        </w:rPr>
        <w:t>As of March 31, 2026, 68 of 140 (48.6%)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61.0%</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March 31, 2026 with an overall rating of 4 or 5 stars.</w:t>
      </w:r>
    </w:p>
    <w:p>
      <w:pPr>
        <w:spacing w:after="0" w:line="212"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investment performance reflects that of T. Rowe Price U.S. mutual funds, ETFs, and composites.</w:t>
      </w:r>
    </w:p>
    <w:p>
      <w:pPr>
        <w:ind w:left="140" w:hanging="132"/>
        <w:spacing w:after="0" w:line="214" w:lineRule="auto"/>
        <w:tabs>
          <w:tab w:leader="none" w:pos="140" w:val="left"/>
        </w:tabs>
        <w:numPr>
          <w:ilvl w:val="0"/>
          <w:numId w:val="1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Source: © 2026 Morningstar, Inc. All rights reserved. The information contained herein: 1) is proprietary to Morningstar and/or its content providers; 2) may not be copied or distributed; and 3) is not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warranted to be accurate, complete, or timely. Neither Morningstar nor its content providers are responsible for any damages or losses arising from any use of this information.</w:t>
      </w:r>
    </w:p>
    <w:p>
      <w:pPr>
        <w:ind w:right="60" w:firstLine="8"/>
        <w:spacing w:after="0" w:line="221" w:lineRule="auto"/>
        <w:tabs>
          <w:tab w:leader="none" w:pos="135" w:val="left"/>
        </w:tabs>
        <w:numPr>
          <w:ilvl w:val="0"/>
          <w:numId w:val="1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outperformed the Morningstar category median. The bottom chart reflects the percentage of T. Rowe Price funds AUM that has outperformed for the time periods indicated. Total AUM included for this analysis includes $306B for 1 year, $294B for 3 years, $293B for 5 years, and $292B for 10 years.</w:t>
      </w:r>
    </w:p>
    <w:p>
      <w:pPr>
        <w:ind w:firstLine="8"/>
        <w:spacing w:after="0" w:line="223" w:lineRule="auto"/>
        <w:tabs>
          <w:tab w:leader="none" w:pos="135" w:val="left"/>
        </w:tabs>
        <w:numPr>
          <w:ilvl w:val="0"/>
          <w:numId w:val="1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a retail fund.This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2" w:name="page23"/>
    <w:bookmarkEnd w:id="22"/>
    <w:p>
      <w:pPr>
        <w:ind w:right="140"/>
        <w:spacing w:after="0" w:line="221" w:lineRule="auto"/>
        <w:rPr>
          <w:sz w:val="20"/>
          <w:szCs w:val="20"/>
          <w:color w:val="auto"/>
        </w:rPr>
      </w:pPr>
      <w:r>
        <w:rPr>
          <w:rFonts w:ascii="Arial" w:cs="Arial" w:eastAsia="Arial" w:hAnsi="Arial"/>
          <w:sz w:val="13"/>
          <w:szCs w:val="13"/>
          <w:i w:val="1"/>
          <w:iCs w:val="1"/>
          <w:color w:val="auto"/>
        </w:rPr>
        <w:t>analysis compares T. Rowe Price active funds with the applicable universe of passive/index open-end funds and ETFs of peer firms. The top chart reflects the percentage of T. Rowe Price funds with 1 year, 3 year, 5 year, and 10 year track record that outperformed the passive peer universe. The bottom chart reflects the percentage of T. Rowe Price funds AUM that has outperformed for the time periods indicated. Total AUM included for this analysis includes $293B for 1 year, $244B for 3 years, $239B for 5 years, and $231B for 10 years.</w:t>
      </w:r>
    </w:p>
    <w:p>
      <w:pPr>
        <w:spacing w:after="0" w:line="1" w:lineRule="exact"/>
        <w:rPr>
          <w:sz w:val="20"/>
          <w:szCs w:val="20"/>
          <w:color w:val="auto"/>
        </w:rPr>
      </w:pPr>
    </w:p>
    <w:p>
      <w:pPr>
        <w:ind w:firstLine="8"/>
        <w:spacing w:after="0"/>
        <w:tabs>
          <w:tab w:leader="none" w:pos="122" w:val="left"/>
        </w:tabs>
        <w:numPr>
          <w:ilvl w:val="0"/>
          <w:numId w:val="15"/>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$1,501B for 1 year, $1,494B for 3 years, $1,487B for 5 years, and $1,453B for 10 years.</w:t>
      </w:r>
    </w:p>
    <w:p>
      <w:pPr>
        <w:spacing w:after="0" w:line="126" w:lineRule="exact"/>
        <w:rPr>
          <w:rFonts w:ascii="Arial" w:cs="Arial" w:eastAsia="Arial" w:hAnsi="Arial"/>
          <w:sz w:val="14"/>
          <w:szCs w:val="14"/>
          <w:i w:val="1"/>
          <w:iCs w:val="1"/>
          <w:color w:val="auto"/>
          <w:vertAlign w:val="superscript"/>
        </w:rPr>
      </w:pPr>
    </w:p>
    <w:p>
      <w:pPr>
        <w:jc w:val="both"/>
        <w:ind w:right="120" w:firstLine="8"/>
        <w:spacing w:after="0" w:line="228" w:lineRule="auto"/>
        <w:tabs>
          <w:tab w:leader="none" w:pos="135" w:val="left"/>
        </w:tabs>
        <w:numPr>
          <w:ilvl w:val="0"/>
          <w:numId w:val="15"/>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first quarter of 2026 and 2025 on a U.S. GAAP and a non-GAAP basis. The non-GAAP basis adjusts for the impact of our consolidated investment products, the impact of market movements on the deferred compensation liabilities and related economic hedges, investment income related to certain other investments, acquisition-related amortization and costs, impairment charges, and certain nonrecurring charges and gains, including the restructuring charges.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jc w:val="right"/>
              <w:ind w:right="539"/>
              <w:spacing w:after="0"/>
              <w:rPr>
                <w:sz w:val="20"/>
                <w:szCs w:val="20"/>
                <w:color w:val="auto"/>
              </w:rPr>
            </w:pPr>
            <w:r>
              <w:rPr>
                <w:rFonts w:ascii="Arial" w:cs="Arial" w:eastAsia="Arial" w:hAnsi="Arial"/>
                <w:sz w:val="14"/>
                <w:szCs w:val="14"/>
                <w:b w:val="1"/>
                <w:bCs w:val="1"/>
                <w:color w:val="auto"/>
              </w:rPr>
              <w:t>Q1 2026 vs. Q1 2025</w:t>
            </w:r>
          </w:p>
        </w:tc>
      </w:tr>
      <w:tr>
        <w:trPr>
          <w:trHeight w:val="196"/>
        </w:trPr>
        <w:tc>
          <w:tcPr>
            <w:tcW w:w="20" w:type="dxa"/>
            <w:vAlign w:val="bottom"/>
          </w:tcPr>
          <w:p>
            <w:pPr>
              <w:spacing w:after="0"/>
              <w:rPr>
                <w:sz w:val="17"/>
                <w:szCs w:val="17"/>
                <w:color w:val="auto"/>
              </w:rPr>
            </w:pPr>
          </w:p>
        </w:tc>
        <w:tc>
          <w:tcPr>
            <w:tcW w:w="6000" w:type="dxa"/>
            <w:vAlign w:val="bottom"/>
            <w:gridSpan w:val="5"/>
          </w:tcPr>
          <w:p>
            <w:pPr>
              <w:spacing w:after="0"/>
              <w:rPr>
                <w:sz w:val="20"/>
                <w:szCs w:val="20"/>
                <w:color w:val="auto"/>
              </w:rPr>
            </w:pPr>
            <w:r>
              <w:rPr>
                <w:rFonts w:ascii="Arial" w:cs="Arial" w:eastAsia="Arial" w:hAnsi="Arial"/>
                <w:sz w:val="13"/>
                <w:szCs w:val="13"/>
                <w:color w:val="auto"/>
              </w:rPr>
              <w:t>(in millions, except per-share data)</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3/31/2026</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3/31/2025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20" w:type="dxa"/>
            <w:vAlign w:val="bottom"/>
            <w:tcBorders>
              <w:top w:val="single" w:sz="8" w:color="auto"/>
            </w:tcBorders>
          </w:tcPr>
          <w:p>
            <w:pPr>
              <w:jc w:val="right"/>
              <w:ind w:right="17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U.S. GAAP basis</w:t>
            </w:r>
          </w:p>
        </w:tc>
        <w:tc>
          <w:tcPr>
            <w:tcW w:w="47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Investment advisory fees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1,683.0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1,598.4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line="217" w:lineRule="exact"/>
              <w:rPr>
                <w:sz w:val="20"/>
                <w:szCs w:val="20"/>
                <w:color w:val="auto"/>
              </w:rPr>
            </w:pPr>
            <w:r>
              <w:rPr>
                <w:rFonts w:ascii="Arial" w:cs="Arial" w:eastAsia="Arial" w:hAnsi="Arial"/>
                <w:sz w:val="16"/>
                <w:szCs w:val="16"/>
                <w:color w:val="auto"/>
              </w:rPr>
              <w:t>Capital allocation-based income</w:t>
            </w:r>
            <w:r>
              <w:rPr>
                <w:rFonts w:ascii="Arial" w:cs="Arial" w:eastAsia="Arial" w:hAnsi="Arial"/>
                <w:sz w:val="21"/>
                <w:szCs w:val="21"/>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Net revenues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1,857.0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1,763.9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Net operating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680.5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596.3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Net income to T. Rowe Price Group</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498.2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50"/>
        </w:trPr>
        <w:tc>
          <w:tcPr>
            <w:tcW w:w="20" w:type="dxa"/>
            <w:vAlign w:val="bottom"/>
            <w:tcBorders>
              <w:bottom w:val="single" w:sz="8" w:color="CCEEFF"/>
            </w:tcBorders>
          </w:tcPr>
          <w:p>
            <w:pPr>
              <w:spacing w:after="0"/>
              <w:rPr>
                <w:sz w:val="21"/>
                <w:szCs w:val="21"/>
                <w:color w:val="auto"/>
              </w:rPr>
            </w:pPr>
          </w:p>
        </w:tc>
        <w:tc>
          <w:tcPr>
            <w:tcW w:w="60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Weighted average common shares outstanding assuming dilution</w:t>
            </w: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217.6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w:t>
            </w:r>
          </w:p>
        </w:tc>
      </w:tr>
      <w:tr>
        <w:trPr>
          <w:trHeight w:val="175"/>
        </w:trPr>
        <w:tc>
          <w:tcPr>
            <w:tcW w:w="20" w:type="dxa"/>
            <w:vAlign w:val="bottom"/>
          </w:tcPr>
          <w:p>
            <w:pPr>
              <w:spacing w:after="0"/>
              <w:rPr>
                <w:sz w:val="15"/>
                <w:szCs w:val="15"/>
                <w:color w:val="auto"/>
              </w:rPr>
            </w:pPr>
          </w:p>
        </w:tc>
        <w:tc>
          <w:tcPr>
            <w:tcW w:w="60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Adjusted basis</w:t>
            </w:r>
            <w:r>
              <w:rPr>
                <w:rFonts w:ascii="Arial" w:cs="Arial" w:eastAsia="Arial" w:hAnsi="Arial"/>
                <w:sz w:val="20"/>
                <w:szCs w:val="20"/>
                <w:b w:val="1"/>
                <w:bCs w:val="1"/>
                <w:color w:val="auto"/>
                <w:vertAlign w:val="superscript"/>
              </w:rPr>
              <w:t>(3)</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Operating expenses, excluding accrued carried interest related compensation</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1,142.3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1,131.2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Non-operating income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income to T. Rowe Price Group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50"/>
        </w:trPr>
        <w:tc>
          <w:tcPr>
            <w:tcW w:w="20" w:type="dxa"/>
            <w:vAlign w:val="bottom"/>
            <w:tcBorders>
              <w:bottom w:val="single" w:sz="8" w:color="CCEEFF"/>
            </w:tcBorders>
          </w:tcPr>
          <w:p>
            <w:pPr>
              <w:spacing w:after="0"/>
              <w:rPr>
                <w:sz w:val="21"/>
                <w:szCs w:val="21"/>
                <w:color w:val="auto"/>
              </w:rPr>
            </w:pPr>
          </w:p>
        </w:tc>
        <w:tc>
          <w:tcPr>
            <w:tcW w:w="60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13.0 %</w:t>
            </w:r>
          </w:p>
        </w:tc>
      </w:tr>
      <w:tr>
        <w:trPr>
          <w:trHeight w:val="175"/>
        </w:trPr>
        <w:tc>
          <w:tcPr>
            <w:tcW w:w="20" w:type="dxa"/>
            <w:vAlign w:val="bottom"/>
          </w:tcPr>
          <w:p>
            <w:pPr>
              <w:spacing w:after="0"/>
              <w:rPr>
                <w:sz w:val="15"/>
                <w:szCs w:val="15"/>
                <w:color w:val="auto"/>
              </w:rPr>
            </w:pPr>
          </w:p>
        </w:tc>
        <w:tc>
          <w:tcPr>
            <w:tcW w:w="600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Assets under management (AUM) (in billions)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Average AUM</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50"/>
        </w:trPr>
        <w:tc>
          <w:tcPr>
            <w:tcW w:w="20" w:type="dxa"/>
            <w:vAlign w:val="bottom"/>
            <w:tcBorders>
              <w:bottom w:val="single" w:sz="8" w:color="CCEEFF"/>
            </w:tcBorders>
          </w:tcPr>
          <w:p>
            <w:pPr>
              <w:spacing w:after="0"/>
              <w:rPr>
                <w:sz w:val="21"/>
                <w:szCs w:val="21"/>
                <w:color w:val="auto"/>
              </w:rPr>
            </w:pPr>
          </w:p>
        </w:tc>
        <w:tc>
          <w:tcPr>
            <w:tcW w:w="60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Ending AUM</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1,709.7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1,566.3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9.2 %</w:t>
            </w:r>
          </w:p>
        </w:tc>
      </w:tr>
      <w:tr>
        <w:trPr>
          <w:trHeight w:val="175"/>
        </w:trPr>
        <w:tc>
          <w:tcPr>
            <w:tcW w:w="20" w:type="dxa"/>
            <w:vAlign w:val="bottom"/>
          </w:tcPr>
          <w:p>
            <w:pPr>
              <w:spacing w:after="0"/>
              <w:rPr>
                <w:sz w:val="15"/>
                <w:szCs w:val="15"/>
                <w:color w:val="auto"/>
              </w:rPr>
            </w:pPr>
          </w:p>
        </w:tc>
        <w:tc>
          <w:tcPr>
            <w:tcW w:w="6000" w:type="dxa"/>
            <w:vAlign w:val="bottom"/>
            <w:gridSpan w:val="5"/>
          </w:tcPr>
          <w:p>
            <w:pPr>
              <w:spacing w:after="0" w:line="175" w:lineRule="exact"/>
              <w:rPr>
                <w:sz w:val="20"/>
                <w:szCs w:val="20"/>
                <w:color w:val="auto"/>
              </w:rPr>
            </w:pPr>
            <w:r>
              <w:rPr>
                <w:rFonts w:ascii="Arial" w:cs="Arial" w:eastAsia="Arial" w:hAnsi="Arial"/>
                <w:sz w:val="16"/>
                <w:szCs w:val="16"/>
                <w:b w:val="1"/>
                <w:bCs w:val="1"/>
                <w:color w:val="auto"/>
              </w:rPr>
              <w:t>Investment advisory annualized effective fee rate (EFR) (in bps)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EFR without performance-based fees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EFR with performance-based fees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w:t>
            </w:r>
          </w:p>
        </w:tc>
      </w:tr>
    </w:tbl>
    <w:p>
      <w:pPr>
        <w:spacing w:after="0" w:line="75"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40" w:hanging="132"/>
        <w:spacing w:after="0"/>
        <w:tabs>
          <w:tab w:leader="none" w:pos="140"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Capital allocation-based income represents the change in accrued carried interest.</w:t>
      </w:r>
    </w:p>
    <w:p>
      <w:pPr>
        <w:spacing w:after="0" w:line="14" w:lineRule="exact"/>
        <w:rPr>
          <w:rFonts w:ascii="Arial" w:cs="Arial" w:eastAsia="Arial" w:hAnsi="Arial"/>
          <w:sz w:val="9"/>
          <w:szCs w:val="9"/>
          <w:i w:val="1"/>
          <w:iCs w:val="1"/>
          <w:color w:val="auto"/>
        </w:rPr>
      </w:pPr>
    </w:p>
    <w:p>
      <w:pPr>
        <w:ind w:left="140" w:hanging="132"/>
        <w:spacing w:after="0" w:line="229" w:lineRule="auto"/>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March 31, 2026</w:t>
      </w:r>
    </w:p>
    <w:p>
      <w:pPr>
        <w:spacing w:after="0" w:line="252"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administrative, distribution, servicing,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capital allocation-based income. More than 90% of our net revenues are related to investment advisory fees. Total net revenues were $1,857.0 million in the first quarter of 2026, a 5.3% increase over $1,763.9 million in the first quarter of 2025. The increase was primarily driven by a 5.3% increase in investment advisory fee revenue as higher overall markets increased average assets under management by 9.6% and a $29.3 million increase in capital allocation-based income (change in accrued carried interest) earned from investments in certain affiliated funds.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3" w:name="page24"/>
    <w:bookmarkEnd w:id="23"/>
    <w:p>
      <w:pPr>
        <w:ind w:right="18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classes and products, including those with tiered-fee structures, along with price changes we make in existing products.</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certain affiliated funds assuming the funds’ underlying investments were realized as of the end of the period.</w:t>
      </w:r>
    </w:p>
    <w:p>
      <w:pPr>
        <w:spacing w:after="0" w:line="18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$1,176.5 million in the first quarter of 2026, a 0.8% increase over the comparable 2025</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a non-GAAP basis, adjusted operating expenses were $1,155.2 million, a 1.8% increase over the comparable 2025 period.</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Compared to the first quarter of 2025, the increase in U.S. GAAP and adjusted operating expenses was driven by higher technology, occupancy, and facilities costs. Also, U.S. GAAP expenses were impacted by lower mark-to-market related to our deferred compensation liabilities and lower acquisition-related amortization costs, partially offset by the restructuring charge. These costs are not included in our non-GAAP operating expenses. See the GAAP to non-GAAP reconciliation at the end of the Results of Operations section of this Management's Discussion and Analysis.</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2026 was 36.6% on a U.S. GAAP basis, compared to 33.8% earned in the first quarter of 2025.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our operating margin for the first quarter of 2026 compared to the 2025 period was driven by net revenue growth outpacing operating expense growth primarily due to higher investment advisory fees.</w:t>
      </w:r>
    </w:p>
    <w:p>
      <w:pPr>
        <w:spacing w:after="0" w:line="19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$2.23 for the first quarter of 2026 compared to $2.15 for the first quarter of 2025. The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lower tax rate and lower weighted average shares outstanding compared to the 2025 period.</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a non-GAAP basis, diluted earnings per share was $2.52 for the first quarter of 2026 compared to $2.23 for the first quarter of 2025. The increase was primarily due to higher adjusted operating income and lower weighted average shares outstanding compared to the 2025 period.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jc w:val="right"/>
              <w:ind w:right="539"/>
              <w:spacing w:after="0"/>
              <w:rPr>
                <w:sz w:val="20"/>
                <w:szCs w:val="20"/>
                <w:color w:val="auto"/>
              </w:rPr>
            </w:pPr>
            <w:r>
              <w:rPr>
                <w:rFonts w:ascii="Arial" w:cs="Arial" w:eastAsia="Arial" w:hAnsi="Arial"/>
                <w:sz w:val="14"/>
                <w:szCs w:val="14"/>
                <w:b w:val="1"/>
                <w:bCs w:val="1"/>
                <w:color w:val="auto"/>
              </w:rPr>
              <w:t>Q1 2026 vs. Q1 2025</w:t>
            </w:r>
          </w:p>
        </w:tc>
      </w:tr>
      <w:tr>
        <w:trPr>
          <w:trHeight w:val="196"/>
        </w:trPr>
        <w:tc>
          <w:tcPr>
            <w:tcW w:w="6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3/31/2026</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3/31/2025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20" w:type="dxa"/>
            <w:vAlign w:val="bottom"/>
            <w:tcBorders>
              <w:top w:val="single" w:sz="8" w:color="auto"/>
            </w:tcBorders>
          </w:tcPr>
          <w:p>
            <w:pPr>
              <w:jc w:val="right"/>
              <w:ind w:right="17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fees</w:t>
            </w: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15"/>
        </w:trPr>
        <w:tc>
          <w:tcPr>
            <w:tcW w:w="6020" w:type="dxa"/>
            <w:vAlign w:val="bottom"/>
          </w:tcPr>
          <w:p>
            <w:pPr>
              <w:ind w:left="140"/>
              <w:spacing w:after="0"/>
              <w:rPr>
                <w:sz w:val="20"/>
                <w:szCs w:val="20"/>
                <w:color w:val="auto"/>
              </w:rPr>
            </w:pPr>
            <w:r>
              <w:rPr>
                <w:rFonts w:ascii="Arial" w:cs="Arial" w:eastAsia="Arial" w:hAnsi="Arial"/>
                <w:sz w:val="16"/>
                <w:szCs w:val="16"/>
                <w:color w:val="auto"/>
              </w:rPr>
              <w:t>Equity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974.7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959.2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7"/>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 including money market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15"/>
        </w:trPr>
        <w:tc>
          <w:tcPr>
            <w:tcW w:w="602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8.0 %</w:t>
            </w:r>
          </w:p>
        </w:tc>
      </w:tr>
      <w:tr>
        <w:trPr>
          <w:trHeight w:val="249"/>
        </w:trPr>
        <w:tc>
          <w:tcPr>
            <w:tcW w:w="6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5.3 %</w:t>
            </w:r>
          </w:p>
        </w:tc>
      </w:tr>
      <w:tr>
        <w:trPr>
          <w:trHeight w:val="255"/>
        </w:trPr>
        <w:tc>
          <w:tcPr>
            <w:tcW w:w="602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Performance-based advisory fees</w:t>
            </w:r>
          </w:p>
        </w:tc>
        <w:tc>
          <w:tcPr>
            <w:tcW w:w="200" w:type="dxa"/>
            <w:vAlign w:val="bottom"/>
            <w:tcBorders>
              <w:top w:val="single" w:sz="8" w:color="CCEEFF"/>
              <w:bottom w:val="single" w:sz="8" w:color="auto"/>
            </w:tcBorders>
          </w:tcPr>
          <w:p>
            <w:pPr>
              <w:spacing w:after="0"/>
              <w:rPr>
                <w:sz w:val="21"/>
                <w:szCs w:val="21"/>
                <w:color w:val="auto"/>
              </w:rPr>
            </w:pP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auto"/>
            </w:tcBorders>
          </w:tcPr>
          <w:p>
            <w:pPr>
              <w:spacing w:after="0"/>
              <w:rPr>
                <w:sz w:val="21"/>
                <w:szCs w:val="21"/>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CCEEFF"/>
              <w:bottom w:val="single" w:sz="8" w:color="auto"/>
            </w:tcBorders>
          </w:tcPr>
          <w:p>
            <w:pPr>
              <w:spacing w:after="0"/>
              <w:rPr>
                <w:sz w:val="21"/>
                <w:szCs w:val="21"/>
                <w:color w:val="auto"/>
              </w:rPr>
            </w:pP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bottom w:val="single" w:sz="8" w:color="CCEEFF"/>
            </w:tcBorders>
          </w:tcPr>
          <w:p>
            <w:pPr>
              <w:spacing w:after="0"/>
              <w:rPr>
                <w:sz w:val="21"/>
                <w:szCs w:val="21"/>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16"/>
        </w:trPr>
        <w:tc>
          <w:tcPr>
            <w:tcW w:w="60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Capital allocation-based income</w:t>
            </w: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accrued carried interest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6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Acquisition-related amortization and impairments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60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34"/>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Administrative, distribution, servicing, and other fees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6020" w:type="dxa"/>
            <w:vAlign w:val="bottom"/>
          </w:tcPr>
          <w:p>
            <w:pPr>
              <w:ind w:left="140"/>
              <w:spacing w:after="0"/>
              <w:rPr>
                <w:sz w:val="20"/>
                <w:szCs w:val="20"/>
                <w:color w:val="auto"/>
              </w:rPr>
            </w:pPr>
            <w:r>
              <w:rPr>
                <w:rFonts w:ascii="Arial" w:cs="Arial" w:eastAsia="Arial" w:hAnsi="Arial"/>
                <w:sz w:val="16"/>
                <w:szCs w:val="16"/>
                <w:color w:val="auto"/>
              </w:rPr>
              <w:t>Administrative and other fees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 and servicing fees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9"/>
        </w:trPr>
        <w:tc>
          <w:tcPr>
            <w:tcW w:w="60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1"/>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AUM (in billions):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6020" w:type="dxa"/>
            <w:vAlign w:val="bottom"/>
          </w:tcPr>
          <w:p>
            <w:pPr>
              <w:ind w:left="140"/>
              <w:spacing w:after="0"/>
              <w:rPr>
                <w:sz w:val="20"/>
                <w:szCs w:val="20"/>
                <w:color w:val="auto"/>
              </w:rPr>
            </w:pPr>
            <w:r>
              <w:rPr>
                <w:rFonts w:ascii="Arial" w:cs="Arial" w:eastAsia="Arial" w:hAnsi="Arial"/>
                <w:sz w:val="16"/>
                <w:szCs w:val="16"/>
                <w:color w:val="auto"/>
              </w:rPr>
              <w:t>Equity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861.2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826.3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4.2 %</w:t>
            </w:r>
          </w:p>
        </w:tc>
      </w:tr>
      <w:tr>
        <w:trPr>
          <w:trHeight w:val="217"/>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 including money market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215"/>
        </w:trPr>
        <w:tc>
          <w:tcPr>
            <w:tcW w:w="602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16.8 %</w:t>
            </w:r>
          </w:p>
        </w:tc>
      </w:tr>
      <w:tr>
        <w:trPr>
          <w:trHeight w:val="216"/>
        </w:trPr>
        <w:tc>
          <w:tcPr>
            <w:tcW w:w="6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r>
      <w:tr>
        <w:trPr>
          <w:trHeight w:val="210"/>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Average AUM</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r>
      <w:tr>
        <w:trPr>
          <w:trHeight w:val="46"/>
        </w:trPr>
        <w:tc>
          <w:tcPr>
            <w:tcW w:w="60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6"/>
        </w:trPr>
        <w:tc>
          <w:tcPr>
            <w:tcW w:w="60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Ending AUM (in billions)</w:t>
            </w: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1,709.7</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1,566.3</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color w:val="auto"/>
              </w:rPr>
              <w:t>9.2 %</w:t>
            </w:r>
          </w:p>
        </w:tc>
      </w:tr>
      <w:tr>
        <w:trPr>
          <w:trHeight w:val="46"/>
        </w:trPr>
        <w:tc>
          <w:tcPr>
            <w:tcW w:w="60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16"/>
        </w:trPr>
        <w:tc>
          <w:tcPr>
            <w:tcW w:w="60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Investment advisory annualized effective fee rate (EFR) (in bps)</w:t>
            </w: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24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EFR without performance-based fees</w:t>
            </w: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020" w:type="dxa"/>
            <w:vAlign w:val="bottom"/>
          </w:tcPr>
          <w:p>
            <w:pPr>
              <w:ind w:left="20"/>
              <w:spacing w:after="0"/>
              <w:rPr>
                <w:sz w:val="20"/>
                <w:szCs w:val="20"/>
                <w:color w:val="auto"/>
              </w:rPr>
            </w:pPr>
            <w:r>
              <w:rPr>
                <w:rFonts w:ascii="Arial" w:cs="Arial" w:eastAsia="Arial" w:hAnsi="Arial"/>
                <w:sz w:val="16"/>
                <w:szCs w:val="16"/>
                <w:color w:val="auto"/>
              </w:rPr>
              <w:t>EFR with performance-based fees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46" w:lineRule="exact"/>
        <w:rPr>
          <w:sz w:val="20"/>
          <w:szCs w:val="20"/>
          <w:color w:val="auto"/>
        </w:rPr>
      </w:pPr>
    </w:p>
    <w:p>
      <w:pPr>
        <w:ind w:right="1080"/>
        <w:spacing w:after="0" w:line="287"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2026 increased 5.3% over the comparable 2025 quarter as average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increased $155.5 billion, or 9.6%, to $1,775.8 billion.</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average annualized effective fee rate earned for the first quarter of 2026 declined from the comparable 2025 period due to client flows and transfers creating a mix shift in assets under management toward lower fee products and asset classes.</w:t>
      </w:r>
    </w:p>
    <w:p>
      <w:pPr>
        <w:spacing w:after="0" w:line="180"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i w:val="1"/>
          <w:iCs w:val="1"/>
          <w:u w:val="single" w:color="auto"/>
          <w:color w:val="auto"/>
        </w:rPr>
        <w:t>Performance-based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2026 were primarily earned from alternative strategies, whereas in the 2025</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period fees were earned across equity and alternative strategies.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change in accrued carried interest along with acquisition-related amortization and impairments.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2026 quarter, accrued carried interest increased net revenues by $31.3 million, compared to $9.2 million in 2025, reflecting relative investment performance. The decrease in acquisition-related amortization and impairments from the comparable 2025 period primarily reflects amortization and impairments recognized over time, which reduced the remaining carrying value of the acquired-assets. We realized carried interest of $41.0 million in the first quarter of 2026 compared to $43.1 million in the 2025 period.</w:t>
      </w:r>
    </w:p>
    <w:p>
      <w:pPr>
        <w:spacing w:after="0" w:line="20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is recognized in compensation and related costs with the unpaid amount reported as non-controlling interest on the unaudited consolidated balance sheet.</w:t>
      </w:r>
    </w:p>
    <w:p>
      <w:pPr>
        <w:spacing w:after="0" w:line="19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i w:val="1"/>
          <w:iCs w:val="1"/>
          <w:u w:val="single" w:color="auto"/>
          <w:color w:val="auto"/>
        </w:rPr>
        <w:t>Administrative, distribution, servicing,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2026 were $138.4 million, a decrease of $17.9 million, or 11.5%,</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comparable 2025 quarter. The decrease primarily reflects the reporting change implemented in Q3 2025, in which revenue earned from managed account - model delivery assets and certain other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ind w:right="220"/>
        <w:spacing w:after="0" w:line="287" w:lineRule="auto"/>
        <w:rPr>
          <w:sz w:val="20"/>
          <w:szCs w:val="20"/>
          <w:color w:val="auto"/>
        </w:rPr>
      </w:pPr>
      <w:r>
        <w:rPr>
          <w:rFonts w:ascii="Arial" w:cs="Arial" w:eastAsia="Arial" w:hAnsi="Arial"/>
          <w:sz w:val="18"/>
          <w:szCs w:val="18"/>
          <w:color w:val="auto"/>
        </w:rPr>
        <w:t>advisory services began being reported within investment advisory fees, as well as the timing of cost reimbursements from the U.S. mutual funds.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investment products. The corresponding expenses recognized by these products, and consolidated in our financial statements, were also eliminated from operating expenses. For the first quarter, we eliminated net revenue of $1.1 million in 2026 and $1.4 million in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b w:val="1"/>
                <w:bCs w:val="1"/>
                <w:color w:val="auto"/>
              </w:rPr>
              <w:t>Q1 2026 vs. Q1 2025</w:t>
            </w:r>
          </w:p>
        </w:tc>
      </w:tr>
      <w:tr>
        <w:trPr>
          <w:trHeight w:val="196"/>
        </w:trPr>
        <w:tc>
          <w:tcPr>
            <w:tcW w:w="6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3/31/2026</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3/31/2025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320" w:type="dxa"/>
            <w:vAlign w:val="bottom"/>
            <w:tcBorders>
              <w:top w:val="single" w:sz="8" w:color="auto"/>
            </w:tcBorders>
          </w:tcPr>
          <w:p>
            <w:pPr>
              <w:jc w:val="right"/>
              <w:ind w:right="18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benefits, and related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Acquisition-related retention agreements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60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Capital allocation-based income compensation</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Market-related change in deferred compensation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compensation and related costs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34"/>
        </w:trPr>
        <w:tc>
          <w:tcPr>
            <w:tcW w:w="6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 and servicing costs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Advertising and promotion costs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and recordkeeping related costs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6"/>
        </w:trPr>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Technology, occupancy, and facility costs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12.8 %</w:t>
            </w:r>
          </w:p>
        </w:tc>
      </w:tr>
      <w:tr>
        <w:trPr>
          <w:trHeight w:val="216"/>
        </w:trPr>
        <w:tc>
          <w:tcPr>
            <w:tcW w:w="6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General, administrative, and other costs</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6020" w:type="dxa"/>
            <w:vAlign w:val="bottom"/>
          </w:tcPr>
          <w:p>
            <w:pPr>
              <w:ind w:left="20"/>
              <w:spacing w:after="0"/>
              <w:rPr>
                <w:sz w:val="20"/>
                <w:szCs w:val="20"/>
                <w:color w:val="auto"/>
              </w:rPr>
            </w:pPr>
            <w:r>
              <w:rPr>
                <w:rFonts w:ascii="Arial" w:cs="Arial" w:eastAsia="Arial" w:hAnsi="Arial"/>
                <w:sz w:val="16"/>
                <w:szCs w:val="16"/>
                <w:color w:val="auto"/>
              </w:rPr>
              <w:t>Acquisition-related amortization and impairment costs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602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1,176.5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1,167.6</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16"/>
        </w:trPr>
        <w:tc>
          <w:tcPr>
            <w:tcW w:w="6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r>
      <w:tr>
        <w:trPr>
          <w:trHeight w:val="216"/>
        </w:trPr>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Total adjusted operating expenses</w:t>
            </w:r>
            <w:r>
              <w:rPr>
                <w:rFonts w:ascii="Arial" w:cs="Arial" w:eastAsia="Arial" w:hAnsi="Arial"/>
                <w:sz w:val="21"/>
                <w:szCs w:val="21"/>
                <w:color w:val="auto"/>
                <w:vertAlign w:val="superscript"/>
              </w:rPr>
              <w:t>(4)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0"/>
        </w:trPr>
        <w:tc>
          <w:tcPr>
            <w:tcW w:w="6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80" w:right="340" w:hanging="172"/>
        <w:spacing w:after="0" w:line="228" w:lineRule="auto"/>
        <w:tabs>
          <w:tab w:leader="none" w:pos="158"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Capital allocation-based income compensation represents the change in accrued carried interest compensation along with acquisition-related, non-cash amortization and impairments.</w:t>
      </w:r>
    </w:p>
    <w:p>
      <w:pPr>
        <w:spacing w:after="0" w:line="1" w:lineRule="exact"/>
        <w:rPr>
          <w:rFonts w:ascii="Arial" w:cs="Arial" w:eastAsia="Arial" w:hAnsi="Arial"/>
          <w:sz w:val="18"/>
          <w:szCs w:val="18"/>
          <w:i w:val="1"/>
          <w:iCs w:val="1"/>
          <w:color w:val="auto"/>
          <w:vertAlign w:val="superscript"/>
        </w:rPr>
      </w:pPr>
    </w:p>
    <w:p>
      <w:pPr>
        <w:jc w:val="both"/>
        <w:ind w:left="180" w:right="40" w:hanging="172"/>
        <w:spacing w:after="0" w:line="227" w:lineRule="auto"/>
        <w:tabs>
          <w:tab w:leader="none" w:pos="172" w:val="left"/>
        </w:tabs>
        <w:numPr>
          <w:ilvl w:val="0"/>
          <w:numId w:val="1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 Q1 2026, we began reporting technology-related professional fees and servicing costs from general, administrative, and other costs to technology, occupancy, and facilities costs to better align with the nature of the expenses following the outsourcing and expansion of our technology capabilities through trusted vendor partnerships. Prior periods were recast to reflect this change. The amount reclassified for the first quarter of 2025 was $13.6M.</w:t>
      </w:r>
    </w:p>
    <w:p>
      <w:pPr>
        <w:spacing w:after="0" w:line="1" w:lineRule="exact"/>
        <w:rPr>
          <w:rFonts w:ascii="Arial" w:cs="Arial" w:eastAsia="Arial" w:hAnsi="Arial"/>
          <w:sz w:val="19"/>
          <w:szCs w:val="19"/>
          <w:i w:val="1"/>
          <w:iCs w:val="1"/>
          <w:color w:val="auto"/>
          <w:vertAlign w:val="superscript"/>
        </w:rPr>
      </w:pPr>
    </w:p>
    <w:p>
      <w:pPr>
        <w:ind w:left="140" w:hanging="132"/>
        <w:spacing w:after="0" w:line="229" w:lineRule="auto"/>
        <w:tabs>
          <w:tab w:leader="none" w:pos="140" w:val="left"/>
        </w:tabs>
        <w:numPr>
          <w:ilvl w:val="0"/>
          <w:numId w:val="1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$655.1 million for the first quarter of 2026, a decrease of $2.8 million, or 0.4%,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2025 quarter. The decrease was primarily due to lower salaries and related benefits, partially offset by higher long-term incentive compensation.</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firm employed 7,507 associates at March 31, 2026, a decrease of 3.4% from the end of 2025 and a decrease of 7.1% from March 31, 2025. The average associate headcount for the first quarter of 2026 was 7,617, a decrease of 6.0% compared to the 2025 period.</w:t>
      </w:r>
    </w:p>
    <w:p>
      <w:pPr>
        <w:spacing w:after="0" w:line="18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$99.3 million for the first quarter of 2026, an increase of $5.7 million, or 6.1%, from $93.6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2025 quarter. The increase was primarily driven by higher average assets under management distributed through intermediaries.</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costs in this expense category include amounts paid to third-party intermediaries that source the assets of certain share classes of our U.S. mutual funds, ETFs, and our international products, such as our Japanese ITMs and SICAVs. These costs are offset entirely by the investment advisory revenue we earn from these products, or in the case of the Advisor and R share classes of the U.S. mutual funds, are recognized in administrative, distribution, servicing, and other fees.</w:t>
      </w:r>
    </w:p>
    <w:p>
      <w:pPr>
        <w:spacing w:after="0" w:line="20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i w:val="1"/>
          <w:iCs w:val="1"/>
          <w:u w:val="single" w:color="auto"/>
          <w:color w:val="auto"/>
        </w:rPr>
        <w:t>Advertising and promotion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$18.4 million in the first quarter of 2026, a decrease of $7.7 million, or 29.5%, compared to the $26.1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recognized in the 2025 quarter. The decrease was primarily due to timing of media spend and events.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ind w:left="20" w:right="40"/>
        <w:spacing w:after="0" w:line="268"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$74.3 million in the first quarter of 2026, a decrease of $9.5 million, or 11.3%,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2025 quarter. The decrease was primarily due to the timing of costs reimbursed by our U.S. mutual funds. The offsetting reimbursement is recognized in administrative, distribution, servicing, and other fees revenue.</w:t>
      </w:r>
    </w:p>
    <w:p>
      <w:pPr>
        <w:spacing w:after="0" w:line="198" w:lineRule="exact"/>
        <w:rPr>
          <w:sz w:val="20"/>
          <w:szCs w:val="20"/>
          <w:color w:val="auto"/>
        </w:rPr>
      </w:pPr>
    </w:p>
    <w:p>
      <w:pPr>
        <w:jc w:val="both"/>
        <w:ind w:left="20" w:right="20"/>
        <w:spacing w:after="0" w:line="268"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$204.4 million in the first quarter of 2026, an increase of $23.2 million, or 12.8%,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$181.2 million recognized in the 2025 quarter. The increase from the 2025 quarter was primarily due to higher technology costs, including cloud services, depreciation, and our decision in the prior year to outsource certain technology capabilities.</w:t>
      </w:r>
    </w:p>
    <w:p>
      <w:pPr>
        <w:spacing w:after="0" w:line="198" w:lineRule="exact"/>
        <w:rPr>
          <w:sz w:val="20"/>
          <w:szCs w:val="20"/>
          <w:color w:val="auto"/>
        </w:rPr>
      </w:pPr>
    </w:p>
    <w:p>
      <w:pPr>
        <w:ind w:left="20" w:right="100"/>
        <w:spacing w:after="0" w:line="268" w:lineRule="auto"/>
        <w:rPr>
          <w:sz w:val="20"/>
          <w:szCs w:val="20"/>
          <w:color w:val="auto"/>
        </w:rPr>
      </w:pPr>
      <w:r>
        <w:rPr>
          <w:rFonts w:ascii="Arial" w:cs="Arial" w:eastAsia="Arial" w:hAnsi="Arial"/>
          <w:sz w:val="18"/>
          <w:szCs w:val="18"/>
          <w:i w:val="1"/>
          <w:iCs w:val="1"/>
          <w:u w:val="single" w:color="auto"/>
          <w:color w:val="auto"/>
        </w:rPr>
        <w:t>General, administrative, and other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were $92.4 million in the first quarter of 2026, an increase of $2.7 million, or 3.0%,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$89.7 million recognized in the 2025 quarter. The increase was primarily due to higher external research and other general and administrative costs.</w:t>
      </w:r>
    </w:p>
    <w:p>
      <w:pPr>
        <w:spacing w:after="0" w:line="198" w:lineRule="exact"/>
        <w:rPr>
          <w:sz w:val="20"/>
          <w:szCs w:val="20"/>
          <w:color w:val="auto"/>
        </w:rPr>
      </w:pPr>
    </w:p>
    <w:p>
      <w:pPr>
        <w:ind w:left="20" w:right="200"/>
        <w:spacing w:after="0" w:line="262" w:lineRule="auto"/>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the purchase accounting for our acquisitions, we identified and separately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at fair value, certain intangible assets. During the first quarter of 2026, we recognized $18.0 million in amortization and impairments compared to $28.7 million in the 2025 period. The decrease primarily reflects amortization and impairments recognized over time, which reduced the remaining carrying value of the related definite-lived intangibles.</w:t>
      </w:r>
    </w:p>
    <w:p>
      <w:pPr>
        <w:spacing w:after="0" w:line="203" w:lineRule="exact"/>
        <w:rPr>
          <w:sz w:val="20"/>
          <w:szCs w:val="20"/>
          <w:color w:val="auto"/>
        </w:rPr>
      </w:pPr>
    </w:p>
    <w:p>
      <w:pPr>
        <w:ind w:left="20" w:right="120"/>
        <w:spacing w:after="0" w:line="232" w:lineRule="exact"/>
        <w:rPr>
          <w:sz w:val="20"/>
          <w:szCs w:val="20"/>
          <w:color w:val="auto"/>
        </w:rPr>
      </w:pPr>
      <w:r>
        <w:rPr>
          <w:rFonts w:ascii="Arial" w:cs="Arial" w:eastAsia="Arial" w:hAnsi="Arial"/>
          <w:sz w:val="18"/>
          <w:szCs w:val="18"/>
          <w:i w:val="1"/>
          <w:iCs w:val="1"/>
          <w:u w:val="single" w:color="auto"/>
          <w:color w:val="auto"/>
        </w:rPr>
        <w:t>Restructuring charge</w:t>
      </w:r>
      <w:r>
        <w:rPr>
          <w:rFonts w:ascii="Arial" w:cs="Arial" w:eastAsia="Arial" w:hAnsi="Arial"/>
          <w:sz w:val="18"/>
          <w:szCs w:val="18"/>
          <w:i w:val="1"/>
          <w:iCs w:val="1"/>
          <w:color w:val="auto"/>
        </w:rPr>
        <w:t xml:space="preserve"> </w:t>
      </w:r>
      <w:r>
        <w:rPr>
          <w:rFonts w:ascii="Arial" w:cs="Arial" w:eastAsia="Arial" w:hAnsi="Arial"/>
          <w:sz w:val="18"/>
          <w:szCs w:val="18"/>
          <w:color w:val="auto"/>
        </w:rPr>
        <w:t>of $10.0 million in the first quarter of 2026 relates to actions taken under our previously announced broad and ongoing</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management program, which is designed to reduce expense growth and realign resources to support investment in existing and future capabilities. The charge reflects compensation</w:t>
      </w:r>
      <w:r>
        <w:rPr>
          <w:rFonts w:ascii="MS PGothic" w:cs="MS PGothic" w:eastAsia="MS PGothic" w:hAnsi="MS PGothic"/>
          <w:sz w:val="18"/>
          <w:szCs w:val="18"/>
          <w:color w:val="auto"/>
        </w:rPr>
        <w:t>‑</w:t>
      </w:r>
      <w:r>
        <w:rPr>
          <w:rFonts w:ascii="Arial" w:cs="Arial" w:eastAsia="Arial" w:hAnsi="Arial"/>
          <w:sz w:val="18"/>
          <w:szCs w:val="18"/>
          <w:color w:val="auto"/>
        </w:rPr>
        <w:t>related costs, primarily severance.</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table details the components of non-operating income (loss) for both the first quarter of 2026 and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7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4"/>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20" w:type="dxa"/>
            <w:vAlign w:val="bottom"/>
          </w:tcPr>
          <w:p>
            <w:pPr>
              <w:spacing w:after="0"/>
              <w:rPr>
                <w:sz w:val="16"/>
                <w:szCs w:val="16"/>
                <w:color w:val="auto"/>
              </w:rPr>
            </w:pPr>
          </w:p>
        </w:tc>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3/31/2026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3/31/2025</w:t>
            </w:r>
          </w:p>
        </w:tc>
      </w:tr>
      <w:tr>
        <w:trPr>
          <w:trHeight w:val="197"/>
        </w:trPr>
        <w:tc>
          <w:tcPr>
            <w:tcW w:w="20" w:type="dxa"/>
            <w:vAlign w:val="bottom"/>
          </w:tcPr>
          <w:p>
            <w:pPr>
              <w:spacing w:after="0"/>
              <w:rPr>
                <w:sz w:val="17"/>
                <w:szCs w:val="17"/>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from non-consolidated investment products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Arial" w:cs="Arial" w:eastAsia="Arial" w:hAnsi="Arial"/>
                <w:sz w:val="16"/>
                <w:szCs w:val="16"/>
                <w:color w:val="auto"/>
              </w:rPr>
              <w:t>Cash and discretionary investments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5"/>
        </w:trPr>
        <w:tc>
          <w:tcPr>
            <w:tcW w:w="20" w:type="dxa"/>
            <w:vAlign w:val="bottom"/>
          </w:tcPr>
          <w:p>
            <w:pPr>
              <w:spacing w:after="0"/>
              <w:rPr>
                <w:sz w:val="18"/>
                <w:szCs w:val="18"/>
                <w:color w:val="auto"/>
              </w:rPr>
            </w:pPr>
          </w:p>
        </w:tc>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Market-related gains (losses) and equity in earnings (losses)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cash and discretionary investments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34.6</w:t>
            </w:r>
          </w:p>
        </w:tc>
      </w:tr>
      <w:tr>
        <w:trPr>
          <w:trHeight w:val="195"/>
        </w:trPr>
        <w:tc>
          <w:tcPr>
            <w:tcW w:w="20" w:type="dxa"/>
            <w:vAlign w:val="bottom"/>
          </w:tcPr>
          <w:p>
            <w:pPr>
              <w:spacing w:after="0"/>
              <w:rPr>
                <w:sz w:val="16"/>
                <w:szCs w:val="16"/>
                <w:color w:val="auto"/>
              </w:rPr>
            </w:pPr>
          </w:p>
        </w:tc>
        <w:tc>
          <w:tcPr>
            <w:tcW w:w="8720" w:type="dxa"/>
            <w:vAlign w:val="bottom"/>
          </w:tcPr>
          <w:p>
            <w:pPr>
              <w:ind w:left="20"/>
              <w:spacing w:after="0"/>
              <w:rPr>
                <w:sz w:val="20"/>
                <w:szCs w:val="20"/>
                <w:color w:val="auto"/>
              </w:rPr>
            </w:pPr>
            <w:r>
              <w:rPr>
                <w:rFonts w:ascii="Arial" w:cs="Arial" w:eastAsia="Arial" w:hAnsi="Arial"/>
                <w:sz w:val="16"/>
                <w:szCs w:val="16"/>
                <w:color w:val="auto"/>
              </w:rPr>
              <w:t>Seed capital investments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income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20" w:type="dxa"/>
            <w:vAlign w:val="bottom"/>
          </w:tcPr>
          <w:p>
            <w:pPr>
              <w:spacing w:after="0"/>
              <w:rPr>
                <w:sz w:val="18"/>
                <w:szCs w:val="18"/>
                <w:color w:val="auto"/>
              </w:rPr>
            </w:pPr>
          </w:p>
        </w:tc>
        <w:tc>
          <w:tcPr>
            <w:tcW w:w="87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Market-related gains (losses) and equity in earnings (losses)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seed capital investments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w:t>
            </w:r>
          </w:p>
        </w:tc>
      </w:tr>
      <w:tr>
        <w:trPr>
          <w:trHeight w:val="210"/>
        </w:trPr>
        <w:tc>
          <w:tcPr>
            <w:tcW w:w="2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Total cash, discretionary, and seed investments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23.5</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gains (losses) recognized upon deconsolidation</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deferred compensation liabilities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net gains (losses) from non-consolidated investment products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r>
      <w:tr>
        <w:trPr>
          <w:trHeight w:val="215"/>
        </w:trPr>
        <w:tc>
          <w:tcPr>
            <w:tcW w:w="20" w:type="dxa"/>
            <w:vAlign w:val="bottom"/>
          </w:tcPr>
          <w:p>
            <w:pPr>
              <w:spacing w:after="0"/>
              <w:rPr>
                <w:sz w:val="18"/>
                <w:szCs w:val="18"/>
                <w:color w:val="auto"/>
              </w:rPr>
            </w:pPr>
          </w:p>
        </w:tc>
        <w:tc>
          <w:tcPr>
            <w:tcW w:w="8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investment income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10"/>
        </w:trPr>
        <w:tc>
          <w:tcPr>
            <w:tcW w:w="20" w:type="dxa"/>
            <w:vAlign w:val="bottom"/>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gains (losses) on investments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w:t>
            </w:r>
          </w:p>
        </w:tc>
      </w:tr>
      <w:tr>
        <w:trPr>
          <w:trHeight w:val="215"/>
        </w:trPr>
        <w:tc>
          <w:tcPr>
            <w:tcW w:w="2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Arial" w:cs="Arial" w:eastAsia="Arial" w:hAnsi="Arial"/>
                <w:sz w:val="16"/>
                <w:szCs w:val="16"/>
                <w:color w:val="auto"/>
              </w:rPr>
              <w:t>Net gains (losses) on consolidated investment products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 including foreign currency gains (losses)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0"/>
        </w:trPr>
        <w:tc>
          <w:tcPr>
            <w:tcW w:w="20" w:type="dxa"/>
            <w:vAlign w:val="bottom"/>
          </w:tcPr>
          <w:p>
            <w:pPr>
              <w:spacing w:after="0"/>
              <w:rPr>
                <w:sz w:val="18"/>
                <w:szCs w:val="18"/>
                <w:color w:val="auto"/>
              </w:rPr>
            </w:pPr>
          </w:p>
        </w:tc>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Non-operating income (loss)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70.7</w:t>
            </w:r>
          </w:p>
        </w:tc>
      </w:tr>
      <w:tr>
        <w:trPr>
          <w:trHeight w:val="46"/>
        </w:trPr>
        <w:tc>
          <w:tcPr>
            <w:tcW w:w="20" w:type="dxa"/>
            <w:vAlign w:val="bottom"/>
          </w:tcPr>
          <w:p>
            <w:pPr>
              <w:spacing w:after="0"/>
              <w:rPr>
                <w:sz w:val="3"/>
                <w:szCs w:val="3"/>
                <w:color w:val="auto"/>
              </w:rPr>
            </w:pPr>
          </w:p>
        </w:tc>
        <w:tc>
          <w:tcPr>
            <w:tcW w:w="87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6"/>
        </w:trPr>
        <w:tc>
          <w:tcPr>
            <w:tcW w:w="20" w:type="dxa"/>
            <w:vAlign w:val="bottom"/>
          </w:tcPr>
          <w:p>
            <w:pPr>
              <w:spacing w:after="0"/>
              <w:rPr>
                <w:sz w:val="18"/>
                <w:szCs w:val="18"/>
                <w:color w:val="auto"/>
              </w:rPr>
            </w:pPr>
          </w:p>
        </w:tc>
        <w:tc>
          <w:tcPr>
            <w:tcW w:w="8720" w:type="dxa"/>
            <w:vAlign w:val="bottom"/>
            <w:tcBorders>
              <w:top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Adjusted non-operating income (loss)</w:t>
            </w:r>
            <w:r>
              <w:rPr>
                <w:rFonts w:ascii="Arial" w:cs="Arial" w:eastAsia="Arial" w:hAnsi="Arial"/>
                <w:sz w:val="21"/>
                <w:szCs w:val="21"/>
                <w:b w:val="1"/>
                <w:bCs w:val="1"/>
                <w:color w:val="auto"/>
                <w:vertAlign w:val="superscript"/>
              </w:rPr>
              <w:t>(1)</w:t>
            </w:r>
          </w:p>
        </w:tc>
        <w:tc>
          <w:tcPr>
            <w:tcW w:w="200" w:type="dxa"/>
            <w:vAlign w:val="bottom"/>
            <w:tcBorders>
              <w:top w:val="single" w:sz="8" w:color="CCEEFF"/>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30.9</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w:t>
            </w: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890" w:right="339" w:bottom="1440" w:gutter="0" w:footer="0" w:header="0"/>
        </w:sectPr>
      </w:pPr>
    </w:p>
    <w:bookmarkStart w:id="27" w:name="page28"/>
    <w:bookmarkEnd w:id="27"/>
    <w:p>
      <w:pPr>
        <w:ind w:left="140" w:hanging="132"/>
        <w:spacing w:after="0"/>
        <w:tabs>
          <w:tab w:leader="none" w:pos="140"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an adjusted basis, non-operating income (loss) consists of investment gains/losses generated from our cash and discretionary investment portfolio. Lower investment gains earned by our investment portfolio during the first quarter of 2026 compared to the 2025 period was primarily due to overall lower market returns, partially offset by higher dividend income from higher cash and investment balances.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includes the net investment income of the underlying portfolios included in the consolidated</w:t>
      </w:r>
    </w:p>
    <w:p>
      <w:pPr>
        <w:spacing w:after="0" w:line="2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sponsored investment products and not just the net investment income related to our ownership interest in the products. The table below shows the impact that the consolidated investment products had on the individual lines of our unaudited consolidated statements of income and the portion attributable to our interest: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320" w:type="dxa"/>
            <w:vAlign w:val="bottom"/>
            <w:tcBorders>
              <w:bottom w:val="single" w:sz="8" w:color="auto"/>
            </w:tcBorders>
            <w:gridSpan w:val="4"/>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3/31/2026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3/31/2025</w:t>
            </w: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 reflected in net operating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investment income (loss) reflected in non-operating income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on income before taxes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our interest in the consolidated investment products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1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 attributable to redeemable non-controlling interests (unrelated third-party investors)</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Impact on income before taxes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our effective tax rate on a U.S. GAAP basis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 and 2025:</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3/31/2026</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3/31/2025</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State income taxes, net of federal income tax benefits</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2.7</w:t>
            </w:r>
          </w:p>
        </w:tc>
      </w:tr>
      <w:tr>
        <w:trPr>
          <w:trHeight w:val="230"/>
        </w:trPr>
        <w:tc>
          <w:tcPr>
            <w:tcW w:w="8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(1)</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allowances</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0.4</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0.9</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effective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80" w:right="140" w:hanging="172"/>
        <w:spacing w:after="0" w:line="237" w:lineRule="auto"/>
        <w:tabs>
          <w:tab w:leader="none" w:pos="158" w:val="left"/>
        </w:tabs>
        <w:numPr>
          <w:ilvl w:val="0"/>
          <w:numId w:val="20"/>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Net income attributable to redeemable non-controlling interests represents the portion of earnings held in our consolidated investment products that are not taxable to the us despite being included in pre-tax income.</w:t>
      </w:r>
    </w:p>
    <w:p>
      <w:pPr>
        <w:spacing w:after="0" w:line="21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adjusted effective tax rate primarily adjusts for the impact of the consolidated investment products, including the net income attributable to redeemable non-controlling interests. Our adjusted effective tax rate was 23.7% in the first quarter of 2026 compared with 24.7% in 2025. The decrease in both the U.S. GAAP and adjusted effective tax rate is primarily due to lower state taxes resulting from prior period settlements and the reversal of certain deferred tax asset valuation allowances. The impact of these decreases on the U.S. GAAP effective tax rate were partially offset by a lower impact related to the net income attributable to redeemable noncontrolling interests.</w:t>
      </w:r>
    </w:p>
    <w:p>
      <w:pPr>
        <w:spacing w:after="0" w:line="20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currently estimate that our effective tax rate for the full year 2026, on a U.S. GAAP and adjusted basis, will be in the range of 23.0% to 26.0%.</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effective tax rate will continue to experience volatility in future periods due to, among other things, the impact market fluctuations in our stock price have on stock-based compensation tax benefits, changes in the mix of our earnings among countries with differing tax laws or rates, and changes in the valuation allowances of foreign-based deferred tax assets.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schedules reconcile certain U.S. GAAP financial measures to non-GAAP financial measures for the three months ended March 31, 2026 and 2025.</w:t>
      </w:r>
    </w:p>
    <w:p>
      <w:pPr>
        <w:spacing w:after="0" w:line="225"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Three months ended 3/31/2026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-115570</wp:posOffset>
            </wp:positionV>
            <wp:extent cx="707199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ectPr>
          <w:pgSz w:w="11900" w:h="16838" w:orient="portrait"/>
          <w:cols w:equalWidth="0" w:num="1">
            <w:col w:w="11200"/>
          </w:cols>
          <w:pgMar w:left="320" w:top="1135" w:right="379" w:bottom="1440" w:gutter="0" w:footer="0" w:header="0"/>
        </w:sectPr>
      </w:pPr>
    </w:p>
    <w:p>
      <w:pPr>
        <w:spacing w:after="0" w:line="347" w:lineRule="exact"/>
        <w:rPr>
          <w:sz w:val="20"/>
          <w:szCs w:val="20"/>
          <w:color w:val="auto"/>
        </w:rPr>
      </w:pPr>
    </w:p>
    <w:p>
      <w:pPr>
        <w:ind w:left="4280"/>
        <w:spacing w:after="0"/>
        <w:tabs>
          <w:tab w:leader="none" w:pos="5300" w:val="left"/>
          <w:tab w:leader="none" w:pos="642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spacing w:after="0" w:line="2" w:lineRule="exact"/>
        <w:rPr>
          <w:sz w:val="20"/>
          <w:szCs w:val="20"/>
          <w:color w:val="auto"/>
        </w:rPr>
      </w:pPr>
    </w:p>
    <w:p>
      <w:pPr>
        <w:ind w:left="4300"/>
        <w:spacing w:after="0"/>
        <w:tabs>
          <w:tab w:leader="none" w:pos="5500" w:val="left"/>
          <w:tab w:leader="none" w:pos="646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96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960" w:type="dxa"/>
            <w:vAlign w:val="bottom"/>
          </w:tcPr>
          <w:p>
            <w:pPr>
              <w:jc w:val="center"/>
              <w:ind w:right="88"/>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8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260"/>
            <w:col w:w="3500"/>
          </w:cols>
          <w:pgMar w:left="320" w:top="1135" w:right="379" w:bottom="1440" w:gutter="0" w:footer="0" w:header="0"/>
          <w:type w:val="continuous"/>
        </w:sectPr>
      </w:pPr>
    </w:p>
    <w:tbl>
      <w:tblPr>
        <w:tblLayout w:type="fixed"/>
        <w:tblInd w:w="60" w:type="dxa"/>
        <w:tblCellMar>
          <w:top w:w="0" w:type="dxa"/>
          <w:left w:w="0" w:type="dxa"/>
          <w:bottom w:w="0" w:type="dxa"/>
          <w:right w:w="0" w:type="dxa"/>
        </w:tblCellMar>
      </w:tblPr>
      <w:tr>
        <w:trPr>
          <w:trHeight w:val="21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95"/>
        </w:trPr>
        <w:tc>
          <w:tcPr>
            <w:tcW w:w="404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5"/>
        </w:trPr>
        <w:tc>
          <w:tcPr>
            <w:tcW w:w="404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4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142"/>
        </w:trPr>
        <w:tc>
          <w:tcPr>
            <w:tcW w:w="404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Restructuring charge</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0"/>
        </w:trPr>
        <w:tc>
          <w:tcPr>
            <w:tcW w:w="4040" w:type="dxa"/>
            <w:vAlign w:val="bottom"/>
          </w:tcPr>
          <w:p>
            <w:pPr>
              <w:ind w:left="20"/>
              <w:spacing w:after="0"/>
              <w:rPr>
                <w:sz w:val="20"/>
                <w:szCs w:val="20"/>
                <w:color w:val="auto"/>
              </w:rPr>
            </w:pPr>
            <w:r>
              <w:rPr>
                <w:rFonts w:ascii="Arial" w:cs="Arial" w:eastAsia="Arial" w:hAnsi="Arial"/>
                <w:sz w:val="16"/>
                <w:szCs w:val="16"/>
                <w:b w:val="1"/>
                <w:bCs w:val="1"/>
                <w:color w:val="auto"/>
              </w:rPr>
              <w:t>Adjusted Basis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1,155.2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706.1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460"/>
        <w:spacing w:after="0"/>
        <w:rPr>
          <w:sz w:val="20"/>
          <w:szCs w:val="20"/>
          <w:color w:val="auto"/>
        </w:rPr>
      </w:pPr>
      <w:r>
        <w:rPr>
          <w:rFonts w:ascii="Arial" w:cs="Arial" w:eastAsia="Arial" w:hAnsi="Arial"/>
          <w:sz w:val="16"/>
          <w:szCs w:val="16"/>
          <w:b w:val="1"/>
          <w:bCs w:val="1"/>
          <w:color w:val="auto"/>
        </w:rPr>
        <w:t>Three months ended 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-115570</wp:posOffset>
            </wp:positionV>
            <wp:extent cx="706374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63740" cy="146050"/>
                    </a:xfrm>
                    <a:prstGeom prst="rect">
                      <a:avLst/>
                    </a:prstGeom>
                    <a:noFill/>
                  </pic:spPr>
                </pic:pic>
              </a:graphicData>
            </a:graphic>
          </wp:anchor>
        </w:drawing>
      </w:r>
    </w:p>
    <w:p>
      <w:pPr>
        <w:sectPr>
          <w:pgSz w:w="11900" w:h="16838" w:orient="portrait"/>
          <w:cols w:equalWidth="0" w:num="1">
            <w:col w:w="11200"/>
          </w:cols>
          <w:pgMar w:left="320" w:top="1135" w:right="379" w:bottom="1440" w:gutter="0" w:footer="0" w:header="0"/>
          <w:type w:val="continuous"/>
        </w:sectPr>
      </w:pPr>
    </w:p>
    <w:p>
      <w:pPr>
        <w:spacing w:after="0" w:line="335" w:lineRule="exact"/>
        <w:rPr>
          <w:sz w:val="20"/>
          <w:szCs w:val="20"/>
          <w:color w:val="auto"/>
        </w:rPr>
      </w:pPr>
    </w:p>
    <w:p>
      <w:pPr>
        <w:ind w:left="4280"/>
        <w:spacing w:after="0"/>
        <w:tabs>
          <w:tab w:leader="none" w:pos="5280" w:val="left"/>
          <w:tab w:leader="none" w:pos="642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ind w:left="4280"/>
        <w:spacing w:after="0"/>
        <w:tabs>
          <w:tab w:leader="none" w:pos="5500" w:val="left"/>
          <w:tab w:leader="none" w:pos="644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10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9"/>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60" w:type="dxa"/>
            <w:vAlign w:val="bottom"/>
          </w:tcPr>
          <w:p>
            <w:pPr>
              <w:jc w:val="center"/>
              <w:ind w:right="108"/>
              <w:spacing w:after="0" w:line="137"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68"/>
              <w:spacing w:after="0" w:line="137"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201"/>
        </w:trPr>
        <w:tc>
          <w:tcPr>
            <w:tcW w:w="960" w:type="dxa"/>
            <w:vAlign w:val="bottom"/>
          </w:tcPr>
          <w:p>
            <w:pPr>
              <w:jc w:val="center"/>
              <w:ind w:right="88"/>
              <w:spacing w:after="0" w:line="201"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(6)</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68"/>
              <w:spacing w:after="0" w:line="201" w:lineRule="exact"/>
              <w:rPr>
                <w:sz w:val="20"/>
                <w:szCs w:val="20"/>
                <w:color w:val="auto"/>
              </w:rPr>
            </w:pPr>
            <w:r>
              <w:rPr>
                <w:rFonts w:ascii="Arial" w:cs="Arial" w:eastAsia="Arial" w:hAnsi="Arial"/>
                <w:sz w:val="14"/>
                <w:szCs w:val="14"/>
                <w:b w:val="1"/>
                <w:bCs w:val="1"/>
                <w:color w:val="auto"/>
                <w:w w:val="92"/>
              </w:rPr>
              <w:t>share</w:t>
            </w:r>
            <w:r>
              <w:rPr>
                <w:rFonts w:ascii="Arial" w:cs="Arial" w:eastAsia="Arial" w:hAnsi="Arial"/>
                <w:sz w:val="18"/>
                <w:szCs w:val="18"/>
                <w:b w:val="1"/>
                <w:bCs w:val="1"/>
                <w:color w:val="auto"/>
                <w:w w:val="92"/>
                <w:vertAlign w:val="superscript"/>
              </w:rPr>
              <w:t>(7)</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20" w:space="280"/>
            <w:col w:w="3500"/>
          </w:cols>
          <w:pgMar w:left="320" w:top="1135" w:right="379" w:bottom="1440" w:gutter="0" w:footer="0" w:header="0"/>
          <w:type w:val="continuous"/>
        </w:sectPr>
      </w:pPr>
    </w:p>
    <w:tbl>
      <w:tblPr>
        <w:tblLayout w:type="fixed"/>
        <w:tblInd w:w="60" w:type="dxa"/>
        <w:tblCellMar>
          <w:top w:w="0" w:type="dxa"/>
          <w:left w:w="0" w:type="dxa"/>
          <w:bottom w:w="0" w:type="dxa"/>
          <w:right w:w="0" w:type="dxa"/>
        </w:tblCellMar>
      </w:tblP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center"/>
              <w:ind w:left="17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5"/>
        </w:trPr>
        <w:tc>
          <w:tcPr>
            <w:tcW w:w="402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center"/>
              <w:ind w:left="17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center"/>
              <w:ind w:left="17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142"/>
        </w:trPr>
        <w:tc>
          <w:tcPr>
            <w:tcW w:w="402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vMerge w:val="restart"/>
          </w:tcPr>
          <w:p>
            <w:pPr>
              <w:jc w:val="center"/>
              <w:ind w:left="17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15"/>
        </w:trPr>
        <w:tc>
          <w:tcPr>
            <w:tcW w:w="402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2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(5)</w:t>
            </w:r>
          </w:p>
        </w:tc>
        <w:tc>
          <w:tcPr>
            <w:tcW w:w="2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center"/>
              <w:ind w:left="159"/>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35"/>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Basis</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center"/>
              <w:ind w:left="17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right="560" w:hanging="332"/>
        <w:spacing w:after="0" w:line="305" w:lineRule="auto"/>
        <w:tabs>
          <w:tab w:leader="none" w:pos="287" w:val="left"/>
        </w:tabs>
        <w:numPr>
          <w:ilvl w:val="0"/>
          <w:numId w:val="21"/>
        </w:numPr>
        <w:rPr>
          <w:rFonts w:ascii="Arial" w:cs="Arial" w:eastAsia="Arial" w:hAnsi="Arial"/>
          <w:sz w:val="9"/>
          <w:szCs w:val="9"/>
          <w:color w:val="auto"/>
        </w:rPr>
      </w:pPr>
      <w:r>
        <w:rPr>
          <w:rFonts w:ascii="Arial" w:cs="Arial" w:eastAsia="Arial" w:hAnsi="Arial"/>
          <w:sz w:val="14"/>
          <w:szCs w:val="14"/>
          <w:color w:val="auto"/>
        </w:rPr>
        <w:t>These non-GAAP adjustments remove the impact of acquisition-related amortization of intangible assets, the recurring fair value remeasurements of the contingent consideration liability, if any, amortization of acquired investment and non-controlling interest basis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5" w:right="379" w:bottom="1440" w:gutter="0" w:footer="0" w:header="0"/>
          <w:type w:val="continuous"/>
        </w:sectPr>
      </w:pPr>
    </w:p>
    <w:bookmarkStart w:id="29" w:name="page30"/>
    <w:bookmarkEnd w:id="29"/>
    <w:p>
      <w:pPr>
        <w:ind w:left="340" w:right="320"/>
        <w:spacing w:after="0" w:line="305" w:lineRule="auto"/>
        <w:rPr>
          <w:sz w:val="20"/>
          <w:szCs w:val="20"/>
          <w:color w:val="auto"/>
        </w:rPr>
      </w:pPr>
      <w:r>
        <w:rPr>
          <w:rFonts w:ascii="Arial" w:cs="Arial" w:eastAsia="Arial" w:hAnsi="Arial"/>
          <w:sz w:val="14"/>
          <w:szCs w:val="14"/>
          <w:color w:val="auto"/>
        </w:rPr>
        <w:t>differences and amortization of compensation-related arrangements. We believe adjusting for these charges helps the reader's ability to understand our core operating results and increases comparability period to period.</w:t>
      </w:r>
    </w:p>
    <w:p>
      <w:pPr>
        <w:spacing w:after="0" w:line="185" w:lineRule="exact"/>
        <w:rPr>
          <w:sz w:val="20"/>
          <w:szCs w:val="20"/>
          <w:color w:val="auto"/>
        </w:rPr>
      </w:pPr>
    </w:p>
    <w:p>
      <w:pPr>
        <w:ind w:left="340" w:hanging="332"/>
        <w:spacing w:after="0" w:line="248" w:lineRule="auto"/>
        <w:tabs>
          <w:tab w:leader="none" w:pos="28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This non-GAAP adjustment eliminates the compensation expense impact from market valuation changes in deferred compensation liabilities, including the supplemental savings plan and restricted fund units, and the related net gains (losses) on investments used as economic hedges against the related liabilities. The liabilities are adjusted based on the performance of hypothetical investments selected by participants. We use investment products to economically hedge the market risk associated with the supplemental savings plan liability and the expected settlement value of unvested restricted fund units. We believe it is useful to offset the non-operating investment income (loss) of the hedges against the related compensation expense and remove the net impact to help the reader's ability to understand the our core operating results and to increase comparability period to period.</w:t>
      </w:r>
    </w:p>
    <w:p>
      <w:pPr>
        <w:spacing w:after="0" w:line="211" w:lineRule="exact"/>
        <w:rPr>
          <w:rFonts w:ascii="Arial" w:cs="Arial" w:eastAsia="Arial" w:hAnsi="Arial"/>
          <w:sz w:val="19"/>
          <w:szCs w:val="19"/>
          <w:color w:val="auto"/>
          <w:vertAlign w:val="superscript"/>
        </w:rPr>
      </w:pPr>
    </w:p>
    <w:p>
      <w:pPr>
        <w:ind w:left="340" w:right="60" w:hanging="332"/>
        <w:spacing w:after="0" w:line="305" w:lineRule="auto"/>
        <w:tabs>
          <w:tab w:leader="none" w:pos="287" w:val="left"/>
        </w:tabs>
        <w:numPr>
          <w:ilvl w:val="0"/>
          <w:numId w:val="22"/>
        </w:numPr>
        <w:rPr>
          <w:rFonts w:ascii="Arial" w:cs="Arial" w:eastAsia="Arial" w:hAnsi="Arial"/>
          <w:sz w:val="9"/>
          <w:szCs w:val="9"/>
          <w:color w:val="auto"/>
        </w:rPr>
      </w:pPr>
      <w:r>
        <w:rPr>
          <w:rFonts w:ascii="Arial" w:cs="Arial" w:eastAsia="Arial" w:hAnsi="Arial"/>
          <w:sz w:val="14"/>
          <w:szCs w:val="14"/>
          <w:color w:val="auto"/>
        </w:rPr>
        <w:t>This non-GAAP adjustment removes the impact of actions taken as part of our broad and ongoing plan to reduce expense growth and realign resources to invest in existing and future capabilities. We believe this adjustment helps the reader’s ability to understand our core operating results and increases comparability period to period.</w:t>
      </w:r>
    </w:p>
    <w:p>
      <w:pPr>
        <w:spacing w:after="0" w:line="184" w:lineRule="exact"/>
        <w:rPr>
          <w:rFonts w:ascii="Arial" w:cs="Arial" w:eastAsia="Arial" w:hAnsi="Arial"/>
          <w:sz w:val="9"/>
          <w:szCs w:val="9"/>
          <w:color w:val="auto"/>
        </w:rPr>
      </w:pPr>
    </w:p>
    <w:p>
      <w:pPr>
        <w:ind w:left="340" w:right="100" w:hanging="332"/>
        <w:spacing w:after="0"/>
        <w:tabs>
          <w:tab w:leader="none" w:pos="28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represents the consolidated investment products' net income, net of redeemable non-controlling interests. We believe this adjustment helps the reader’s ability to understand our core operating results and increases comparability period to period.</w:t>
      </w:r>
    </w:p>
    <w:p>
      <w:pPr>
        <w:spacing w:after="0" w:line="230" w:lineRule="exact"/>
        <w:rPr>
          <w:rFonts w:ascii="Arial" w:cs="Arial" w:eastAsia="Arial" w:hAnsi="Arial"/>
          <w:sz w:val="19"/>
          <w:szCs w:val="19"/>
          <w:color w:val="auto"/>
          <w:vertAlign w:val="superscript"/>
        </w:rPr>
      </w:pPr>
    </w:p>
    <w:p>
      <w:pPr>
        <w:ind w:left="340" w:right="160" w:hanging="332"/>
        <w:spacing w:after="0" w:line="246" w:lineRule="auto"/>
        <w:tabs>
          <w:tab w:leader="none" w:pos="287"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This non-GAAP adjustment removes non-operating income (loss) earned on those investments that are not economic hedges for the deferred compensation liabilities and are not part of the cash and discretionary investment portfolio. We retain gains from cash and discretionary investments in our non-GAAP measures, as they are considered part of our core operations. We believe adjusting for the remaining non-operating income (loss) helps the reader’s ability to understand our core operating results and increases comparability period to period. Additionally, we do not emphasize this portion of non-operating income (loss) when assessing our performance.</w:t>
      </w:r>
    </w:p>
    <w:p>
      <w:pPr>
        <w:spacing w:after="0" w:line="212" w:lineRule="exact"/>
        <w:rPr>
          <w:rFonts w:ascii="Arial" w:cs="Arial" w:eastAsia="Arial" w:hAnsi="Arial"/>
          <w:sz w:val="19"/>
          <w:szCs w:val="19"/>
          <w:color w:val="auto"/>
          <w:vertAlign w:val="superscript"/>
        </w:rPr>
      </w:pPr>
    </w:p>
    <w:p>
      <w:pPr>
        <w:ind w:left="340" w:right="380" w:hanging="332"/>
        <w:spacing w:after="0" w:line="305" w:lineRule="auto"/>
        <w:tabs>
          <w:tab w:leader="none" w:pos="287" w:val="left"/>
        </w:tabs>
        <w:numPr>
          <w:ilvl w:val="0"/>
          <w:numId w:val="22"/>
        </w:numPr>
        <w:rPr>
          <w:rFonts w:ascii="Arial" w:cs="Arial" w:eastAsia="Arial" w:hAnsi="Arial"/>
          <w:sz w:val="9"/>
          <w:szCs w:val="9"/>
          <w:color w:val="auto"/>
        </w:rPr>
      </w:pPr>
      <w:r>
        <w:rPr>
          <w:rFonts w:ascii="Arial" w:cs="Arial" w:eastAsia="Arial" w:hAnsi="Arial"/>
          <w:sz w:val="14"/>
          <w:szCs w:val="14"/>
          <w:color w:val="auto"/>
        </w:rPr>
        <w:t>The income tax impacts were calculated in order to achieve an overall year-to-date non-GAAP effective tax rate. As such, the non-GAAP effective tax rate for the three months ended March 31, 2026 and 2025 was 23.7% and 24.7%, respectively.</w:t>
      </w:r>
    </w:p>
    <w:p>
      <w:pPr>
        <w:spacing w:after="0" w:line="155" w:lineRule="exact"/>
        <w:rPr>
          <w:rFonts w:ascii="Arial" w:cs="Arial" w:eastAsia="Arial" w:hAnsi="Arial"/>
          <w:sz w:val="9"/>
          <w:szCs w:val="9"/>
          <w:color w:val="auto"/>
        </w:rPr>
      </w:pPr>
    </w:p>
    <w:p>
      <w:pPr>
        <w:ind w:left="280" w:hanging="272"/>
        <w:spacing w:after="0"/>
        <w:tabs>
          <w:tab w:leader="none" w:pos="2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This non-GAAP measure was calculated by applying the two-class method to adjusted net income attributable to</w:t>
      </w:r>
    </w:p>
    <w:p>
      <w:pPr>
        <w:ind w:left="340" w:right="740" w:hanging="167"/>
        <w:spacing w:after="0" w:line="284" w:lineRule="auto"/>
        <w:rPr>
          <w:rFonts w:ascii="Arial" w:cs="Arial" w:eastAsia="Arial" w:hAnsi="Arial"/>
          <w:sz w:val="19"/>
          <w:szCs w:val="19"/>
          <w:color w:val="auto"/>
          <w:vertAlign w:val="superscript"/>
        </w:rPr>
      </w:pPr>
      <w:r>
        <w:rPr>
          <w:rFonts w:ascii="Arial" w:cs="Arial" w:eastAsia="Arial" w:hAnsi="Arial"/>
          <w:sz w:val="14"/>
          <w:szCs w:val="14"/>
          <w:color w:val="auto"/>
        </w:rPr>
        <w:t>T. Rowe Price Group divided by the weighted-average common shares outstanding assuming dilution. The calculation of adjusted net income allocated to common stockholders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220" w:type="dxa"/>
            <w:vAlign w:val="bottom"/>
            <w:tcBorders>
              <w:bottom w:val="single" w:sz="8" w:color="auto"/>
            </w:tcBorders>
            <w:gridSpan w:val="3"/>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8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3/31/2026</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3/31/2025</w:t>
            </w:r>
          </w:p>
        </w:tc>
      </w:tr>
      <w:tr>
        <w:trPr>
          <w:trHeight w:val="197"/>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attributable to T. Rowe Price Group, Inc.</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509.3</w:t>
            </w:r>
          </w:p>
        </w:tc>
      </w:tr>
      <w:tr>
        <w:trPr>
          <w:trHeight w:val="198"/>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adjusted net income allocated to outstanding restricted stock and stock unit holders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r>
      <w:tr>
        <w:trPr>
          <w:trHeight w:val="22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net income allocated to common stockholders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547.9</w:t>
            </w: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3/31/2026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12/31/2025</w:t>
            </w: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3,729.8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3,378.2</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color w:val="auto"/>
              </w:rPr>
              <w:t>Total cash and discretionary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3,841.9</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seed capital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1,144.1</w:t>
            </w:r>
          </w:p>
        </w:tc>
      </w:tr>
      <w:tr>
        <w:trPr>
          <w:trHeight w:val="229"/>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used to hedge the deferred compensation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and investments in T. Rowe Price products attributable to T. Rowe Price Group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Our subsidiaries outside the United States held cash and discretionary investments of $826.1 million at March 31, 2026 and $730.6 million at December 31, 2025. Given the availability of our financial resources and cash expected to be generated through future operations, we do not maintain an available external source of additional liquidity.</w:t>
      </w:r>
    </w:p>
    <w:p>
      <w:pPr>
        <w:spacing w:after="0" w:line="20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ind w:right="160"/>
        <w:spacing w:after="0" w:line="268" w:lineRule="auto"/>
        <w:rPr>
          <w:sz w:val="20"/>
          <w:szCs w:val="20"/>
          <w:color w:val="auto"/>
        </w:rPr>
      </w:pPr>
      <w:r>
        <w:rPr>
          <w:rFonts w:ascii="Arial" w:cs="Arial" w:eastAsia="Arial" w:hAnsi="Arial"/>
          <w:sz w:val="18"/>
          <w:szCs w:val="18"/>
          <w:color w:val="auto"/>
        </w:rPr>
        <w:t>The cash and investment presentation on the unaudited consolidated balance sheet is based on the accounting treatment for the cash equivalent or investment item. The following table details how T. Rowe Price Group, Inc.’s interests in cash and investments relate to where they are presented on the unaudited consolidated balance sheet as of March 31, 2026.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Net assets of</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39" w:lineRule="exact"/>
              <w:rPr>
                <w:sz w:val="20"/>
                <w:szCs w:val="20"/>
                <w:color w:val="auto"/>
              </w:rPr>
            </w:pPr>
            <w:r>
              <w:rPr>
                <w:rFonts w:ascii="Arial" w:cs="Arial" w:eastAsia="Arial" w:hAnsi="Arial"/>
                <w:sz w:val="14"/>
                <w:szCs w:val="14"/>
                <w:b w:val="1"/>
                <w:bCs w:val="1"/>
                <w:color w:val="auto"/>
              </w:rPr>
              <w:t>consolidated</w:t>
            </w: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20"/>
              <w:spacing w:after="0" w:line="158" w:lineRule="exact"/>
              <w:rPr>
                <w:sz w:val="20"/>
                <w:szCs w:val="20"/>
                <w:color w:val="auto"/>
              </w:rPr>
            </w:pPr>
            <w:r>
              <w:rPr>
                <w:rFonts w:ascii="Arial" w:cs="Arial" w:eastAsia="Arial" w:hAnsi="Arial"/>
                <w:sz w:val="14"/>
                <w:szCs w:val="14"/>
                <w:b w:val="1"/>
                <w:bCs w:val="1"/>
                <w:color w:val="auto"/>
              </w:rPr>
              <w:t>Cash and cash</w:t>
            </w:r>
          </w:p>
        </w:tc>
        <w:tc>
          <w:tcPr>
            <w:tcW w:w="18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4"/>
                <w:szCs w:val="14"/>
                <w:b w:val="1"/>
                <w:bCs w:val="1"/>
                <w:color w:val="auto"/>
              </w:rPr>
              <w:t>investment</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equivalents</w:t>
            </w:r>
          </w:p>
        </w:tc>
        <w:tc>
          <w:tcPr>
            <w:tcW w:w="18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3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4,189.3</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seed capital investments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Investments used to hedge the deferred compensation liabilities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156"/>
        </w:trPr>
        <w:tc>
          <w:tcPr>
            <w:tcW w:w="58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 T.</w:t>
            </w:r>
          </w:p>
        </w:tc>
        <w:tc>
          <w:tcPr>
            <w:tcW w:w="1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3,729.8</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1,964.7</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6,566.2</w:t>
            </w:r>
          </w:p>
        </w:tc>
        <w:tc>
          <w:tcPr>
            <w:tcW w:w="0" w:type="dxa"/>
            <w:vAlign w:val="bottom"/>
          </w:tcPr>
          <w:p>
            <w:pPr>
              <w:spacing w:after="0"/>
              <w:rPr>
                <w:sz w:val="1"/>
                <w:szCs w:val="1"/>
                <w:color w:val="auto"/>
              </w:rPr>
            </w:pPr>
          </w:p>
        </w:tc>
      </w:tr>
      <w:tr>
        <w:trPr>
          <w:trHeight w:val="24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Rowe Price Group</w:t>
            </w:r>
          </w:p>
        </w:tc>
        <w:tc>
          <w:tcPr>
            <w:tcW w:w="1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711.2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w:t>
            </w: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7,797.7</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48"/>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reported on the consolidated balance sheet at 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right="140" w:hanging="172"/>
        <w:spacing w:after="0" w:line="266" w:lineRule="auto"/>
        <w:tabs>
          <w:tab w:leader="none" w:pos="158"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T. Rowe Price investment products are generally those products we provided seed capital at the time of their formation and we have a controlling interest. These products generally represent U.S. mutual funds, ETFs, and funds regulated outside the U.S. The $900.8 million represents the total value at March 31, 2026 of our interest in the consolidated T. Rowe Price investment products. The total net assets of the T. Rowe Price investment products at March 31, 2026 of $1,841.0 million includes assets of $1,954.5 million, less liabilities of $113.5 million as reflected in our unaudited consolidated balance sheets.</w:t>
      </w:r>
    </w:p>
    <w:p>
      <w:pPr>
        <w:ind w:left="180" w:right="20" w:hanging="172"/>
        <w:spacing w:after="0" w:line="213" w:lineRule="auto"/>
        <w:tabs>
          <w:tab w:leader="none" w:pos="172" w:val="left"/>
        </w:tabs>
        <w:numPr>
          <w:ilvl w:val="0"/>
          <w:numId w:val="23"/>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$157.6 million of non-controlling interests in consolidated entities and represents the portion of these investments, held by related parties, that we cannot sell in order to obtain cash for general operations.</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unaudited consolidated balance sheet reflects the cash and cash equivalents, investments, other assets and liabilities of those investment products we consolidate, as well as redeemable non-controlling interests for the portion of these investment products that are held by unrelated third-party investors. Although we can redeem our net interest in these investment products at any time, we cannot directly access or sell the assets held by the products to obtain cash for general operations. Additionally, the assets of these investment products are not available to our general creditors. Our interest in these sponsored investment products is generally used as initial seed capital and is recategorized as discretionary when it is determined by management that the seed capital is no longer needed. We assess the discretionary investment products and, when we decide to liquidate our interest, we seek to do so in a way as to not impact the product and, ultimately, the unrelated third-party investors.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2026 by 2.4% to $1.30 per common share from $1.27 per common share. Further, we expended $ 340.4 million in the first quarter of 2026 to repurchase 3.7 million shares of our outstanding common stock, at an average price of $92.16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Since the end of 2023, we have returned nearly $3.9 billion to stockholders through stock repurchases and regular quarterly dividends, as follows: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1" w:name="page32"/>
    <w:bookmarkEnd w:id="31"/>
    <w:tbl>
      <w:tblPr>
        <w:tblLayout w:type="fixed"/>
        <w:tblInd w:w="40" w:type="dxa"/>
        <w:tblCellMar>
          <w:top w:w="0" w:type="dxa"/>
          <w:left w:w="0" w:type="dxa"/>
          <w:bottom w:w="0" w:type="dxa"/>
          <w:right w:w="0" w:type="dxa"/>
        </w:tblCellMar>
      </w:tblPr>
      <w:tr>
        <w:trPr>
          <w:trHeight w:val="161"/>
        </w:trPr>
        <w:tc>
          <w:tcPr>
            <w:tcW w:w="69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Recurring</w:t>
            </w:r>
          </w:p>
        </w:tc>
        <w:tc>
          <w:tcPr>
            <w:tcW w:w="144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Stock repurchases</w:t>
            </w:r>
          </w:p>
        </w:tc>
        <w:tc>
          <w:tcPr>
            <w:tcW w:w="134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b w:val="1"/>
                <w:bCs w:val="1"/>
                <w:color w:val="auto"/>
              </w:rPr>
              <w:t>Total returned to</w:t>
            </w:r>
          </w:p>
        </w:tc>
        <w:tc>
          <w:tcPr>
            <w:tcW w:w="0" w:type="dxa"/>
            <w:vAlign w:val="bottom"/>
          </w:tcPr>
          <w:p>
            <w:pPr>
              <w:spacing w:after="0"/>
              <w:rPr>
                <w:sz w:val="1"/>
                <w:szCs w:val="1"/>
                <w:color w:val="auto"/>
              </w:rPr>
            </w:pPr>
          </w:p>
        </w:tc>
      </w:tr>
      <w:tr>
        <w:trPr>
          <w:trHeight w:val="189"/>
        </w:trPr>
        <w:tc>
          <w:tcPr>
            <w:tcW w:w="69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dividend</w:t>
            </w:r>
          </w:p>
        </w:tc>
        <w:tc>
          <w:tcPr>
            <w:tcW w:w="1440" w:type="dxa"/>
            <w:vAlign w:val="bottom"/>
            <w:gridSpan w:val="3"/>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19"/>
                <w:szCs w:val="19"/>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Three months ended March 31, 2026</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2026 to be about $270 million of which nearly all is planned for technology initiatives. We expect to fund our anticipated capital expenditures with operating cash flows and other available resources.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summarizes the cash flows for the three months ended March 31, 2026 and 2025, that are attributable to T. Rowe Price Group, Inc., our consolidated investment products, and the related eliminations required in preparing the statement.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3/31/2026</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86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3"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vMerge w:val="continue"/>
            <w:shd w:val="clear" w:color="auto" w:fill="CCEEFF"/>
          </w:tcPr>
          <w:p>
            <w:pPr>
              <w:spacing w:after="0"/>
              <w:rPr>
                <w:sz w:val="12"/>
                <w:szCs w:val="12"/>
                <w:color w:val="auto"/>
              </w:rPr>
            </w:pP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b w:val="1"/>
                <w:bCs w:val="1"/>
                <w:color w:val="auto"/>
              </w:rPr>
              <w:t>sponsored</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As</w:t>
            </w:r>
          </w:p>
        </w:tc>
        <w:tc>
          <w:tcPr>
            <w:tcW w:w="98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to T. Rowe</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00"/>
              <w:spacing w:after="0" w:line="145" w:lineRule="exact"/>
              <w:rPr>
                <w:sz w:val="20"/>
                <w:szCs w:val="20"/>
                <w:color w:val="auto"/>
              </w:rPr>
            </w:pPr>
            <w:r>
              <w:rPr>
                <w:rFonts w:ascii="Arial" w:cs="Arial" w:eastAsia="Arial" w:hAnsi="Arial"/>
                <w:sz w:val="14"/>
                <w:szCs w:val="14"/>
                <w:b w:val="1"/>
                <w:bCs w:val="1"/>
                <w:color w:val="auto"/>
              </w:rPr>
              <w:t>sponsored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8"/>
        </w:trPr>
        <w:tc>
          <w:tcPr>
            <w:tcW w:w="38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Elims</w:t>
            </w:r>
          </w:p>
        </w:tc>
        <w:tc>
          <w:tcPr>
            <w:tcW w:w="12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9"/>
              </w:rPr>
              <w:t>Inc.</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90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reported</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Inc.</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156"/>
        </w:trPr>
        <w:tc>
          <w:tcPr>
            <w:tcW w:w="3860" w:type="dxa"/>
            <w:vAlign w:val="bottom"/>
          </w:tcPr>
          <w:p>
            <w:pPr>
              <w:ind w:left="140"/>
              <w:spacing w:after="0" w:line="156" w:lineRule="exact"/>
              <w:rPr>
                <w:sz w:val="20"/>
                <w:szCs w:val="20"/>
                <w:color w:val="auto"/>
              </w:rPr>
            </w:pPr>
            <w:r>
              <w:rPr>
                <w:rFonts w:ascii="Arial" w:cs="Arial" w:eastAsia="Arial" w:hAnsi="Arial"/>
                <w:sz w:val="18"/>
                <w:szCs w:val="18"/>
                <w:color w:val="auto"/>
              </w:rPr>
              <w:t>Adjustments to reconcile net income (loss) to</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140"/>
              <w:spacing w:after="0" w:line="176" w:lineRule="exact"/>
              <w:rPr>
                <w:sz w:val="20"/>
                <w:szCs w:val="20"/>
                <w:color w:val="auto"/>
              </w:rPr>
            </w:pPr>
            <w:r>
              <w:rPr>
                <w:rFonts w:ascii="Arial" w:cs="Arial" w:eastAsia="Arial" w:hAnsi="Arial"/>
                <w:sz w:val="18"/>
                <w:szCs w:val="18"/>
                <w:color w:val="auto"/>
              </w:rPr>
              <w:t>net cash provided by (used in) operating</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86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60" w:type="dxa"/>
            <w:vAlign w:val="bottom"/>
            <w:shd w:val="clear" w:color="auto" w:fill="CCEEFF"/>
          </w:tcPr>
          <w:p>
            <w:pPr>
              <w:ind w:left="220"/>
              <w:spacing w:after="0" w:line="177" w:lineRule="exact"/>
              <w:rPr>
                <w:sz w:val="20"/>
                <w:szCs w:val="20"/>
                <w:color w:val="auto"/>
              </w:rPr>
            </w:pPr>
            <w:r>
              <w:rPr>
                <w:rFonts w:ascii="Arial" w:cs="Arial" w:eastAsia="Arial" w:hAnsi="Arial"/>
                <w:sz w:val="18"/>
                <w:szCs w:val="18"/>
                <w:color w:val="auto"/>
              </w:rPr>
              <w:t>Depreciation, amortization and impairments</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property, equipment and software</w:t>
            </w: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20"/>
              <w:spacing w:after="0" w:line="176" w:lineRule="exact"/>
              <w:rPr>
                <w:sz w:val="20"/>
                <w:szCs w:val="20"/>
                <w:color w:val="auto"/>
              </w:rPr>
            </w:pPr>
            <w:r>
              <w:rPr>
                <w:rFonts w:ascii="Arial" w:cs="Arial" w:eastAsia="Arial" w:hAnsi="Arial"/>
                <w:sz w:val="18"/>
                <w:szCs w:val="18"/>
                <w:color w:val="auto"/>
              </w:rPr>
              <w:t>Amortization and impairment of acquisition-</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3860" w:type="dxa"/>
            <w:vAlign w:val="bottom"/>
          </w:tcPr>
          <w:p>
            <w:pPr>
              <w:ind w:left="220"/>
              <w:spacing w:after="0"/>
              <w:rPr>
                <w:sz w:val="20"/>
                <w:szCs w:val="20"/>
                <w:color w:val="auto"/>
              </w:rPr>
            </w:pPr>
            <w:r>
              <w:rPr>
                <w:rFonts w:ascii="Arial" w:cs="Arial" w:eastAsia="Arial" w:hAnsi="Arial"/>
                <w:sz w:val="18"/>
                <w:szCs w:val="18"/>
                <w:color w:val="auto"/>
              </w:rPr>
              <w:t>related assets and retention agreements</w:t>
            </w: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Fair value remeasurement of contingent</w:t>
            </w:r>
          </w:p>
        </w:tc>
        <w:tc>
          <w:tcPr>
            <w:tcW w:w="1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liability</w:t>
            </w:r>
          </w:p>
        </w:tc>
        <w:tc>
          <w:tcPr>
            <w:tcW w:w="18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(gains) losses recognized on</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Total non-cash adjustments</w:t>
            </w: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Net redemptions in sponsored investment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products used to economically hedge</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supplemental savings plan liability</w:t>
            </w: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20"/>
              <w:spacing w:after="0" w:line="176" w:lineRule="exact"/>
              <w:rPr>
                <w:sz w:val="20"/>
                <w:szCs w:val="20"/>
                <w:color w:val="auto"/>
              </w:rPr>
            </w:pPr>
            <w:r>
              <w:rPr>
                <w:rFonts w:ascii="Arial" w:cs="Arial" w:eastAsia="Arial" w:hAnsi="Arial"/>
                <w:sz w:val="18"/>
                <w:szCs w:val="18"/>
                <w:color w:val="auto"/>
              </w:rPr>
              <w:t>Net change in trading securities held by</w:t>
            </w:r>
          </w:p>
        </w:tc>
        <w:tc>
          <w:tcPr>
            <w:tcW w:w="18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43"/>
        </w:trPr>
        <w:tc>
          <w:tcPr>
            <w:tcW w:w="3860" w:type="dxa"/>
            <w:vAlign w:val="bottom"/>
          </w:tcPr>
          <w:p>
            <w:pPr>
              <w:ind w:left="220"/>
              <w:spacing w:after="0"/>
              <w:rPr>
                <w:sz w:val="20"/>
                <w:szCs w:val="20"/>
                <w:color w:val="auto"/>
              </w:rPr>
            </w:pPr>
            <w:r>
              <w:rPr>
                <w:rFonts w:ascii="Arial" w:cs="Arial" w:eastAsia="Arial" w:hAnsi="Arial"/>
                <w:sz w:val="18"/>
                <w:szCs w:val="18"/>
                <w:color w:val="auto"/>
              </w:rPr>
              <w:t>consolidated sponsored investment products</w:t>
            </w:r>
          </w:p>
        </w:tc>
        <w:tc>
          <w:tcPr>
            <w:tcW w:w="18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changes</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6" w:lineRule="exact"/>
              <w:rPr>
                <w:sz w:val="20"/>
                <w:szCs w:val="20"/>
                <w:color w:val="auto"/>
              </w:rPr>
            </w:pPr>
            <w:r>
              <w:rPr>
                <w:rFonts w:ascii="Arial" w:cs="Arial" w:eastAsia="Arial" w:hAnsi="Arial"/>
                <w:sz w:val="18"/>
                <w:szCs w:val="18"/>
                <w:color w:val="auto"/>
              </w:rPr>
              <w:t>Net cash provided by (used in) operating</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966.3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824.3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771.9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(137.1)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cash provided by (used in) investing</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60" w:type="dxa"/>
            <w:vAlign w:val="bottom"/>
          </w:tcPr>
          <w:p>
            <w:pPr>
              <w:ind w:left="20"/>
              <w:spacing w:after="0" w:line="176" w:lineRule="exact"/>
              <w:rPr>
                <w:sz w:val="20"/>
                <w:szCs w:val="20"/>
                <w:color w:val="auto"/>
              </w:rPr>
            </w:pPr>
            <w:r>
              <w:rPr>
                <w:rFonts w:ascii="Arial" w:cs="Arial" w:eastAsia="Arial" w:hAnsi="Arial"/>
                <w:sz w:val="18"/>
                <w:szCs w:val="18"/>
                <w:color w:val="auto"/>
              </w:rPr>
              <w:t>Net cash provided by (used in) financing</w:t>
            </w: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(633.4)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(502.0)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(489.4)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120.2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exchange rate changes on cash and</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cash equivalents of consolidated sponsored</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3860" w:type="dxa"/>
            <w:vAlign w:val="bottom"/>
          </w:tcPr>
          <w:p>
            <w:pPr>
              <w:ind w:left="20"/>
              <w:spacing w:after="0" w:line="156" w:lineRule="exact"/>
              <w:rPr>
                <w:sz w:val="20"/>
                <w:szCs w:val="20"/>
                <w:color w:val="auto"/>
              </w:rPr>
            </w:pPr>
            <w:r>
              <w:rPr>
                <w:rFonts w:ascii="Arial" w:cs="Arial" w:eastAsia="Arial" w:hAnsi="Arial"/>
                <w:sz w:val="18"/>
                <w:szCs w:val="18"/>
                <w:color w:val="auto"/>
              </w:rPr>
              <w:t>Net change in cash and cash equivalents</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351.6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379.1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186.9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during period</w:t>
            </w:r>
          </w:p>
        </w:tc>
        <w:tc>
          <w:tcPr>
            <w:tcW w:w="18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2,712.9</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3,729.8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3,796.4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2,887.5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6"/>
        </w:trPr>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b w:val="1"/>
                <w:bCs w:val="1"/>
                <w:color w:val="FFFFFF"/>
              </w:rPr>
              <w:t>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w w:val="98"/>
              </w:rPr>
              <w:t>Page 33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Operating activities attributable to T. Rowe Price Group during the first quarter of 2026 provided cash flows of $966.3 million, an increase of $194.4 million from $771.9 million provided during the 2025 period. The increase was primarily driven by a $137.8 million increase in cash flows related to timing differences associated with the cash settlement of our assets and liabilities, a $55.6 million increase in the add-back for non-cash items as detailed in the table above, and a $7.7 million increase in net income. These increases were partially offset by a $6.7 million decrease in proceeds received from net redemptions of investments that economically hedge our supplemental savings plan liability compared to the 2025 period. The remaining change in reported cash flows from operating activities was attributable to the net change in trading securities held in our consolidated investment products’ underlying portfolios.</w:t>
      </w: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interim operating cash flows does not include the cash impact of variable compensation that is accrued throughout the year before being substantially paid out in December.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provided by investing activities that were attributable to T. Rowe Price Group totaled $ 18.7 million in 2026 compared with net cash used in investing activities of $95.6 million in 2025. During 2026, we had net proceeds from the sale of investments of $30.9 million compared to $2.1 million during the 2025 period. In 2026, we had net proceeds of $ 49.8 million in other investing activity compared to net investments of $15.7 million in the 2025 period. The 2026 period includes proceeds from the sale of certain buildings in our real estate portfolio. Additionally, our property and equipment expenditures decreased by $20.0 million compared to the 2025 period primarily due to the completion of our corporate headquarters build out in 2025. We eliminate our capital in those investment products we consolidate in preparing our consolidated statements of cash flows. The remaining change in reported cash flows from investing activities of $4.2 million is primarily related to the net cash removed from our unaudited consolidated balance sheet from consolidating and deconsolidating investment products.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Net cash used in financing activities attributable to T. Rowe Price Group totaled $633.4 million in 2026 compared with $489.4 million in the 2025. In 2026, we used $333.5 million to repurchase 3.7 million shares compared to $217.5 million to repurchase 2.1 million shares in the</w:t>
      </w:r>
    </w:p>
    <w:p>
      <w:pPr>
        <w:ind w:right="20"/>
        <w:spacing w:after="0" w:line="254" w:lineRule="auto"/>
        <w:rPr>
          <w:sz w:val="20"/>
          <w:szCs w:val="20"/>
          <w:color w:val="auto"/>
        </w:rPr>
      </w:pPr>
      <w:r>
        <w:rPr>
          <w:rFonts w:ascii="Arial" w:cs="Arial" w:eastAsia="Arial" w:hAnsi="Arial"/>
          <w:sz w:val="18"/>
          <w:szCs w:val="18"/>
          <w:color w:val="auto"/>
        </w:rPr>
        <w:t>2025. Cash flows generated from common stock issued under stock compensation plans decreased by $15.1 million during 2026 compared to 2025. Additionally, the $0.4 million decrease in dividends paid in 2026 was a result of share repurchases over the last year reducing shares outstanding, partially offset by a 2.4% increase in our quarterly dividend per share over prior year. The remaining change in reported cash flows from financing activities was primarily attributable to a $53.4 million increase in net subscriptions from redeemable non-controlling interest holders of our consolidated investment products during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w:t>
      </w:r>
    </w:p>
    <w:p>
      <w:pPr>
        <w:spacing w:after="0" w:line="25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consolidated balance sheets, the revenues and expenses in our unaudited consolidated statements of income, and the information that is contained in our significant accounting policies and notes to the unaudited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2025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1 - Basis of Preparation and Summary of Significant Accounting Policies</w:t>
      </w:r>
      <w:r>
        <w:rPr>
          <w:rFonts w:ascii="Arial" w:cs="Arial" w:eastAsia="Arial" w:hAnsi="Arial"/>
          <w:sz w:val="18"/>
          <w:szCs w:val="18"/>
          <w:color w:val="auto"/>
        </w:rPr>
        <w:t xml:space="preserve"> within Item 1. Financial Statements for a discussion of newly issued but not yet adopted accounting guidance.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effective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2025.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19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ability to attract and retain investors’ assets under our management is dependent on investor sentiment and confidence; the relative investment performance of the T. Rowe Price mutual funds and other managed investment products compared to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w:t>
      </w:r>
    </w:p>
    <w:p>
      <w:pPr>
        <w:spacing w:after="0" w:line="1"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directors of one or more of the T. Rowe Price funds terminated or significantly altered the terms of the investment management or related administrative services agreements. Non-operating investment income will also fluctuate primarily due to the size of our investments,</w:t>
      </w:r>
    </w:p>
    <w:p>
      <w:pPr>
        <w:spacing w:after="0" w:line="1" w:lineRule="exact"/>
        <w:rPr>
          <w:sz w:val="20"/>
          <w:szCs w:val="20"/>
          <w:color w:val="auto"/>
        </w:rPr>
      </w:pPr>
    </w:p>
    <w:p>
      <w:pPr>
        <w:ind w:right="960"/>
        <w:spacing w:after="0" w:line="250" w:lineRule="auto"/>
        <w:rPr>
          <w:sz w:val="20"/>
          <w:szCs w:val="20"/>
          <w:color w:val="auto"/>
        </w:rPr>
      </w:pPr>
      <w:r>
        <w:rPr>
          <w:rFonts w:ascii="Arial" w:cs="Arial" w:eastAsia="Arial" w:hAnsi="Arial"/>
          <w:sz w:val="18"/>
          <w:szCs w:val="18"/>
          <w:color w:val="auto"/>
        </w:rPr>
        <w:t>changes in their market valuations, and any other-than-temporary impairments that may arise or, in the case of our equity method investments, our proportionate share of the investees’ net income.</w:t>
      </w:r>
    </w:p>
    <w:p>
      <w:pPr>
        <w:spacing w:after="0" w:line="1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products recordkeeping,</w:t>
      </w:r>
    </w:p>
    <w:p>
      <w:pPr>
        <w:ind w:right="40"/>
        <w:spacing w:after="0" w:line="260" w:lineRule="auto"/>
        <w:rPr>
          <w:sz w:val="20"/>
          <w:szCs w:val="20"/>
          <w:color w:val="auto"/>
        </w:rPr>
      </w:pPr>
      <w:r>
        <w:rPr>
          <w:rFonts w:ascii="Arial" w:cs="Arial" w:eastAsia="Arial" w:hAnsi="Arial"/>
          <w:sz w:val="18"/>
          <w:szCs w:val="18"/>
          <w:color w:val="auto"/>
        </w:rPr>
        <w:t>facilities, communications, power, and the mutual fund transfer agent and accounting systems, as a result of extreme events, cyberattacks or otherwise.</w:t>
      </w:r>
    </w:p>
    <w:p>
      <w:pPr>
        <w:spacing w:after="0" w:line="190"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investment products and investing in general or in particular classes of mutual funds or other investments.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have evaluated the effectiveness of our disclosure controls and procedures as of March 31, 2026. Based on that evaluation, our principal executive and principal financial officers have concluded that our disclosure controls and procedures as of March 31, 2026,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have evaluated any change in our internal control over financial reporting that occurred during the first quarter of 2026, and has concluded that there was no change during the first quarter of 2026 that has materially affected, or is reasonably likely to materially affect, our internal control over financial reporting.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consolidated financial statements in Part 1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2026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39"/>
        </w:trPr>
        <w:tc>
          <w:tcPr>
            <w:tcW w:w="17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58"/>
        </w:trPr>
        <w:tc>
          <w:tcPr>
            <w:tcW w:w="374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shd w:val="clear" w:color="auto" w:fill="CCEEFF"/>
          </w:tcPr>
          <w:p>
            <w:pPr>
              <w:jc w:val="center"/>
              <w:ind w:right="100"/>
              <w:spacing w:after="0" w:line="158" w:lineRule="exact"/>
              <w:rPr>
                <w:sz w:val="20"/>
                <w:szCs w:val="20"/>
                <w:color w:val="auto"/>
              </w:rPr>
            </w:pPr>
            <w:r>
              <w:rPr>
                <w:rFonts w:ascii="Arial" w:cs="Arial" w:eastAsia="Arial" w:hAnsi="Arial"/>
                <w:sz w:val="14"/>
                <w:szCs w:val="14"/>
                <w:b w:val="1"/>
                <w:bCs w:val="1"/>
                <w:color w:val="auto"/>
              </w:rPr>
              <w:t>Total Number of</w:t>
            </w:r>
          </w:p>
        </w:tc>
        <w:tc>
          <w:tcPr>
            <w:tcW w:w="2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320"/>
              <w:spacing w:after="0" w:line="158" w:lineRule="exact"/>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3"/>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January 1</w:t>
            </w:r>
          </w:p>
        </w:tc>
        <w:tc>
          <w:tcPr>
            <w:tcW w:w="1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January 31</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156,696</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104.39</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156,696</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12,045,150</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February 28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1,107,510</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10,937,640</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March 1</w:t>
            </w: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March 31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89.22</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2,430,019</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8,507,621</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3,694,225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3,694,225</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*Amounts presented exclude estimated excise tax</w:t>
      </w:r>
    </w:p>
    <w:p>
      <w:pPr>
        <w:spacing w:after="0" w:line="5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us to pay the exercise price in connection with swap exercises of stock options, and shares withheld to cover the minimum tax withholding obligation associated with the vesting of restricted stock awards. Of the total number of shares purchased during the first quarter of 2026, all were part of a publicly announced program.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rPr>
              <w:t>Maximum Number of Shares</w:t>
            </w:r>
          </w:p>
        </w:tc>
        <w:tc>
          <w:tcPr>
            <w:tcW w:w="2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 Shares</w:t>
            </w:r>
          </w:p>
        </w:tc>
        <w:tc>
          <w:tcPr>
            <w:tcW w:w="0" w:type="dxa"/>
            <w:vAlign w:val="bottom"/>
          </w:tcPr>
          <w:p>
            <w:pPr>
              <w:spacing w:after="0"/>
              <w:rPr>
                <w:sz w:val="1"/>
                <w:szCs w:val="1"/>
                <w:color w:val="auto"/>
              </w:rPr>
            </w:pPr>
          </w:p>
        </w:tc>
      </w:tr>
      <w:tr>
        <w:trPr>
          <w:trHeight w:val="144"/>
        </w:trPr>
        <w:tc>
          <w:tcPr>
            <w:tcW w:w="4540" w:type="dxa"/>
            <w:vAlign w:val="bottom"/>
            <w:gridSpan w:val="2"/>
            <w:vMerge w:val="restart"/>
            <w:shd w:val="clear" w:color="auto" w:fill="CCEEFF"/>
          </w:tcPr>
          <w:p>
            <w:pPr>
              <w:ind w:left="1540"/>
              <w:spacing w:after="0"/>
              <w:rPr>
                <w:sz w:val="20"/>
                <w:szCs w:val="20"/>
                <w:color w:val="auto"/>
              </w:rPr>
            </w:pPr>
            <w:r>
              <w:rPr>
                <w:rFonts w:ascii="Arial" w:cs="Arial" w:eastAsia="Arial" w:hAnsi="Arial"/>
                <w:sz w:val="14"/>
                <w:szCs w:val="14"/>
                <w:b w:val="1"/>
                <w:bCs w:val="1"/>
                <w:color w:val="auto"/>
              </w:rPr>
              <w:t>Authorization Dates</w:t>
            </w:r>
          </w:p>
        </w:tc>
        <w:tc>
          <w:tcPr>
            <w:tcW w:w="2260" w:type="dxa"/>
            <w:vAlign w:val="bottom"/>
            <w:gridSpan w:val="2"/>
            <w:shd w:val="clear" w:color="auto" w:fill="CCEEFF"/>
          </w:tcPr>
          <w:p>
            <w:pPr>
              <w:jc w:val="center"/>
              <w:ind w:right="120"/>
              <w:spacing w:after="0" w:line="145" w:lineRule="exact"/>
              <w:rPr>
                <w:sz w:val="20"/>
                <w:szCs w:val="20"/>
                <w:color w:val="auto"/>
              </w:rPr>
            </w:pPr>
            <w:r>
              <w:rPr>
                <w:rFonts w:ascii="Arial" w:cs="Arial" w:eastAsia="Arial" w:hAnsi="Arial"/>
                <w:sz w:val="14"/>
                <w:szCs w:val="14"/>
                <w:b w:val="1"/>
                <w:bCs w:val="1"/>
                <w:color w:val="auto"/>
              </w:rPr>
              <w:t>that May Yet Be Purchased at</w:t>
            </w:r>
          </w:p>
        </w:tc>
        <w:tc>
          <w:tcPr>
            <w:tcW w:w="2280" w:type="dxa"/>
            <w:vAlign w:val="bottom"/>
            <w:gridSpan w:val="2"/>
            <w:vMerge w:val="continue"/>
            <w:shd w:val="clear" w:color="auto" w:fill="CCEEFF"/>
          </w:tcPr>
          <w:p>
            <w:pPr>
              <w:spacing w:after="0"/>
              <w:rPr>
                <w:sz w:val="12"/>
                <w:szCs w:val="12"/>
                <w:color w:val="auto"/>
              </w:rPr>
            </w:pPr>
          </w:p>
        </w:tc>
        <w:tc>
          <w:tcPr>
            <w:tcW w:w="21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that May Yet Be Purchased at</w:t>
            </w:r>
          </w:p>
        </w:tc>
        <w:tc>
          <w:tcPr>
            <w:tcW w:w="0" w:type="dxa"/>
            <w:vAlign w:val="bottom"/>
          </w:tcPr>
          <w:p>
            <w:pPr>
              <w:spacing w:after="0"/>
              <w:rPr>
                <w:sz w:val="1"/>
                <w:szCs w:val="1"/>
                <w:color w:val="auto"/>
              </w:rPr>
            </w:pPr>
          </w:p>
        </w:tc>
      </w:tr>
      <w:tr>
        <w:trPr>
          <w:trHeight w:val="189"/>
        </w:trPr>
        <w:tc>
          <w:tcPr>
            <w:tcW w:w="4540" w:type="dxa"/>
            <w:vAlign w:val="bottom"/>
            <w:gridSpan w:val="2"/>
            <w:vMerge w:val="continue"/>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1/1/2026</w:t>
            </w:r>
          </w:p>
        </w:tc>
        <w:tc>
          <w:tcPr>
            <w:tcW w:w="100" w:type="dxa"/>
            <w:vAlign w:val="bottom"/>
            <w:shd w:val="clear" w:color="auto" w:fill="CCEEFF"/>
          </w:tcPr>
          <w:p>
            <w:pPr>
              <w:spacing w:after="0"/>
              <w:rPr>
                <w:sz w:val="16"/>
                <w:szCs w:val="16"/>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3/31/2026</w:t>
            </w:r>
          </w:p>
        </w:tc>
        <w:tc>
          <w:tcPr>
            <w:tcW w:w="0" w:type="dxa"/>
            <w:vAlign w:val="bottom"/>
          </w:tcPr>
          <w:p>
            <w:pPr>
              <w:spacing w:after="0"/>
              <w:rPr>
                <w:sz w:val="1"/>
                <w:szCs w:val="1"/>
                <w:color w:val="auto"/>
              </w:rPr>
            </w:pPr>
          </w:p>
        </w:tc>
      </w:tr>
      <w:tr>
        <w:trPr>
          <w:trHeight w:val="232"/>
        </w:trPr>
        <w:tc>
          <w:tcPr>
            <w:tcW w:w="4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December 2024</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12,201,846</w:t>
            </w:r>
          </w:p>
        </w:tc>
        <w:tc>
          <w:tcPr>
            <w:tcW w:w="100" w:type="dxa"/>
            <w:vAlign w:val="bottom"/>
          </w:tcPr>
          <w:p>
            <w:pPr>
              <w:spacing w:after="0"/>
              <w:rPr>
                <w:sz w:val="20"/>
                <w:szCs w:val="20"/>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(3,694,225)</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8,507,621</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filed herewith, except for Exhibit 32 that is furnished herewith.</w:t>
      </w:r>
    </w:p>
    <w:p>
      <w:pPr>
        <w:sectPr>
          <w:pgSz w:w="11900" w:h="16838" w:orient="portrait"/>
          <w:cols w:equalWidth="0" w:num="1">
            <w:col w:w="11200"/>
          </w:cols>
          <w:pgMar w:left="320" w:top="890" w:right="37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620"/>
        <w:spacing w:after="0"/>
        <w:rPr>
          <w:rFonts w:ascii="Arial" w:cs="Arial" w:eastAsia="Arial" w:hAnsi="Arial"/>
          <w:sz w:val="18"/>
          <w:szCs w:val="18"/>
          <w:color w:val="auto"/>
        </w:rPr>
      </w:pPr>
      <w:hyperlink r:id="rId68">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68">
        <w:r>
          <w:rPr>
            <w:rFonts w:ascii="Arial" w:cs="Arial" w:eastAsia="Arial" w:hAnsi="Arial"/>
            <w:sz w:val="18"/>
            <w:szCs w:val="18"/>
            <w:color w:val="auto"/>
          </w:rPr>
          <w:t>reference from Form 10-Q Quarterly Report filed on July 25, 2018.)</w:t>
        </w:r>
      </w:hyperlink>
    </w:p>
    <w:p>
      <w:pPr>
        <w:spacing w:after="0" w:line="59" w:lineRule="exact"/>
        <w:rPr>
          <w:sz w:val="20"/>
          <w:szCs w:val="20"/>
          <w:color w:val="auto"/>
        </w:rPr>
      </w:pPr>
    </w:p>
    <w:p>
      <w:pPr>
        <w:ind w:right="380"/>
        <w:spacing w:after="0"/>
        <w:rPr>
          <w:rFonts w:ascii="Arial" w:cs="Arial" w:eastAsia="Arial" w:hAnsi="Arial"/>
          <w:sz w:val="18"/>
          <w:szCs w:val="18"/>
          <w:color w:val="auto"/>
        </w:rPr>
      </w:pPr>
      <w:hyperlink r:id="rId69">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69">
        <w:r>
          <w:rPr>
            <w:rFonts w:ascii="Arial" w:cs="Arial" w:eastAsia="Arial" w:hAnsi="Arial"/>
            <w:sz w:val="18"/>
            <w:szCs w:val="18"/>
            <w:color w:val="auto"/>
          </w:rPr>
          <w:t>Form 10-K Annual Report filed on February 11, 2021.)</w:t>
        </w:r>
      </w:hyperlink>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consolidated interim financial statements and notes that are included in this Form 10-Q Report.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55" w:lineRule="exact"/>
        <w:rPr>
          <w:sz w:val="20"/>
          <w:szCs w:val="20"/>
          <w:color w:val="auto"/>
        </w:rPr>
      </w:pPr>
    </w:p>
    <w:p>
      <w:pPr>
        <w:jc w:val="center"/>
        <w:ind w:right="1360"/>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216535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60" w:space="640"/>
            <w:col w:w="9800"/>
          </w:cols>
          <w:pgMar w:left="320" w:top="890" w:right="379" w:bottom="1440" w:gutter="0" w:footer="0" w:header="0"/>
          <w:type w:val="continuous"/>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30, 2026.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20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120"/>
          </w:cols>
          <w:pgMar w:left="320" w:top="890"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EXHIBIT 15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Re: Registration Statements No. 033-7012, No. 333-59714, No. 333-120882, No. 333-120883, No. 333-142092, No. 333-167317, No. 333-180904, No. 333-199560, No. 333-212705 , No. 333-217483, No. 333-238319, and No. 333-273601.</w:t>
      </w:r>
    </w:p>
    <w:p>
      <w:pPr>
        <w:spacing w:after="0" w:line="18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30, 2026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890" w:right="339" w:bottom="1440" w:gutter="0" w:footer="0" w:header="0"/>
        </w:sectPr>
      </w:pPr>
    </w:p>
    <w:bookmarkStart w:id="40" w:name="page41"/>
    <w:bookmarkEnd w:id="40"/>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2026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1" w:name="page42"/>
    <w:bookmarkEnd w:id="41"/>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2026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2" w:name="page43"/>
    <w:bookmarkEnd w:id="42"/>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2026, of T. Rowe Price Group, Inc., that:</w:t>
      </w:r>
    </w:p>
    <w:p>
      <w:pPr>
        <w:spacing w:after="0" w:line="31" w:lineRule="exact"/>
        <w:rPr>
          <w:sz w:val="20"/>
          <w:szCs w:val="20"/>
          <w:color w:val="auto"/>
        </w:rPr>
      </w:pPr>
    </w:p>
    <w:p>
      <w:pPr>
        <w:ind w:right="620" w:firstLine="8"/>
        <w:spacing w:after="0" w:line="287"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April 30, 2026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8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lvl w:ilvl="1">
      <w:lvlJc w:val="left"/>
      <w:lvlText w:val="%2"/>
      <w:numFmt w:val="upperLetter"/>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5"/>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lvl w:ilvl="1">
      <w:lvlJc w:val="left"/>
      <w:lvlText w:val="%2"/>
      <w:numFmt w:val="upp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68" Type="http://schemas.openxmlformats.org/officeDocument/2006/relationships/hyperlink" Target="https://www.sec.gov/Archives/edgar/data/1113169/000111316918000018/articlesofrestatementfin.htm" TargetMode="External"/><Relationship Id="rId69"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2026-04-30T11:45:04Z</dcterms:created>
  <dcterms:modified xsi:type="dcterms:W3CDTF">2026-04-30T11:45:04Z</dcterms:modified>
</cp:coreProperties>
</file>