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OF THE SECURITIES EXCHANGE ACT OF 1934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31,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p>
      <w:pPr>
        <w:ind w:left="1560"/>
        <w:spacing w:after="0"/>
        <w:tabs>
          <w:tab w:leader="none" w:pos="7040" w:val="left"/>
        </w:tabs>
        <w:rPr>
          <w:sz w:val="20"/>
          <w:szCs w:val="20"/>
          <w:color w:val="auto"/>
        </w:rPr>
      </w:pPr>
      <w:r>
        <w:rPr>
          <w:rFonts w:ascii="Arial" w:cs="Arial" w:eastAsia="Arial" w:hAnsi="Arial"/>
          <w:sz w:val="18"/>
          <w:szCs w:val="18"/>
          <w:color w:val="auto"/>
        </w:rPr>
        <w:t xml:space="preserve">State of incorporation </w:t>
      </w:r>
      <w:r>
        <w:rPr>
          <w:rFonts w:ascii="Arial" w:cs="Arial" w:eastAsia="Arial" w:hAnsi="Arial"/>
          <w:sz w:val="18"/>
          <w:szCs w:val="18"/>
          <w:u w:val="single" w:color="auto"/>
          <w:color w:val="auto"/>
        </w:rPr>
        <w:t>Maryland</w:t>
      </w:r>
      <w:r>
        <w:rPr>
          <w:sz w:val="20"/>
          <w:szCs w:val="20"/>
          <w:color w:val="auto"/>
        </w:rPr>
        <w:tab/>
      </w:r>
      <w:r>
        <w:rPr>
          <w:rFonts w:ascii="Arial" w:cs="Arial" w:eastAsia="Arial" w:hAnsi="Arial"/>
          <w:sz w:val="16"/>
          <w:szCs w:val="16"/>
          <w:color w:val="auto"/>
        </w:rPr>
        <w:t xml:space="preserve">IRS Employer Identification No. </w:t>
      </w:r>
      <w:r>
        <w:rPr>
          <w:rFonts w:ascii="Arial" w:cs="Arial" w:eastAsia="Arial" w:hAnsi="Arial"/>
          <w:sz w:val="16"/>
          <w:szCs w:val="16"/>
          <w:u w:val="single" w:color="auto"/>
          <w:color w:val="auto"/>
        </w:rPr>
        <w:t>52-2264646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100 East Pratt Street, Baltimore, Maryland 21202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(410) 345-2000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Common stock, $.20 par value per share</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92"/>
              </w:rPr>
              <w:t>(Title of class)</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bl>
    <w:p>
      <w:pPr>
        <w:spacing w:after="0" w:line="60" w:lineRule="exact"/>
        <w:rPr>
          <w:sz w:val="20"/>
          <w:szCs w:val="20"/>
          <w:color w:val="auto"/>
        </w:rPr>
      </w:pPr>
    </w:p>
    <w:p>
      <w:pPr>
        <w:ind w:right="190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o No Indicate by check mark if the registrant is not required to file reports pursuant to Section 13 or Section 15(d) of the Act. o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4" w:lineRule="exact"/>
        <w:rPr>
          <w:sz w:val="20"/>
          <w:szCs w:val="20"/>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74" w:lineRule="exact"/>
        <w:rPr>
          <w:sz w:val="20"/>
          <w:szCs w:val="20"/>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pacing w:after="0" w:line="43" w:lineRule="exact"/>
        <w:rPr>
          <w:sz w:val="20"/>
          <w:szCs w:val="20"/>
          <w:color w:val="auto"/>
        </w:rPr>
      </w:pPr>
    </w:p>
    <w:p>
      <w:pPr>
        <w:ind w:right="1500" w:firstLine="1506"/>
        <w:spacing w:after="0" w:line="304"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Smaller reporting company o Indicate by check mark whether the registrant is a shell company (as defined in Rule 12b-2 of the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aggregate market value of the common equity (all voting) held by non-affiliates (excludes current executive officers and directors) at January 31, 2008, computed using $51.89 per share (the close/last price reported on The NASDAQ Stock Market for June 29, 2007, the last business day of the registrant’s most recently completed second fiscal quarter) was </w:t>
      </w:r>
      <w:r>
        <w:rPr>
          <w:rFonts w:ascii="Arial" w:cs="Arial" w:eastAsia="Arial" w:hAnsi="Arial"/>
          <w:sz w:val="18"/>
          <w:szCs w:val="18"/>
          <w:u w:val="single" w:color="auto"/>
          <w:color w:val="auto"/>
        </w:rPr>
        <w:t>$13.1 billion</w:t>
      </w:r>
      <w:r>
        <w:rPr>
          <w:rFonts w:ascii="Arial" w:cs="Arial" w:eastAsia="Arial" w:hAnsi="Arial"/>
          <w:sz w:val="18"/>
          <w:szCs w:val="18"/>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number of shares outstanding of the registrant’s common stock as of the latest practicable date, January 31, 2008, is </w:t>
      </w:r>
      <w:r>
        <w:rPr>
          <w:rFonts w:ascii="Arial" w:cs="Arial" w:eastAsia="Arial" w:hAnsi="Arial"/>
          <w:sz w:val="18"/>
          <w:szCs w:val="18"/>
          <w:u w:val="single" w:color="auto"/>
          <w:color w:val="auto"/>
        </w:rPr>
        <w:t>263,755,542</w:t>
      </w:r>
      <w:r>
        <w:rPr>
          <w:rFonts w:ascii="Arial" w:cs="Arial" w:eastAsia="Arial" w:hAnsi="Arial"/>
          <w:sz w:val="18"/>
          <w:szCs w:val="18"/>
          <w:color w:val="auto"/>
        </w:rPr>
        <w:t>.</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DOCUMENTS INCORPORATED BY REFERENCE: In Part III, the Definitive Proxy Statement for the 2008 Annual Meeting of Stockholders to be filed pursuant to Regulation 14A.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Exhibit index begins on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 Rowe Price Group is a financial services holding company that derives its consolidated revenues and net income primarily from investment advisory services that its subsidiaries provide to individual and institutional investors in the sponsored T. Rowe Price mutual funds and other investment portfolios. Our 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3"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We operate our investment advisory business through our subsidiary companies, primarily T. Rowe Price Associates, T. Rowe Price International, and T. Rowe Price Global Investment Services. The late Thomas Rowe Price, Jr., began our advisory business in 1937, and the common stock of T. Rowe Price Associates was first offered to the public in 1986. The T. Rowe Price Group corporate holding company structure was established in late 2000.</w:t>
      </w:r>
    </w:p>
    <w:p>
      <w:pPr>
        <w:spacing w:after="0" w:line="3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assets under management are accumulated from a diversified client base across four primary distribution channels: third-party financial intermediaries that distribute our managed investment portfolios in the U.S. and other countries; individual U.S. investors on a direct basis; U.S. defined contribution retirement plans; and institutional investors in the U.S. and other countries.</w:t>
      </w:r>
    </w:p>
    <w:p>
      <w:pPr>
        <w:spacing w:after="0" w:line="73"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manage a broad range of U.S. and international stock, bond, blended asset, and money market mutual funds and other investment portfolios that are designed to meet the varied and changing needs and objectives of individual and institutional investors. Mutual fund shareholders can exchange balances among mutual funds as permitted when economic and market conditions and their investment needs change.</w:t>
      </w:r>
    </w:p>
    <w:p>
      <w:pPr>
        <w:spacing w:after="0" w:line="5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From time to time, we introduce new funds and other investment portfolios to complement and expand our investment offerings, respond to competitive developments in the financial marketplace, and meet the changing needs of our investment advisory clients. We will open a new mutual fund if we believe that its objective will be useful for investors over a long period. Conversely, we may also limit new investments into a mutual fund in order to maintain the integrity of the fund’s investment strategy and to protect the interests of its existing shareholders. At present, the following funds are closed to new investors.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Fund</w:t>
            </w:r>
          </w:p>
        </w:tc>
        <w:tc>
          <w:tcPr>
            <w:tcW w:w="580" w:type="dxa"/>
            <w:vAlign w:val="bottom"/>
          </w:tcPr>
          <w:p>
            <w:pPr>
              <w:spacing w:after="0"/>
              <w:rPr>
                <w:sz w:val="14"/>
                <w:szCs w:val="1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Date Closed</w:t>
            </w:r>
          </w:p>
        </w:tc>
      </w:tr>
      <w:tr>
        <w:trPr>
          <w:trHeight w:val="195"/>
        </w:trPr>
        <w:tc>
          <w:tcPr>
            <w:tcW w:w="5420" w:type="dxa"/>
            <w:vAlign w:val="bottom"/>
          </w:tcPr>
          <w:p>
            <w:pPr>
              <w:jc w:val="center"/>
              <w:spacing w:after="0" w:line="195" w:lineRule="exact"/>
              <w:rPr>
                <w:sz w:val="20"/>
                <w:szCs w:val="20"/>
                <w:color w:val="auto"/>
              </w:rPr>
            </w:pPr>
            <w:r>
              <w:rPr>
                <w:rFonts w:ascii="Arial" w:cs="Arial" w:eastAsia="Arial" w:hAnsi="Arial"/>
                <w:sz w:val="18"/>
                <w:szCs w:val="18"/>
                <w:color w:val="auto"/>
                <w:w w:val="90"/>
              </w:rPr>
              <w:t>Small-Cap Value</w:t>
            </w:r>
          </w:p>
        </w:tc>
        <w:tc>
          <w:tcPr>
            <w:tcW w:w="580" w:type="dxa"/>
            <w:vAlign w:val="bottom"/>
          </w:tcPr>
          <w:p>
            <w:pPr>
              <w:spacing w:after="0"/>
              <w:rPr>
                <w:sz w:val="16"/>
                <w:szCs w:val="16"/>
                <w:color w:val="auto"/>
              </w:rPr>
            </w:pPr>
          </w:p>
        </w:tc>
        <w:tc>
          <w:tcPr>
            <w:tcW w:w="5420" w:type="dxa"/>
            <w:vAlign w:val="bottom"/>
          </w:tcPr>
          <w:p>
            <w:pPr>
              <w:jc w:val="center"/>
              <w:spacing w:after="0" w:line="195" w:lineRule="exact"/>
              <w:rPr>
                <w:sz w:val="20"/>
                <w:szCs w:val="20"/>
                <w:color w:val="auto"/>
              </w:rPr>
            </w:pPr>
            <w:r>
              <w:rPr>
                <w:rFonts w:ascii="Arial" w:cs="Arial" w:eastAsia="Arial" w:hAnsi="Arial"/>
                <w:sz w:val="18"/>
                <w:szCs w:val="18"/>
                <w:color w:val="auto"/>
                <w:w w:val="91"/>
              </w:rPr>
              <w:t>May 24, 2002</w:t>
            </w:r>
          </w:p>
        </w:tc>
      </w:tr>
      <w:tr>
        <w:trPr>
          <w:trHeight w:val="216"/>
        </w:trPr>
        <w:tc>
          <w:tcPr>
            <w:tcW w:w="5420" w:type="dxa"/>
            <w:vAlign w:val="bottom"/>
          </w:tcPr>
          <w:p>
            <w:pPr>
              <w:jc w:val="center"/>
              <w:spacing w:after="0"/>
              <w:rPr>
                <w:sz w:val="20"/>
                <w:szCs w:val="20"/>
                <w:color w:val="auto"/>
              </w:rPr>
            </w:pPr>
            <w:r>
              <w:rPr>
                <w:rFonts w:ascii="Arial" w:cs="Arial" w:eastAsia="Arial" w:hAnsi="Arial"/>
                <w:sz w:val="18"/>
                <w:szCs w:val="18"/>
                <w:color w:val="auto"/>
                <w:w w:val="94"/>
              </w:rPr>
              <w:t>Mid-Cap Growth</w:t>
            </w: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9"/>
              </w:rPr>
              <w:t>December 8, 2003</w:t>
            </w:r>
          </w:p>
        </w:tc>
      </w:tr>
      <w:tr>
        <w:trPr>
          <w:trHeight w:val="216"/>
        </w:trPr>
        <w:tc>
          <w:tcPr>
            <w:tcW w:w="5420" w:type="dxa"/>
            <w:vAlign w:val="bottom"/>
          </w:tcPr>
          <w:p>
            <w:pPr>
              <w:jc w:val="center"/>
              <w:spacing w:after="0"/>
              <w:rPr>
                <w:sz w:val="20"/>
                <w:szCs w:val="20"/>
                <w:color w:val="auto"/>
              </w:rPr>
            </w:pPr>
            <w:r>
              <w:rPr>
                <w:rFonts w:ascii="Arial" w:cs="Arial" w:eastAsia="Arial" w:hAnsi="Arial"/>
                <w:sz w:val="18"/>
                <w:szCs w:val="18"/>
                <w:color w:val="auto"/>
                <w:w w:val="94"/>
              </w:rPr>
              <w:t>Institutional Mid-Cap Equity Growth</w:t>
            </w: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9"/>
              </w:rPr>
              <w:t>December 8, 2003</w:t>
            </w:r>
          </w:p>
        </w:tc>
      </w:tr>
      <w:tr>
        <w:trPr>
          <w:trHeight w:val="216"/>
        </w:trPr>
        <w:tc>
          <w:tcPr>
            <w:tcW w:w="5420" w:type="dxa"/>
            <w:vAlign w:val="bottom"/>
          </w:tcPr>
          <w:p>
            <w:pPr>
              <w:jc w:val="center"/>
              <w:spacing w:after="0"/>
              <w:rPr>
                <w:sz w:val="20"/>
                <w:szCs w:val="20"/>
                <w:color w:val="auto"/>
              </w:rPr>
            </w:pPr>
            <w:r>
              <w:rPr>
                <w:rFonts w:ascii="Arial" w:cs="Arial" w:eastAsia="Arial" w:hAnsi="Arial"/>
                <w:sz w:val="18"/>
                <w:szCs w:val="18"/>
                <w:color w:val="auto"/>
                <w:w w:val="90"/>
              </w:rPr>
              <w:t>Small-Cap Stock</w:t>
            </w: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9"/>
              </w:rPr>
              <w:t>February 20, 2004</w:t>
            </w:r>
          </w:p>
        </w:tc>
      </w:tr>
      <w:tr>
        <w:trPr>
          <w:trHeight w:val="216"/>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Institutional Small-Cap Stock</w:t>
            </w: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9"/>
              </w:rPr>
              <w:t>February 20, 2004</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Mid-Cap Value</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9"/>
              </w:rPr>
              <w:t>February 25, 2005</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These funds continue to attract cash inflows from existing fund shareholders and direct rollovers from retirement plans into new IRA accounts that we offer.</w:t>
      </w:r>
    </w:p>
    <w:p>
      <w:pPr>
        <w:spacing w:after="0" w:line="14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Investment objectives for our managed investment portfolios, including the Price funds, accommodate a variety of strategies. Investors select from among the mutual funds based on the distinct objective that is described in each fund’s prospectus. Investment management of other client portfolios includes approaches similar to those employed in the Price funds. Equity investment strategies may emphasize large-cap, mid-cap or small-cap investing; growth, value or core investing; and U.S., global, or international investing. We also offer systematic, tax-efficient, and blended equity investment strategies as well as active, systematic and municipal tax-free management strategies for fixed income investments. Our specialized advisory services include management of stable value investment contracts and a distribution management service for the disposition of equity securities received from third-party venture capital investment pools.</w:t>
      </w:r>
    </w:p>
    <w:p>
      <w:pPr>
        <w:spacing w:after="0" w:line="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employ fundamental and quantitative security analyses in the performance of the investment advisory function. We maintain substantial internal equity and fixed income investment research capabilities. We perform original industry and company research using such sources as inspection of corporate activities, management interviews, company-published financial and other information, financial newspapers and magazines, corporate rating services, and field checks with suppliers and competitors in the same industry and particular business sector. Our research staff operates primarily from offices located in the United States and Great Britain with additional staff resident in Argentina, Hong Kong, Japan, and Singapore. We also use research provided by brokerage firms in a supportive capacity and information received from private economists, political observers, commentators, government experts, and market and security analysts. Our stock selection process for some investment portfolios is based on quantitative analyses using computerized data modeling.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ind w:right="80"/>
        <w:spacing w:after="0" w:line="257" w:lineRule="auto"/>
        <w:rPr>
          <w:sz w:val="20"/>
          <w:szCs w:val="20"/>
          <w:color w:val="auto"/>
        </w:rPr>
      </w:pPr>
      <w:r>
        <w:rPr>
          <w:rFonts w:ascii="Arial" w:cs="Arial" w:eastAsia="Arial" w:hAnsi="Arial"/>
          <w:sz w:val="18"/>
          <w:szCs w:val="18"/>
          <w:color w:val="auto"/>
        </w:rPr>
        <w:t>We also provide certain administrative services as ancillary services to our investment advisory clients. These administrative services are provided by several of our subsidiary companies, and include mutual fund transfer agent, accounting, and shareholder services; participant recordkeeping and transfer agent services for defined contribution retirement plans investing in our sponsored mutual funds; discount brokerage; and trust services. More than 90% of our administrative revenues in 2007 were determined based on the recovery of expenses incurred to provide the related services. Administrative revenues, therefore, do not significantly affect our net income.</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Information concerning our revenues, results of operations, total assets, and investment assets under our management during the past three years is contained in our consolidated financial statements and in note 2 thereto, which are both included in Item 8 of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2007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Total assets under our management increased $65 billion over the course of 2007 and ended the year at an all-time record of $400 billion, including</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$275 billion held in retirement accounts and variable annuity investment portfolios. Our year-end assets under management include $322 billion in equity and blended asset investment portfolios and $78 billion in fixed income investment portfolios. The investment portfolios that we manage consist of $246 billion in the T. Rowe Price mutual funds distributed in the United States and $154 billion in other investment portfolios, including separately managed accounts, sub-advised funds, and other sponsored investment funds offered to investors outside the U.S. and through variable annuity life insurance plans in the U.S. Non-U.S. dollar denominated securities account for about $65 billion of our year-end assets under management.</w:t>
      </w:r>
    </w:p>
    <w:p>
      <w:pPr>
        <w:spacing w:after="0" w:line="7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firm’s investment advisory results relative to our peers remain strong, with at least 72% of the T. Rowe Price funds across their share classes surpassing their comparable Lipper averages on a total return basis for the three-, five-, and 10-year periods ended December 31, 2007, and 61% outperforming for the one-year period. In addition, 71 of the T. Rowe Price stock, bond and blended asset funds across their share classes, which account for more than 72% of our rated funds’ assets under management, ended the year with an overall rating of four or five stars from Morningstar. These four- and five-star-rated investments represent 58.2% of our rated funds and share classes, compared with 32.5% for the overall industry.</w:t>
      </w:r>
    </w:p>
    <w:p>
      <w:pPr>
        <w:spacing w:after="0" w:line="64"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Our strong relative investment performance and brand awareness contributed significantly to investors entrusting a net of nearly $34 billion to our management in 2007. Third-party financial intermediaries, institutional investors around the world, and our target-date Retirement Funds were the most significant sources of these net inflows. Higher market valuations and income added more than $31 billion.</w:t>
      </w:r>
    </w:p>
    <w:p>
      <w:pPr>
        <w:spacing w:after="0" w:line="5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Assets under management in our series of target-date Retirement Funds, which provide fund shareholders with single, diversified portfolios that invest in underlying T. Rowe Price funds and automatically adjust fund asset allocations as investors age, increased 73% or $12.7 billion during 2007 to total $30 billion, or 12% of our mutual fund assets under management, at year end.</w:t>
      </w:r>
    </w:p>
    <w:p>
      <w:pPr>
        <w:spacing w:after="0" w:line="7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Six of the Price funds each had more than $10 billion of net assets at December 31, 2007. These funds — Growth Stock, Equity Income, Mid-Cap Growth, Blue Chip Growth, Capital Appreciation and Equity Index 500 — accounted for 25% of assets under management at the end of the year and 27.5% of 2007 investment advisory revenues.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clients account for 9% of our total assets under management at December 31, 2007, up from 7% at the beginning of the year.</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PRICE FUNDS. We provide investment advisory, distribution and other administrative services to the Price funds under various agreements. Investment advisory services are provided to each fund under individual investment management agreements that grant the fund the right to use the T. Rowe Price name. The boards of the respective funds, including a majority of directors who are not interested persons of the funds or of T. Rowe Price Group (as defined in the Investment Company Act of 1940), must approve the investment management agreements annually. Fund shareholders must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w:t>
      </w:r>
    </w:p>
    <w:p>
      <w:pPr>
        <w:spacing w:after="0" w:line="7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u w:val="single" w:color="auto"/>
          <w:color w:val="auto"/>
        </w:rPr>
        <w:t>Advisory Services</w:t>
      </w:r>
      <w:r>
        <w:rPr>
          <w:rFonts w:ascii="Arial" w:cs="Arial" w:eastAsia="Arial" w:hAnsi="Arial"/>
          <w:sz w:val="16"/>
          <w:szCs w:val="16"/>
          <w:color w:val="auto"/>
        </w:rPr>
        <w:t>. Investment advisory revenues are based upon the net assets managed daily in each fund. Additional revenues are earned for advisory-related administrative services as discussed below. Independent directors and trustees of the Price funds regularly review our fee structures.</w:t>
      </w:r>
    </w:p>
    <w:p>
      <w:pPr>
        <w:spacing w:after="0" w:line="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advisory fee paid by each of the Price funds generally is computed each day by multiplying a fund’s net assets by a specific fee. For the majority of the Price funds, the fee is equal to the sum of an individual fund charge that is set based on the fund’s specific investment objective and a group charge that is set based on the aggregate net assets of those funds. The individual fund charge for each of our four largest funds — Growth Stock, Equity Income, Mid-Cap Growth, and Blue Chip Growth – is a weighted average determined by applying a 15% reduction for net assets in excess of $15 billion to the base individual fund rate. The group charge is a tiered based schedule. The effective group charge when combined net assets exceed $220 billion is calculated based on a weighted-average fee across pricing tiers of almost 30.5 basis points for the first $220 billion of net assets plus 28.5 basis points for net assets in excess of $220 billion.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t>Our 2007 fee rates determined in the above manner varied from a low of 30 basis points for the U.S. Treasury funds to a high of 105 basis points for the Emerging Markets Stock, Emerging Europe &amp; Mediterranean, International Discovery, and Latin America funds. To the extent that the combined net assets of the funds increase, the group charge component of a fund’s advisory fee, and therefore the advisory fee paid by each fund, will decrease. Details of each fund’s fee arrangement are available in its prospectus.</w:t>
      </w:r>
    </w:p>
    <w:p>
      <w:pPr>
        <w:spacing w:after="0" w:line="7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Each of the Price funds has a distinct investment objective that has been developed as part of our strategy to provide a broad, comprehensive selection of investing opportunities. The Investor class of all Price funds can be purchased in the United States on a no-load basis, without a sales commission or 12b-1 fee. No-load mutual fund shares offer investors a low-cost and relatively easy method of directly investing in a variety of stock and bond portfolios.</w:t>
      </w:r>
    </w:p>
    <w:p>
      <w:pPr>
        <w:spacing w:after="0" w:line="3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Certain of the T. Rowe Price mutual funds also offer Advisor and R classes of shares that are distributed to mutual fund shareholders and defined contribution retirement plans, respectively, through third-party financial intermediaries. These share classes incur 12b-1 fees of 25 and 50 basis points, respectively, for distribution, administration, and personal services. Our subsidiary, T. Rowe Price Investment Services, is the principal distributor of the T. Rowe Price mutual funds and enters into agreements with each intermediary. Payment of 12b-1 fees is made by each fund directly to the applicable intermediaries.</w:t>
      </w:r>
    </w:p>
    <w:p>
      <w:pPr>
        <w:spacing w:after="0" w:line="4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accounting for 12b-1 fees, the applicable mutual fund share classes incur the related expense and we recognize the corresponding administrative revenue in our consolidated statement of income. We also recognize, as part of our other operating expenses in the consolidated statement of income, the corresponding payment of these fees from each fund to the third-party financial intermediaries. The revenue that we recognize from the funds and the expense that we recognize for the fees paid to third party intermediaries are equal in amount and, therefore, do not impact our net operating income.</w:t>
      </w:r>
    </w:p>
    <w:p>
      <w:pPr>
        <w:spacing w:after="0" w:line="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Each Price fund typically bears all expenses associated with its operation and the issuance and redemption of its securities. In particular, each fund pays investment advisory fees; shareholder servicing fees and expenses; fund accounting fees and expenses; 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6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Several of the Price funds have different fee arrangements. The Equity Market Index funds and the Summit funds each have single, all-inclusive fees covering all investment management and operating expenses. Each of the funds in the series of Spectrum Funds and in the series of target-date Retirement Funds invest in a broadly diversified portfolio of other Price funds and have no separate investment advisory fee. However, they indirectly bear the expenses of the funds in which they invest. Mutual funds for institutional investors each have separate advisory fee arrangements.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We usually provide that a newly organized fund’s expenses will not exceed a specified percentage of its net assets during an initial operating period.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Generally, during the earlier portion of the period, we will waive advisory fees and absorb other mutual fund expenses in excess of the self-imposed limits.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latter portion of the period, we may recover some or all of the waived fees and absorbed costs.</w:t>
      </w:r>
    </w:p>
    <w:p>
      <w:pPr>
        <w:spacing w:after="0" w:line="10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Except as noted above for 12b-1 fees, we bear all advertising and promotion expenses associated with our distribution of the Price funds. These costs are recognized currently, and include advertising and direct mail communications to potential fund shareholders as well as substantial staff and communications capabilities to respond to investor inquiries. Marketing and promotional efforts are focused in the print media, television, and the Internet. In addition, we direct considerable marketing efforts to defined contribution plans that invest in mutual funds. Advertising and promotion expenditures vary over time based on investor interest, market conditions, new investment offerings, and the development and expansion of new marketing initiatives, including enhancements to our web site.</w:t>
      </w:r>
    </w:p>
    <w:p>
      <w:pPr>
        <w:spacing w:after="0" w:line="8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u w:val="single" w:color="auto"/>
          <w:color w:val="auto"/>
        </w:rPr>
        <w:t>Administrative Services.</w:t>
      </w:r>
      <w:r>
        <w:rPr>
          <w:rFonts w:ascii="Arial" w:cs="Arial" w:eastAsia="Arial" w:hAnsi="Arial"/>
          <w:sz w:val="17"/>
          <w:szCs w:val="17"/>
          <w:color w:val="auto"/>
        </w:rPr>
        <w:t xml:space="preserve"> We provide advisory-related administrative services to the Price funds through our subsidiaries. T. Rowe Price Services provides mutual fund transfer agency and shareholder services, including maintenance of staff, facilities, and technology and other equipment to respond to inquiries from fund shareholders. T. Rowe Price Associates provides mutual fund accounting services, including maintenance of financial records, preparation of financial statements and reports, daily valuation of portfolio securities and computation of daily net asset values per share. T. Rowe Price Retirement Plan Services provides participant accounting, plan administration and transfer agent services for defined contribution retirement plans that invest in the Price funds. Plan sponsors and participants compensate us for some services while the Price funds compensate us for maintaining and administering the individual participant accounts for those plans that invest in the funds.</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trustee services are provided by another subsidiary, T. Rowe Price Trust Company. Through this Maryland-chartered limited-service trust company, we offer common trust funds for investment by qualified retirement plans and serve as trustee for retirement plans and IRAs. T. Rowe Price Trust Company may not accept deposits and cannot make personal or commercial loans. Another subsidiary, T. Rowe Price Savings Bank, issues federally insured certificates of deposit.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18"/>
          <w:szCs w:val="18"/>
          <w:color w:val="auto"/>
        </w:rPr>
        <w:t>We also provide advisory planning services to fund shareholders and potential investors through our subsidiary T. Rowe Price Advisory Services. These services are limited in scope and include retirement planning services, such as saving for retirement, transitioning into retirement, and income in retirement. An investment portfolio evaluation service is an integral part of these services. An ongoing checkup service is also available to assist an investor in remaining on track to achieve their financial goals.</w:t>
      </w:r>
    </w:p>
    <w:p>
      <w:pPr>
        <w:spacing w:after="0" w:line="79"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u w:val="single" w:color="auto"/>
          <w:color w:val="auto"/>
        </w:rPr>
        <w:t>Fund Assets.</w:t>
      </w:r>
      <w:r>
        <w:rPr>
          <w:rFonts w:ascii="Arial" w:cs="Arial" w:eastAsia="Arial" w:hAnsi="Arial"/>
          <w:sz w:val="16"/>
          <w:szCs w:val="16"/>
          <w:color w:val="auto"/>
        </w:rPr>
        <w:t xml:space="preserve"> At December 31, 2007, assets under our management in the Price funds aggregated $246 billion, an increase of 19% or $39.5 billion from the beginning of the year. The following table presents the net assets (in billions) of our largest funds (net assets in excess of $.5 billion) and the year each fund was started. The Spectrum and Retirement series of funds are not listed in the table because their assets are included in the underlying funds.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Stock funds:</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Growth Stock (1950)</w:t>
            </w:r>
          </w:p>
        </w:tc>
        <w:tc>
          <w:tcPr>
            <w:tcW w:w="4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Horizons (1960)</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New Era (1969)</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Stock (1980)</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Growth &amp; Income (1982)</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Income (1985)</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New America Growth (1985)</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Appreciation (1986)</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Science &amp; Technology (1987)</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Discovery (1988)</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Small-Cap Value (1988)</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Index 500 (1990)</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European Stock (1990)</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Asia (1990)</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Balanced (1991)</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Japan (1991)</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Dividend Growth (1992)</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Mid-Cap Growth (1992)</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Small-Cap Stock (1992)</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Blue Chip Growth (1993)</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Latin America (1993)</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Media &amp; Telecommunications (1993)</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Personal Strategy Balanced (1994)</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Personal Strategy Growth (1994)</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Personal Strategy Income (1994)</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Value (1994)</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Emerging Markets Stock (1995)</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Global Stock (1995)</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Health Sciences (1995)</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Institutional Mid-Cap Equity Growth (1996)</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Mid-Cap Value (1996)</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(1997)</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International Growth &amp; Income (1998)</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Equity Market Index (1998)</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Emerging Europe &amp; Mediterranean (2000)</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Institutional Small-Cap Stock (2000)</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International Equity Index (2000)</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Institutional Large-Cap Growth (2001)</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Overseas Stock (2006)</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funds</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23"/>
        </w:trPr>
        <w:tc>
          <w:tcPr>
            <w:tcW w:w="45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9"/>
                <w:szCs w:val="19"/>
                <w:color w:val="auto"/>
              </w:rPr>
            </w:pPr>
          </w:p>
        </w:tc>
      </w:tr>
      <w:tr>
        <w:trPr>
          <w:trHeight w:val="412"/>
        </w:trPr>
        <w:tc>
          <w:tcPr>
            <w:tcW w:w="4500" w:type="dxa"/>
            <w:vAlign w:val="bottom"/>
          </w:tcPr>
          <w:p>
            <w:pPr>
              <w:spacing w:after="0"/>
              <w:rPr>
                <w:sz w:val="24"/>
                <w:szCs w:val="24"/>
                <w:color w:val="auto"/>
              </w:rPr>
            </w:pPr>
          </w:p>
        </w:tc>
        <w:tc>
          <w:tcPr>
            <w:tcW w:w="4780" w:type="dxa"/>
            <w:vAlign w:val="bottom"/>
          </w:tcPr>
          <w:p>
            <w:pPr>
              <w:jc w:val="right"/>
              <w:ind w:right="3330"/>
              <w:spacing w:after="0"/>
              <w:rPr>
                <w:sz w:val="20"/>
                <w:szCs w:val="20"/>
                <w:color w:val="auto"/>
              </w:rPr>
            </w:pPr>
            <w:r>
              <w:rPr>
                <w:rFonts w:ascii="Arial" w:cs="Arial" w:eastAsia="Arial" w:hAnsi="Arial"/>
                <w:sz w:val="18"/>
                <w:szCs w:val="18"/>
                <w:color w:val="auto"/>
              </w:rPr>
              <w:t>- 5 -</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50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 and money market funds: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New Income (1973)</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Prime Reserve (1976)</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Tax-Free Income (1976)</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Tax-Exempt Money (1981)</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U.S. Treasury Money (1982)</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Tax-Free Short-Intermediate (1983)</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High Yield (1984)</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Short-Term Bond (1984)</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GNMA (1985)</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Tax-Free High Yield (1985)</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International Bond (1986)</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Maryland Tax-Free Bond (1987)</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U.S. Treasury Long-Term (1989)</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Virginia Tax-Free Bond (1991)</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Summit Cash Reserves (1993)</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Summit Municipal Intermediate (1993)</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Emerging Markets Bond (1994)</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Institutional High Yield (2002)</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Short-Term Income (2006)</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funds</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9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246.0</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We invest in many of the T. Rowe Price funds through our operating subsidiaries and our investments holding company subsidiary, TRP Finance.</w:t>
      </w:r>
    </w:p>
    <w:p>
      <w:pPr>
        <w:spacing w:after="0" w:line="12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OTHER INVESTMENT PORTFOLIOS. We managed $154 billion at December 31, 2007, in other client investment portfolios, up almost $26 billion from the beginning of the year. We provide investment advisory services to these clients through our subsidiaries on a separately managed or sub-advised account basis and through sponsored investment portfolios, such as common trust funds, Luxembourg-based mutual funds, and variable annuity life insurance plans. At December 31, these portfolios included the following investment assets: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U.S. stocks</w:t>
            </w:r>
          </w:p>
        </w:tc>
        <w:tc>
          <w:tcPr>
            <w:tcW w:w="3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International stocks</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18.1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Stable value assets</w:t>
            </w:r>
          </w:p>
        </w:tc>
        <w:tc>
          <w:tcPr>
            <w:tcW w:w="3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Other bonds and money market securities</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7"/>
        </w:trPr>
        <w:tc>
          <w:tcPr>
            <w:tcW w:w="6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4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r>
      <w:tr>
        <w:trPr>
          <w:trHeight w:val="20"/>
        </w:trPr>
        <w:tc>
          <w:tcPr>
            <w:tcW w:w="6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fees for managing these investment portfolios are computed using the value of assets under our management. In 2007, nearly 55% of these advisory fees were recognized based on daily valuations. The balance of these managed investment portfolios are generally billed quarterly. End of billing period valuations generated about 40% of the 2007 advisory fees from other managed portfolios while beginning of billing period values were the basis for about 5% of these fees.</w:t>
      </w:r>
    </w:p>
    <w:p>
      <w:pPr>
        <w:spacing w:after="0" w:line="7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charge fees for investment management based on, among other things, the specific investment services to be provided. Our standard form of investment advisory agreement for client accounts provides that the agreement may be terminated at any time and that any unearned fees paid in advance will be refunded.</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largest client account relationship, excluding the T. Rowe Price funds, is with a third-party financial intermediary that accounted for more than 3% of our investment advisory revenues in 2007.</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REGULATION. T. Rowe Price Associates, T. Rowe Price International, T. Rowe Price Global Investment Services, T. Rowe Price Global Asset Management, T. Rowe Price (Canada), and T. Rowe Price Advisory Services are registered with the SEC as investment advisers under the Investment Advisers Act of 1940. T. Rowe Price Global Investment Services, T. Rowe Price Global Asset Management, and T. Rowe Price International are regulated by the Financial Services Authority (FSA) in Great Britain and, in certain cases, by other foreign regulators. Our transfer agent services subsidiaries are registered under the Securities Exchange Act of 1934, and our trust company is regulated by the State of Maryland, Commissioner of Financial Regulation. T. Rowe Price Savings Bank is regulated by the Office of Thrift Supervision, U.S. Department of the Treasury. T. Rowe Price (Canada) is also registered with several of the provincial securities commissions in Canada.</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 Rowe Price Investment Services is a registered broker-dealer and member of the National Association of Securities Dealers and the Securities Investor Protection Corporation. We provide discount brokerage services through this subsidiary primarily to complement the other services provided to shareholders of the Price funds. Pershing, a third-party clearing broker and affiliate of the Bank of New York, maintains all our discount brokerage’s customer accounts and clears all their transactions.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7" w:name="page8"/>
    <w:bookmarkEnd w:id="7"/>
    <w:p>
      <w:pPr>
        <w:ind w:right="100"/>
        <w:spacing w:after="0" w:line="276" w:lineRule="auto"/>
        <w:rPr>
          <w:sz w:val="20"/>
          <w:szCs w:val="20"/>
          <w:color w:val="auto"/>
        </w:rPr>
      </w:pPr>
      <w:r>
        <w:rPr>
          <w:rFonts w:ascii="Arial" w:cs="Arial" w:eastAsia="Arial" w:hAnsi="Arial"/>
          <w:sz w:val="17"/>
          <w:szCs w:val="17"/>
          <w:color w:val="auto"/>
        </w:rPr>
        <w:t>All aspects of our business are subject to extensive federal and state laws and regulations. These laws and regulations are primarily intended to benefit or protect our clients and the Price funds’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foreign regulatory agencies. Our subsidiaries’ net capital, as defined, meets or exceeds all minimum requirements.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COMPETITION. 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and other financial institutions in all aspects of our business and in every country in which we offer our advisory services. Many of these financial institutions have substantially greater resources than we do. We compete with other providers of investment advisory services primarily based on the availability and objectives of the investment portfolios offered, investment performance, and the scope and quality of investment advice and other client services.</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that competition within the investment management industry will increase as a result of consolidation and acquisition activity. In order to maintain and enhance our competitive position, we may review acquisition and venture opportunities and, if appropriate, engage in discussions or negotiations that could lead to acquisitions or new financial relationships.</w:t>
      </w:r>
    </w:p>
    <w:p>
      <w:pPr>
        <w:spacing w:after="0" w:line="73" w:lineRule="exact"/>
        <w:rPr>
          <w:sz w:val="20"/>
          <w:szCs w:val="20"/>
          <w:color w:val="auto"/>
        </w:rPr>
      </w:pPr>
    </w:p>
    <w:p>
      <w:pPr>
        <w:jc w:val="both"/>
        <w:ind w:right="440"/>
        <w:spacing w:after="0" w:line="342" w:lineRule="auto"/>
        <w:rPr>
          <w:sz w:val="20"/>
          <w:szCs w:val="20"/>
          <w:color w:val="auto"/>
        </w:rPr>
      </w:pPr>
      <w:r>
        <w:rPr>
          <w:rFonts w:ascii="Arial" w:cs="Arial" w:eastAsia="Arial" w:hAnsi="Arial"/>
          <w:sz w:val="16"/>
          <w:szCs w:val="16"/>
          <w:color w:val="auto"/>
        </w:rPr>
        <w:t>EMPLOYEES. At December 31, 2007, we employed 5,081 associates, up 10.3% from the end of 2006. We may add additional temporary and part-time personnel to our staff from time to time to meet periodic and special project demands, primarily for technology and mutual fund administrative services.</w:t>
      </w:r>
    </w:p>
    <w:p>
      <w:pPr>
        <w:spacing w:after="0" w:line="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SEC FILINGS. We make available free of charge through our Internet web site our annual report on Form 10-K, quarterly reports on Form 10-Q, current reports on Form 8-K, and any amendments to those reports filed or furnished pursuant to Section 13(a) of the Exchange Act as soon as reasonably practicable after we electronically file such material with, or furnish it to, the Securities and Exchange Commission. To obtain any of this information, access our Internet home page at </w:t>
      </w:r>
      <w:r>
        <w:rPr>
          <w:rFonts w:ascii="Arial" w:cs="Arial" w:eastAsia="Arial" w:hAnsi="Arial"/>
          <w:sz w:val="17"/>
          <w:szCs w:val="17"/>
          <w:u w:val="single" w:color="auto"/>
          <w:color w:val="auto"/>
        </w:rPr>
        <w:t>www.troweprice.com</w:t>
      </w:r>
      <w:r>
        <w:rPr>
          <w:rFonts w:ascii="Arial" w:cs="Arial" w:eastAsia="Arial" w:hAnsi="Arial"/>
          <w:sz w:val="17"/>
          <w:szCs w:val="17"/>
          <w:color w:val="auto"/>
        </w:rPr>
        <w:t>; select: Company Info or Company Info &amp; Press; and then select: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An investment in our common stock involves various risks, including those mentioned below and those that are discussed from time-to-time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All of these risks could have a material adverse effect on our financial condition, results of operations, and value of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RISKS RELATING TO OUR BUSINESS AND THE FINANCIAL SERVICES INDUSTRY</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Our revenues are based on the market value and composition of the assets under our management, all of which are subject to fluctuation caused by factors outside of our control.</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derive our revenues primarily from investment advisory services provided by our subsidiaries to individual and institutional investors in the T. Rowe Price mutual funds and other investment portfolios. Our investment advisory fees typically are calculated as a percentage of the market value of the assets under our management. We generally earn higher fees on assets invested in our equity funds and equity investment portfolios than we earn on assets invested in our fixed income funds and portfolios. Among equity investments, there is a significant variation in fees earned from index-based investments at the low end and emerging markets funds and portfolios at the high end. Fees also vary across the fixed income funds and portfolios, though not as widely as equity investments, with money market securities at the low end and non-U.S. dollar denominated bonds at the high end. As a result, our revenues are dependent on the value and composition of the assets under our management, all of which are subject to substantial fluctuation due to many factors, including: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•Investor Mobility. Our investors generally may withdraw their funds at any time, on very short notice and without any significant penalty.</w:t>
      </w:r>
    </w:p>
    <w:p>
      <w:pPr>
        <w:spacing w:after="0" w:line="11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•General Market Declines. A general downturn in stock or bond prices would cause the value of assets under our management to decrease, and may also cause investors to withdraw their investments, thereby further decreasing the level of assets under our management.</w:t>
      </w:r>
    </w:p>
    <w:p>
      <w:pPr>
        <w:spacing w:after="0" w:line="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•Investment Performance. If the investment performance of our managed portfolios is less than that of our competitors or applicable third-party benchmarks, we could lose existing and potential customers and suffer a decrease in assets under management. Institutional investors in particular consider changing investment advisers based upon poor relative investment performance. Individual investors in contrast are more likely to react to poor absolute investment performance.</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•Global Economies. National and international political and economic events may cause financial market declines that lower the value of assets under our management, and may cause investors to withdraw funds.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right="140"/>
        <w:spacing w:after="0" w:line="277" w:lineRule="auto"/>
        <w:rPr>
          <w:sz w:val="20"/>
          <w:szCs w:val="20"/>
          <w:color w:val="auto"/>
        </w:rPr>
      </w:pPr>
      <w:r>
        <w:rPr>
          <w:rFonts w:ascii="Arial" w:cs="Arial" w:eastAsia="Arial" w:hAnsi="Arial"/>
          <w:sz w:val="18"/>
          <w:szCs w:val="18"/>
          <w:color w:val="auto"/>
        </w:rPr>
        <w:t>•Investing Trends. Changes in investing trends and, in particular, retirement savings trends may reduce interest in our funds and portfolios and may alter our mix of assets.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Changes. Investor interest in and the valuation of our fixed income investment funds and portfolios are affected by changes in interest rates.</w:t>
      </w:r>
    </w:p>
    <w:p>
      <w:pPr>
        <w:spacing w:after="0" w:line="140"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•Tax Regulation Changes. Changes in the status of tax deferred retirement plan investments and tax-free municipal bonds, the capital gains and corporate dividend tax rates, and other individual and corporate tax rates and regulations could adversely affect investor behavior and may cause investors to view certain investment offerings less favorably and withdraw their investment assets, thereby decreasing the level of assets under our management.</w:t>
      </w:r>
    </w:p>
    <w:p>
      <w:pPr>
        <w:spacing w:after="0" w:line="3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 decrease in the value of assets under our management, or an adverse change in their composition, could have a material adverse effect on our investment advisory fees and revenues. For any period in which revenues decline, net income and operating margins will likely decline by a greater proportion because certain expenses will be fixed over that finite period.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 significant majority of our revenues are based on contracts with the Price funds that are subject to termination without cause and on short notice.</w:t>
      </w:r>
    </w:p>
    <w:p>
      <w:pPr>
        <w:spacing w:after="0" w:line="1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provide investment advisory, distribution and other administrative services to the Price funds under various agreements. Investment advisory services are provided to each Price fund under individual investment management agreements. The board of each Price fund must annually approve the terms of the investment management and service agreements and can terminate the agreement upon 60-day notice. If a Price fund seeks to lower the fees that we receive or terminate its contract with us, we would experience a decline in fees earned from the Price funds, which could have a material adverse effect on our revenues and net income.</w:t>
      </w:r>
    </w:p>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We operate in an intensely competitive industry, which could cause a loss of customers and their assets, thereby reducing our assets under management and our revenues and net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competition in all aspects of our business from: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firms,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•mutual fund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•commercial banks and thrift institutions,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•insurance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•hedge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•exchange traded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•brokerage and investment banking firms,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institutions including multinational firms and subsidiaries of diversified conglomerates.</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Many of these financial institutions have substantially greater resources than we do and may offer a broader range of financial products across more markets. Some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portfolios offered, investment performance, and the scope and quality of investment advice and other client services. Some institutions have proprietary products and distribution channels that make it more difficult for us to compete with them. We believe that competition within the investment management industry will increase as a result of consolidation and acquisition activity and because new competitors face few barriers to entry. Most of our investment portfolios are available without sales or redemption fees, which means that investors may be more willing to transfer assets to competing funds.</w:t>
      </w:r>
    </w:p>
    <w:p>
      <w:pPr>
        <w:spacing w:after="0" w:line="5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current or potential customers decide to use one of our competitors, we could face a significant decline in market share, assets under management, revenues, and net income. If we are required to lower our fees in order to remain competitive, our net income could be significantly reduced because some of our expenses are fixed, especially over shorter periods of time, and others may not decrease in proportion to the decrease in revenues.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success depends on our key personnel and our financial performance could be negatively affected by the loss of their services.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on our highly skilled personnel, including our portfolio and fund managers, investment analysts, management and client relationship personnel, and corporate officers, many of whom have specialized expertise and extensive experience in our industry. Financial services professionals are in high demand, and we face significant competition for qualified employees. Our key employees do not have employment contracts, and generally can terminate their employment with us at any time. We cannot assure that we will be able to retain or replace key personnel. In order to retain or replace our key personnel, we may be required to increase compensation, which would decrease net income. The loss of key personnel could damage our reputation and make it more difficult to retain and attract new employees and investors. Losses of assets from our client investors would decrease our revenues and net income, possibly materially.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right="400"/>
        <w:spacing w:after="0" w:line="277" w:lineRule="auto"/>
        <w:rPr>
          <w:sz w:val="20"/>
          <w:szCs w:val="20"/>
          <w:color w:val="auto"/>
        </w:rPr>
      </w:pPr>
      <w:r>
        <w:rPr>
          <w:rFonts w:ascii="Arial" w:cs="Arial" w:eastAsia="Arial" w:hAnsi="Arial"/>
          <w:sz w:val="18"/>
          <w:szCs w:val="18"/>
          <w:u w:val="single" w:color="auto"/>
          <w:color w:val="auto"/>
        </w:rPr>
        <w:t>Certain of the Price funds and other investment portfolios are vulnerable to market-specific risks that could adversely affect investment performance, our reputation and our revenues.</w:t>
      </w:r>
    </w:p>
    <w:p>
      <w:pPr>
        <w:spacing w:after="0" w:line="62"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Several of the Price funds and investment portfolios (for example, emerging market investments) are subject to political and economic instability, wide exchange-rate fluctuations, illiquid and highly volatile markets, and other risks that could materially decrease the investment returns available in foreign markets. A significant decrease in the investment return or net asset value of any Price fund or investment portfolio could harm our reputation and cause a decrease in assets under management, including client asset withdrawals. The result could be a material decline in our revenues and net income.</w:t>
      </w:r>
    </w:p>
    <w:p>
      <w:pPr>
        <w:spacing w:after="0" w:line="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Our operations are complex and a failure to perform operational tasks or the misrepresentation of products and services could have an adverse affect on our reputation and subject us to regulatory sanctions, fines, penalties, and litigation.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Operating risks include:</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•failure to properly perform fund or portfolio recordkeeping responsibilities, including portfolio accounting, security pricing, corporate actions, investment restrictions compliance, daily net asset value computations, account reconciliations, and required distributions to fund shareholders to comply with tax regulations;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•failure to properly perform transfer agent and participant recordkeeping responsibilities, including transaction processing, tax reporting and record retention; and failure to identify excessive trading in mutual funds by our customers or plan participants;</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and marketing risks, including the intentional or unintentional misrepresentation of products and services in advertising materials, public relations information, or other external communications, and failure to properly calculate and present investment performance data accurately and in accordance with established guidelines and regulations.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Any damage to our reputation could harm our business and lead to a loss of revenues and net income.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spent many years developing our reputation for integrity, strong investment performance, and superior client services. Our brand is a valuable intangible asset, but it is vulnerable to a variety of threats that can be difficult or impossible to control, and costly or even impossible to remediate. Regulatory inquiries and rumors can tarnish or substantially damage our reputation, even if they are satisfactorily addressed. Any damage to our brand could impede our ability to attract and retain customers and key personnel, and reduce the amount of assets under our management, any of which could have a material adverse effect on our revenues and net income.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expenses are subject to significant fluctuations that could materially decrease net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•changes in the level of our advertising expenses, including the costs of expanding investment advisory services to investors outside of the United States and further penetrating U.S. distribution channels,</w:t>
      </w:r>
    </w:p>
    <w:p>
      <w:pPr>
        <w:spacing w:after="0" w:line="62"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•variations in the level of total compensation expense due to, among other things, bonuses, stock option grants and other stock-based awards, changes in employee benefit costs due to regulatory or plan design changes, changes in our employee count and mix, and competitive factors,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 future impairment of goodwill that is recognized in our 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•material fluctuation in foreign currency exchange rates applicable to the costs of our operations abroad,</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•expenses and capital costs incurred to enhance our administrative and operating services infrastructure, such as technology assets, depreciation, amortization, and research and development,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•unanticipated costs incurred to protect investor accounts and client goodwill,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•disruptions of third-party services such as communications, power, and mutual fund transfer agent and accounting systems.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our agreements with our mutual funds, we charge our mutual funds certain administrative fees and related expenses based upon contracted terms. If we fail to accurately estimate our underlying expense levels or otherwise are required to incur expenses relating to the mutual funds that are not otherwise paid by the funds, our operating results will be adversely affected.</w:t>
      </w:r>
    </w:p>
    <w:p>
      <w:pPr>
        <w:spacing w:after="0" w:line="7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u w:val="single" w:color="auto"/>
          <w:color w:val="auto"/>
        </w:rPr>
        <w:t>We have contracted with third-party financial intermediaries that distribute our investment portfolios, and such relationships may not be available or profitable to us in the future.</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More than 30% of our assets under management are sourced from our largest distribution channel, third-party financial intermediaries that distribute our managed investment portfolios in the U.S. and abroad. These intermediaries generally offer their clients various investment products in addition to, and in competition with, our investment offerings, and have no contractual obligation to encourage investment in our portfolios. It would be difficult for us to acquire or retain the management of those assets without the assistance of the intermediaries, and we cannot assure that we will be able to maintain an adequate number of successful distribution relationships. In addition, some investors rely on third party financial planners, registered investment advisers, and other consultants or financial professionals to advise them on the choice of investment adviser and investment portfolio. These professionals and consultants can favor a competing investment portfolio as better meeting their particular client’s needs. We cannot assure that our investment offerings will be among their recommended choices in the future. Further, their recommendations can change over time and we could lose their recommendation and their client assets under our management. Mergers, acquisitions, and other ownership or management changes could also adversely impact our relationships with these third party intermediaries. The presence of any of the adverse conditions discussed above would reduce revenues and net income, possibly by material amounts.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Natural disasters and other unpredictable events could adversely affect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Armed conflict, terrorist attacks, power failures, and natural disasters could adversely affect our revenues, expenses and net income 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•decreasing investment valuations in, and returns on, the investment portfolios that we manage,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•causing disruptions in national or global economies that decrease investor confidence and make investment products generally less attractive,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•inflicting losses in human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•interrupting our business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•triggering technology delays or failures,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•requiring substantial capital expenditures and operating expenses to remediate damage, replace our facilities, and restore our operations.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developed various backup systems and contingency plans but we cannot be assured that they will be adequate in all circumstances that could arise or that material interruptions and disruptions will not occur. In addition, we rely to varying degrees on outside vendors for disaster contingency support, and we cannot be assured that these vendors will be able to perform in an adequate and timely manner. If we lose any employees, or if we are unable to respond adequately to such an event in a timely manner, we may be unable to continue our business operations, which could lead to a tarnished reputation and loss of customers that results in a decrease in assets under management, lower revenues and materially reduced net income.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investment income and asset levels may be negatively impacted by fluctuations in our investment portfolio.</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currently have a substantial portion of our assets invested in our stock, bond, and blended asset mutual funds. All of these investments are subject to investment market risk and our income from these investments could be adversely affected by a decline in value. In addition, related investment income has fluctuated significantly over the years depending upon the performance of our corporate investments, including the impact of market conditions and the size of our corporate money market and longer-term mutual fund holdings. Fluctuations in other investment income can be expected to occur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investment performance of our savings bank subsidiary could adversely affect our assets and results of operations.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savings bank subsidiary that accepts time deposits from customers, pays a fixed rate of interest to them, and invests in asset-backed debt securities. Although we generally hold these investments to maturity on a basis which correlates to the maturities of our customer deposits, fluctuations in interest rates could result in other-than-temporary impairments among the fixed income investments and could result in a mismatch between the interest rate return on our investment portfolio and the interest paid on our customer deposits. To the extent that this occurs, our assets and results of operations could be adversely affected.</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We may elect to pursue growth in the United States and abroad through acquisitions or joint ventures, which exposes us to risks inherent in assimilating new operations and in expanding into new jurisdictions.</w:t>
      </w:r>
    </w:p>
    <w:p>
      <w:pPr>
        <w:spacing w:after="0" w:line="62"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In order to maintain and enhance our competitive position, we may review and pursue acquisition and venture opportunities. We cannot assure that we will identify and consummate any such transactions on acceptable terms or have sufficient resources to accomplish such a strategy. In addition, any strategic transaction can involve a number of risks, including additional demands on our staff; unanticipated problems regarding integration of investor account and investment security recordkeeping, operating facilities and technologies, and new employees; adverse effects in the event acquired intangible assets or goodwill become impaired; and the existence of liabilities or contingencies not disclosed to or otherwise known by us prior to closing a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LEGAL AND REGULATORY RISKS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Compliance within a complex regulatory environment imposes significant financial and strategic costs on our business, and non-compliance could result in fines and penalties.</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are subject to extensive regulation by foreign and domestic governments, regulatory agencies such as the SEC in the United States and the FSA in Great Britain, and self-regulatory organizations such as the Financial Industry Regulatory Authority (FINRA). The conduct of our business is in large part dictated by adherence to such regulation, including federal laws such as the Sarbanes-Oxley Act of 2002, the USA Patriot Act of 2001, the Employee Retirement Income Security Act of 1974 (ERISA), regulations relating to the mutual fund industry specifically and securities laws generally, accounting standards, and banking and tax laws. Compliance with these complex regulations and our disclosure and financial reporting obligations requires significant investments of time and money and could limit our ability to enter into new lines of business. Further, the regulations imposed by one jurisdiction may conflict with the regulations imposed by another, and these differences may be difficult or impossible to reconcile.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 w:name="page12"/>
    <w:bookmarkEnd w:id="11"/>
    <w:p>
      <w:pPr>
        <w:ind w:right="80"/>
        <w:spacing w:after="0" w:line="277"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Future changes could require us to modify or curtail our investment offerings and business operations.</w:t>
      </w:r>
    </w:p>
    <w:p>
      <w:pPr>
        <w:spacing w:after="0" w:line="6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 regulatory investigation, and any failure to maintain compliance with applicable laws and regulations, could severely damage our reputation, adversely affect our ability to conduct business, and decrease revenue and net income.</w:t>
      </w:r>
    </w:p>
    <w:p>
      <w:pPr>
        <w:spacing w:after="0" w:line="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Legal and regulatory developments in the mutual fund and investment advisory industry could increase our regulatory burden, cause a loss of mutual fund investors, and reduce our revenues.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Because of trading abuses that were uncovered earlier this decade at several investment management firms, regulators have shown increasing interest in the oversight of the mutual fund and investment advisory industry. Federal agencies have adopted regulations designed to strengthen controls and restore investor confidence in the industry and more rules can be expected in the future that could place greater compliance and administrative burdens on us, which could increase our expenses without increasing revenues. In addition, new regulations could require the Price funds to reduce the level of certain mutual fund fees paid to us or require us to bear additional expenses, which would affect our operating results. Further, adverse results of regulatory investigations of mutual fund and investment advisory firms could tarnish the reputation of mutual funds and investment advisers generally, causing investors to avoid further fund investments or redeem their balances. Redemptions would decrease the assets under our management, which would reduce our advisory revenues and net income.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in the future be involved in legal and regulatory proceedings that may not be covered by insurance.</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From time to time, various claims against us arise in the ordinary course of business, including employment-related claims. There also has been increased incidence of litigation and regulatory investigations in the financial services industry in recent years, including customer claims and class action suits alleging substantial monetary damages.</w:t>
      </w:r>
    </w:p>
    <w:p>
      <w:pPr>
        <w:spacing w:after="0" w:line="7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carry insurance in amounts and under terms that we believe are appropriate. We cannot assure that our insurance will cover all liabilities and losses to which we may be exposed, or that our insurance policies will continue to be available on acceptable terms.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requirements may impede the business operations of our subsidiaries.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subsidiaries are subject to net capital requirements imposed by various federal, state, and foreign authorities. Our subsidiaries’ net capital meets or exceeds all minimum requirements; however, a significant operating loss or extraordinary charge against net capital could adversely affect the ability of our subsidiaries to expand or even maintain their operations if we were unable to make additional investments in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TECHNOLOGY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require specialized technology to operate our business and would be adversely affected if our technology became inoperative or obsolete.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depend on highly specialized and, in many cases, proprietary technology to support our business functions, including, among other functions: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trading,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•customer service,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•accounting and internal financial processes and controls,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•regulatory compliance and reporting.</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of our technology systems are vulnerable to disability or failures due to hacking, viruses, natural disasters, power failures, acts of war or terrorism, and other causes. Some of our software is licensed from and supported by outside vendors upon whom we rely to prevent operating system failure. A suspension or termination of these licenses or the related support, upgrades and maintenance could cause system delays or interruption. If our technology systems were to fail and we were unable to recover in a timely way, we would be unable to fulfill critical business functions, which could lead to a loss of customers and could harm our reputation. Technological breakdown could also interfere with our ability to comply with financial reporting and other regulatory requirements, exposing us to disciplinary action and to liability to our customers.</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countries, and to adopt new or adapt existing technologies to meet client, industry and regulatory demands. We might be required to make significant capital expenditures to maintain competitive technology. If we are unable to upgrade our technology in a timely fashion, we might lose customers and fail to maintain regulatory compliance, which could affect our results of operations and severely damage our reputation.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We could be subject to losses if we fail to properly safeguard sensitive and confidential information.</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part of our normal operations, we maintain and transmit confidential information about our clients as well as proprietary information relating to our business operations. Our systems could be victimized by unauthorized users or corrupted by computer viruses or other malicious software code, or authorized persons could inadvertently or intentionally release confidential or proprietary information. Such disclosure could, among other things: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•seriously damage our reputation,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•allow competitors access to our proprietary business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•subject us to liability for a failure to safeguard client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•result in the termination of contracts by our existing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•subject us to regulatory action,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•require significant capital and operating expenditures to investigate and remediate the breach.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lease on our corporate offices, which include almost 410,000 square feet at 100 East Pratt Street in Baltimore, expires in mid-2017. We are completing tenant improvements and expect to fully occupy this space early in the fourth quarter of 2008. Our London and other foreign offices as well as our customer service call center in Tampa, Florida are also leased.</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operating and servicing facilities include owned properties in suburban campus settings comprising about 700,000 square feet in Owings Mills, Maryland and 294,000 square feet in Colorado Springs. We recently doubled the size of our Colorado Springs facilities by adding a second building that we occupied in mid-December 2007. Acreage that we own on which our campus facilities are located will accommodate additional future development. Our technology center of 122,000 square feet is on a separate parcel of owned land in Owings Mills in proximity to the campus facilities.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presently maintain investor centers for walk-in traffic and investor meetings in leased facilities located in the Baltimore; Boca Raton, Florida; Boston (Wellesley, Massachusetts); Chicago (Oak Brook and Northbrook, Illinois); Los Angeles (Century City, California); New York City/New Jersey (Garden City, New York and Short Hills, New Jersey); San Francisco (Walnut Creek, California); Tampa; and Washington (Washington, D.C. and McLean, Virginia) areas. We also have investor centers in our owned facilities in Colorado Springs and Owings Mills. These investor centers allow us to be available in person to a large number of our investors.</w:t>
      </w:r>
    </w:p>
    <w:p>
      <w:pPr>
        <w:spacing w:after="0" w:line="8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Information concerning our anticipated capital expenditures in 2008 and our future minimum rental payments under noncancelable operating leases at December 31, 2007, is set forth in the capital resources and liquidity and contractual obligations discussions in Item 7 of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September 2003, a purported class action (T.K. Parthasarathy, et al., including Woodbury, v. T. Rowe Price International Funds, Inc., et al.) was filed in the Circuit Court, Third Judicial Circuit, Madison County, Illinois, against T. Rowe Price International and the T. Rowe Price International Funds with respect to the T. Rowe Price International Stock Fund. The basic allegations in the case were that the T. Rowe Price defendants did not make appropriate price adjustments to the foreign securities owned by the T. Rowe Price International Stock Fund prior to calculating the Fund’s daily share prices, thereby allegedly enabling market timing traders to trade the Fund’s shares in such a way as to disadvantage long-term investors. Following years of procedural litigation in State and Federal courts, the case has been remanded to the State Court. In the opinion of management, after consultation with counsel, the likelihood of a resolution of this matter that would have a material adverse effect on our financial position or results of operations is remote.</w:t>
      </w:r>
    </w:p>
    <w:p>
      <w:pPr>
        <w:spacing w:after="0" w:line="5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during the fourth quarter of 2007.</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Executive Officers of the Registrant.</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information includes the names, ages, and positions of our executive officers. There are no arrangements or understandings pursuant to which any person serves as an officer. The first six individuals are members of our management committee.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James A.C. Kennedy (54), Chief Executive Officer and President since 2007. Mr. Kennedy was previously a Vice President from 1981-2006.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Brian C. Rogers (52), Chairman since 2007 and a Vice President since 1985.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Edward C. Bernard (51), Vice Chairman since 2007 and a Vice President since 1989.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Mary J. Miller (52), a Vice President since 1986.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William J. Stromberg (47), a Vice President since 1990.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J.L. Warren (50), a Vice President since 2000.</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Kenneth V. Moreland (51), Chief Financial Officer and a Vice President since 2004. Mr. Moreland was previously Senior Vice President, Treasurer, and Chief Financial Officer of RTKL Associates Inc., an international architectural firm, from 1996-2004.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Joseph P. Croteau (53), Treasurer (Principal Accounting Officer) since 2000 and a Vice President since 1987.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Henry H. Hopkins (65), a Vice President since 1976. Mr. Hopkins will retire in early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Wayne D. O’Melia (55), a Vice President since 1987.</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4" w:name="page15"/>
    <w:bookmarkEnd w:id="14"/>
    <w:p>
      <w:pPr>
        <w:ind w:left="53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common stock ($.20 par value per share) trades on The NASDAQ National Market under the symbol TROW. The high and low trade price information and dividends per share during the past two years were: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333"/>
              <w:spacing w:after="0"/>
              <w:rPr>
                <w:sz w:val="20"/>
                <w:szCs w:val="20"/>
                <w:color w:val="auto"/>
              </w:rPr>
            </w:pPr>
            <w:r>
              <w:rPr>
                <w:rFonts w:ascii="Arial" w:cs="Arial" w:eastAsia="Arial" w:hAnsi="Arial"/>
                <w:sz w:val="14"/>
                <w:szCs w:val="14"/>
                <w:color w:val="auto"/>
              </w:rPr>
              <w:t>1st</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color w:val="auto"/>
              </w:rPr>
              <w:t>2nd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color w:val="auto"/>
              </w:rPr>
              <w:t>3rd</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color w:val="auto"/>
              </w:rPr>
              <w:t>4th</w:t>
            </w:r>
          </w:p>
        </w:tc>
      </w:tr>
      <w:tr>
        <w:trPr>
          <w:trHeight w:val="167"/>
        </w:trPr>
        <w:tc>
          <w:tcPr>
            <w:tcW w:w="58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4"/>
                <w:szCs w:val="14"/>
                <w:color w:val="auto"/>
              </w:rPr>
              <w:t>Quarter</w:t>
            </w:r>
          </w:p>
        </w:tc>
        <w:tc>
          <w:tcPr>
            <w:tcW w:w="50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color w:val="auto"/>
              </w:rPr>
              <w:t>Quarter</w:t>
            </w:r>
          </w:p>
        </w:tc>
        <w:tc>
          <w:tcPr>
            <w:tcW w:w="5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color w:val="auto"/>
              </w:rPr>
              <w:t>Quarter</w:t>
            </w:r>
          </w:p>
        </w:tc>
        <w:tc>
          <w:tcPr>
            <w:tcW w:w="52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color w:val="auto"/>
              </w:rPr>
              <w:t>Quarter</w:t>
            </w: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2006 — High price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4"/>
              </w:rPr>
              <w:t>39.91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43.62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48.11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48.50</w:t>
            </w:r>
          </w:p>
        </w:tc>
      </w:tr>
      <w:tr>
        <w:trPr>
          <w:trHeight w:val="216"/>
        </w:trPr>
        <w:tc>
          <w:tcPr>
            <w:tcW w:w="5800" w:type="dxa"/>
            <w:vAlign w:val="bottom"/>
          </w:tcPr>
          <w:p>
            <w:pPr>
              <w:ind w:left="620"/>
              <w:spacing w:after="0"/>
              <w:rPr>
                <w:sz w:val="20"/>
                <w:szCs w:val="20"/>
                <w:color w:val="auto"/>
              </w:rPr>
            </w:pPr>
            <w:r>
              <w:rPr>
                <w:rFonts w:ascii="Arial" w:cs="Arial" w:eastAsia="Arial" w:hAnsi="Arial"/>
                <w:sz w:val="18"/>
                <w:szCs w:val="18"/>
                <w:color w:val="auto"/>
              </w:rPr>
              <w:t>Low price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35.56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35.45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34.87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42.53</w:t>
            </w:r>
          </w:p>
        </w:tc>
      </w:tr>
      <w:tr>
        <w:trPr>
          <w:trHeight w:val="216"/>
        </w:trPr>
        <w:tc>
          <w:tcPr>
            <w:tcW w:w="5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Cash dividends declared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.17</w:t>
            </w:r>
          </w:p>
        </w:tc>
      </w:tr>
      <w:tr>
        <w:trPr>
          <w:trHeight w:val="432"/>
        </w:trPr>
        <w:tc>
          <w:tcPr>
            <w:tcW w:w="5800" w:type="dxa"/>
            <w:vAlign w:val="bottom"/>
          </w:tcPr>
          <w:p>
            <w:pPr>
              <w:spacing w:after="0"/>
              <w:rPr>
                <w:sz w:val="20"/>
                <w:szCs w:val="20"/>
                <w:color w:val="auto"/>
              </w:rPr>
            </w:pPr>
            <w:r>
              <w:rPr>
                <w:rFonts w:ascii="Arial" w:cs="Arial" w:eastAsia="Arial" w:hAnsi="Arial"/>
                <w:sz w:val="18"/>
                <w:szCs w:val="18"/>
                <w:color w:val="auto"/>
              </w:rPr>
              <w:t>2007 — High price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50.03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55.21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57.45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65.46</w:t>
            </w:r>
          </w:p>
        </w:tc>
      </w:tr>
      <w:tr>
        <w:trPr>
          <w:trHeight w:val="216"/>
        </w:trPr>
        <w:tc>
          <w:tcPr>
            <w:tcW w:w="5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Low price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4"/>
              </w:rPr>
              <w:t>44.59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46.81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45.27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53.54</w:t>
            </w:r>
          </w:p>
        </w:tc>
      </w:tr>
      <w:tr>
        <w:trPr>
          <w:trHeight w:val="230"/>
        </w:trPr>
        <w:tc>
          <w:tcPr>
            <w:tcW w:w="5800" w:type="dxa"/>
            <w:vAlign w:val="bottom"/>
          </w:tcPr>
          <w:p>
            <w:pPr>
              <w:ind w:left="620"/>
              <w:spacing w:after="0"/>
              <w:rPr>
                <w:sz w:val="20"/>
                <w:szCs w:val="20"/>
                <w:color w:val="auto"/>
              </w:rPr>
            </w:pPr>
            <w:r>
              <w:rPr>
                <w:rFonts w:ascii="Arial" w:cs="Arial" w:eastAsia="Arial" w:hAnsi="Arial"/>
                <w:sz w:val="18"/>
                <w:szCs w:val="18"/>
                <w:color w:val="auto"/>
              </w:rPr>
              <w:t>Cash dividends declared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.17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.17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.24</w:t>
            </w:r>
          </w:p>
        </w:tc>
      </w:tr>
    </w:tbl>
    <w:p>
      <w:pPr>
        <w:spacing w:after="0" w:line="7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expect to declare and pay cash dividends at the $.24 per-share quarterly rate in 2008. Our annual dividends per share have increased every year since we became a public company in 1986; however, there can be no assurance that we will continue to pay dividends at increasing rates or at all.</w:t>
      </w:r>
    </w:p>
    <w:p>
      <w:pPr>
        <w:spacing w:after="0" w:line="3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Our common stockholders have approved all of our equity compensation plans. These plans provide for the issuance of up to 62,792,227 shares of our common stock at December 31, 2007, including 41,030,175 shares that may be issued upon the exercise of outstanding stock options at a weighted average price of $31.16, and 140,273 shares that may be issued in conjunction with outstanding stock units. Additionally, 21,621,779 shares remain available for future issuances. Under the terms of the 2004 Stock Incentive Plan, the number of shares provided and available for future issuance will increase as we repurchase common stock in the future from the proceeds of stock option exercises.</w:t>
      </w:r>
    </w:p>
    <w:p>
      <w:pPr>
        <w:spacing w:after="0" w:line="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2007, we repurchased 6,163,401 shares of our common stock pursuant to resolutions of our Board of Directors. Repurchase activity during the fourth quarter of 2007 was conducted under the Board of Directors’ authorization of February 15, 2007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gridSpan w:val="2"/>
          </w:tcPr>
          <w:p>
            <w:pPr>
              <w:jc w:val="center"/>
              <w:ind w:right="580"/>
              <w:spacing w:after="0"/>
              <w:rPr>
                <w:sz w:val="20"/>
                <w:szCs w:val="20"/>
                <w:color w:val="auto"/>
              </w:rPr>
            </w:pPr>
            <w:r>
              <w:rPr>
                <w:rFonts w:ascii="Arial" w:cs="Arial" w:eastAsia="Arial" w:hAnsi="Arial"/>
                <w:sz w:val="14"/>
                <w:szCs w:val="14"/>
                <w:color w:val="auto"/>
                <w:w w:val="95"/>
              </w:rPr>
              <w:t>Total Number of</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Maximum Number of</w:t>
            </w: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w w:val="90"/>
              </w:rPr>
              <w:t>Average Price</w:t>
            </w:r>
          </w:p>
        </w:tc>
        <w:tc>
          <w:tcPr>
            <w:tcW w:w="18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6"/>
              </w:rPr>
              <w:t>Shares Purchased as</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Shares that May Yet</w:t>
            </w: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Total Number of</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1"/>
              </w:rPr>
              <w:t>Paid per</w:t>
            </w:r>
          </w:p>
        </w:tc>
        <w:tc>
          <w:tcPr>
            <w:tcW w:w="182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6"/>
              </w:rPr>
              <w:t>Part of Publicly</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Be Purchased Under</w:t>
            </w:r>
          </w:p>
        </w:tc>
      </w:tr>
      <w:tr>
        <w:trPr>
          <w:trHeight w:val="167"/>
        </w:trPr>
        <w:tc>
          <w:tcPr>
            <w:tcW w:w="4820" w:type="dxa"/>
            <w:vAlign w:val="bottom"/>
            <w:gridSpan w:val="2"/>
          </w:tcPr>
          <w:p>
            <w:pPr>
              <w:spacing w:after="0"/>
              <w:rPr>
                <w:sz w:val="20"/>
                <w:szCs w:val="20"/>
                <w:color w:val="auto"/>
              </w:rPr>
            </w:pPr>
            <w:r>
              <w:rPr>
                <w:rFonts w:ascii="Arial" w:cs="Arial" w:eastAsia="Arial" w:hAnsi="Arial"/>
                <w:sz w:val="14"/>
                <w:szCs w:val="14"/>
                <w:color w:val="auto"/>
              </w:rPr>
              <w:t>Month</w:t>
            </w:r>
          </w:p>
        </w:tc>
        <w:tc>
          <w:tcPr>
            <w:tcW w:w="1740" w:type="dxa"/>
            <w:vAlign w:val="bottom"/>
            <w:gridSpan w:val="3"/>
          </w:tcPr>
          <w:p>
            <w:pPr>
              <w:ind w:left="460"/>
              <w:spacing w:after="0"/>
              <w:rPr>
                <w:sz w:val="20"/>
                <w:szCs w:val="20"/>
                <w:color w:val="auto"/>
              </w:rPr>
            </w:pPr>
            <w:r>
              <w:rPr>
                <w:rFonts w:ascii="Arial" w:cs="Arial" w:eastAsia="Arial" w:hAnsi="Arial"/>
                <w:sz w:val="14"/>
                <w:szCs w:val="14"/>
                <w:color w:val="auto"/>
              </w:rPr>
              <w:t>Shares Purchased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720"/>
              <w:spacing w:after="0"/>
              <w:rPr>
                <w:sz w:val="20"/>
                <w:szCs w:val="20"/>
                <w:color w:val="auto"/>
              </w:rPr>
            </w:pPr>
            <w:r>
              <w:rPr>
                <w:rFonts w:ascii="Arial" w:cs="Arial" w:eastAsia="Arial" w:hAnsi="Arial"/>
                <w:sz w:val="14"/>
                <w:szCs w:val="14"/>
                <w:color w:val="auto"/>
                <w:w w:val="90"/>
              </w:rPr>
              <w:t>Share</w:t>
            </w:r>
          </w:p>
        </w:tc>
        <w:tc>
          <w:tcPr>
            <w:tcW w:w="1820" w:type="dxa"/>
            <w:vAlign w:val="bottom"/>
            <w:gridSpan w:val="2"/>
          </w:tcPr>
          <w:p>
            <w:pPr>
              <w:jc w:val="center"/>
              <w:ind w:right="580"/>
              <w:spacing w:after="0"/>
              <w:rPr>
                <w:sz w:val="20"/>
                <w:szCs w:val="20"/>
                <w:color w:val="auto"/>
              </w:rPr>
            </w:pPr>
            <w:r>
              <w:rPr>
                <w:rFonts w:ascii="Arial" w:cs="Arial" w:eastAsia="Arial" w:hAnsi="Arial"/>
                <w:sz w:val="14"/>
                <w:szCs w:val="14"/>
                <w:color w:val="auto"/>
                <w:w w:val="91"/>
              </w:rPr>
              <w:t>Announced Programs</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the Programs</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w:t>
            </w:r>
          </w:p>
        </w:tc>
        <w:tc>
          <w:tcPr>
            <w:tcW w:w="4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13,720,635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November</w:t>
            </w:r>
          </w:p>
        </w:tc>
        <w:tc>
          <w:tcPr>
            <w:tcW w:w="1740" w:type="dxa"/>
            <w:vAlign w:val="bottom"/>
            <w:gridSpan w:val="3"/>
          </w:tcPr>
          <w:p>
            <w:pPr>
              <w:jc w:val="right"/>
              <w:ind w:right="280"/>
              <w:spacing w:after="0"/>
              <w:rPr>
                <w:sz w:val="20"/>
                <w:szCs w:val="20"/>
                <w:color w:val="auto"/>
              </w:rPr>
            </w:pPr>
            <w:r>
              <w:rPr>
                <w:rFonts w:ascii="Arial" w:cs="Arial" w:eastAsia="Arial" w:hAnsi="Arial"/>
                <w:sz w:val="18"/>
                <w:szCs w:val="18"/>
                <w:color w:val="auto"/>
              </w:rPr>
              <w:t>750,000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58.82</w:t>
            </w:r>
          </w:p>
        </w:tc>
        <w:tc>
          <w:tcPr>
            <w:tcW w:w="1240" w:type="dxa"/>
            <w:vAlign w:val="bottom"/>
          </w:tcPr>
          <w:p>
            <w:pPr>
              <w:jc w:val="right"/>
              <w:spacing w:after="0"/>
              <w:rPr>
                <w:sz w:val="20"/>
                <w:szCs w:val="20"/>
                <w:color w:val="auto"/>
              </w:rPr>
            </w:pPr>
            <w:r>
              <w:rPr>
                <w:rFonts w:ascii="Arial" w:cs="Arial" w:eastAsia="Arial" w:hAnsi="Arial"/>
                <w:sz w:val="18"/>
                <w:szCs w:val="18"/>
                <w:color w:val="auto"/>
              </w:rPr>
              <w:t>750,000</w:t>
            </w:r>
          </w:p>
        </w:tc>
        <w:tc>
          <w:tcPr>
            <w:tcW w:w="5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12,970,635</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w:t>
            </w:r>
          </w:p>
        </w:tc>
        <w:tc>
          <w:tcPr>
            <w:tcW w:w="1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343,168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59.88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343,168</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12,627,467</w:t>
            </w:r>
          </w:p>
        </w:tc>
      </w:tr>
      <w:tr>
        <w:trPr>
          <w:trHeight w:val="223"/>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1,093,168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r>
              <w:rPr>
                <w:rFonts w:ascii="Arial" w:cs="Arial" w:eastAsia="Arial" w:hAnsi="Arial"/>
                <w:sz w:val="18"/>
                <w:szCs w:val="18"/>
                <w:u w:val="single" w:color="auto"/>
                <w:color w:val="auto"/>
              </w:rPr>
              <w:t>15</w:t>
            </w:r>
          </w:p>
        </w:tc>
        <w:tc>
          <w:tcPr>
            <w:tcW w:w="5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1,093,168</w:t>
            </w: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are approximately 120,000 holders of our common stock through about 5,000 direct security account registrations.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2003</w:t>
            </w: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2004</w:t>
            </w:r>
          </w:p>
        </w:tc>
        <w:tc>
          <w:tcPr>
            <w:tcW w:w="1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2005</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2006</w:t>
            </w: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5"/>
          </w:tcPr>
          <w:p>
            <w:pPr>
              <w:spacing w:after="0" w:line="142" w:lineRule="exact"/>
              <w:rPr>
                <w:sz w:val="20"/>
                <w:szCs w:val="20"/>
                <w:color w:val="auto"/>
              </w:rPr>
            </w:pPr>
            <w:r>
              <w:rPr>
                <w:rFonts w:ascii="Arial" w:cs="Arial" w:eastAsia="Arial" w:hAnsi="Arial"/>
                <w:sz w:val="14"/>
                <w:szCs w:val="14"/>
                <w:color w:val="auto"/>
                <w:w w:val="96"/>
              </w:rPr>
              <w:t>(in millions, except per-share data)</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996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1,277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8"/>
              </w:rPr>
              <w:t>1,512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8"/>
              </w:rPr>
              <w:t>1,815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4"/>
              </w:rPr>
              <w:t>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operating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365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525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655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787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530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432"/>
        </w:trPr>
        <w:tc>
          <w:tcPr>
            <w:tcW w:w="47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297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374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540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593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Per-Share information</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Basic earnings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.92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1.32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1.65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2.01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1.90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Cash dividends declared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.485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.59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4"/>
              </w:rPr>
              <w:t>246.8</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254.8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8"/>
              </w:rPr>
              <w:t>260.5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8"/>
              </w:rPr>
              <w:t>263.8</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4"/>
              </w:rPr>
              <w:t>264.8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Weighted average shares outstanding assuming dilution</w:t>
            </w:r>
          </w:p>
        </w:tc>
        <w:tc>
          <w:tcPr>
            <w:tcW w:w="26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256.6</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w w:val="88"/>
              </w:rPr>
              <w:t>268.2</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12"/>
              <w:spacing w:after="0"/>
              <w:rPr>
                <w:sz w:val="20"/>
                <w:szCs w:val="20"/>
                <w:color w:val="auto"/>
              </w:rPr>
            </w:pPr>
            <w:r>
              <w:rPr>
                <w:rFonts w:ascii="Arial" w:cs="Arial" w:eastAsia="Arial" w:hAnsi="Arial"/>
                <w:sz w:val="18"/>
                <w:szCs w:val="18"/>
                <w:color w:val="auto"/>
                <w:w w:val="88"/>
              </w:rPr>
              <w:t>273.2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color w:val="auto"/>
                <w:w w:val="88"/>
              </w:rPr>
              <w:t>278.7</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279.2</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December 31,</w:t>
            </w: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100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2003</w:t>
            </w:r>
          </w:p>
        </w:tc>
        <w:tc>
          <w:tcPr>
            <w:tcW w:w="148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2004</w:t>
            </w:r>
          </w:p>
        </w:tc>
        <w:tc>
          <w:tcPr>
            <w:tcW w:w="1480" w:type="dxa"/>
            <w:vAlign w:val="bottom"/>
            <w:gridSpan w:val="2"/>
          </w:tcPr>
          <w:p>
            <w:pPr>
              <w:jc w:val="right"/>
              <w:ind w:right="268"/>
              <w:spacing w:after="0" w:line="142" w:lineRule="exact"/>
              <w:rPr>
                <w:sz w:val="20"/>
                <w:szCs w:val="20"/>
                <w:color w:val="auto"/>
              </w:rPr>
            </w:pPr>
            <w:r>
              <w:rPr>
                <w:rFonts w:ascii="Arial" w:cs="Arial" w:eastAsia="Arial" w:hAnsi="Arial"/>
                <w:sz w:val="14"/>
                <w:szCs w:val="14"/>
                <w:color w:val="auto"/>
              </w:rPr>
              <w:t>2005</w:t>
            </w:r>
          </w:p>
        </w:tc>
        <w:tc>
          <w:tcPr>
            <w:tcW w:w="150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2006</w:t>
            </w:r>
          </w:p>
        </w:tc>
        <w:tc>
          <w:tcPr>
            <w:tcW w:w="148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2007</w:t>
            </w: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 (in millions)</w:t>
            </w: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$1,547</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$1,929</w:t>
            </w:r>
          </w:p>
        </w:tc>
        <w:tc>
          <w:tcPr>
            <w:tcW w:w="1480" w:type="dxa"/>
            <w:vAlign w:val="bottom"/>
            <w:gridSpan w:val="2"/>
          </w:tcPr>
          <w:p>
            <w:pPr>
              <w:jc w:val="right"/>
              <w:ind w:right="208"/>
              <w:spacing w:after="0"/>
              <w:rPr>
                <w:sz w:val="20"/>
                <w:szCs w:val="20"/>
                <w:color w:val="auto"/>
              </w:rPr>
            </w:pPr>
            <w:r>
              <w:rPr>
                <w:rFonts w:ascii="Arial" w:cs="Arial" w:eastAsia="Arial" w:hAnsi="Arial"/>
                <w:sz w:val="18"/>
                <w:szCs w:val="18"/>
                <w:color w:val="auto"/>
              </w:rPr>
              <w:t>$2,311</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$2,765</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$3,177</w:t>
            </w: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$1,329</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$1,697</w:t>
            </w:r>
          </w:p>
        </w:tc>
        <w:tc>
          <w:tcPr>
            <w:tcW w:w="14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$2,036</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$2,427</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$2,777</w:t>
            </w: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Assets under management (in billions)</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$190.0</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$235.2</w:t>
            </w:r>
          </w:p>
        </w:tc>
        <w:tc>
          <w:tcPr>
            <w:tcW w:w="1480" w:type="dxa"/>
            <w:vAlign w:val="bottom"/>
            <w:gridSpan w:val="2"/>
          </w:tcPr>
          <w:p>
            <w:pPr>
              <w:jc w:val="right"/>
              <w:ind w:right="208"/>
              <w:spacing w:after="0"/>
              <w:rPr>
                <w:sz w:val="20"/>
                <w:szCs w:val="20"/>
                <w:color w:val="auto"/>
              </w:rPr>
            </w:pPr>
            <w:r>
              <w:rPr>
                <w:rFonts w:ascii="Arial" w:cs="Arial" w:eastAsia="Arial" w:hAnsi="Arial"/>
                <w:sz w:val="18"/>
                <w:szCs w:val="18"/>
                <w:color w:val="auto"/>
              </w:rPr>
              <w:t>$269.5</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$334.7</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$400.0</w:t>
            </w:r>
          </w:p>
        </w:tc>
      </w:tr>
      <w:tr>
        <w:trPr>
          <w:trHeight w:val="405"/>
        </w:trPr>
        <w:tc>
          <w:tcPr>
            <w:tcW w:w="4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- 14 -</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44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outside the United States account for 9% of our assets under management at December 31, 2007.</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manage a broad range of U.S. and international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implosion of the subprime mortgage market in 2007 had a major impact on the financial markets. Defaults and delinquencies rose in the early part of the year and, by the summer, major Wall Street firms and commercial banks with exposure to subprime mortgages were reporting substantial losses. Liquidity in the asset-backed commercial paper market evaporated in August because fears of additional losses discouraged banks from lending to each other. In response, the Federal Reserve reduced short-term interest rates by 50 basis points in September, the first reduction since June 2003, and signaled its continuing readiness to inject additional reserves into the U.S. banking system to boost liquidity and dampen the impact of market disruptions on the economy. Two more 25 basis point reductions in the fourth quarter reduced the target rate to 4.25% at year-end 2007.</w:t>
      </w:r>
    </w:p>
    <w:p>
      <w:pPr>
        <w:spacing w:after="0" w:line="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Concerns about generally slower corporate profit growth and rising energy and materials prices also weighed on the stock markets in 2007, and the leveraged buyout market slowed significantly in the second half of the year with several announced deals not closing due to tighter lending conditions.</w:t>
      </w:r>
    </w:p>
    <w:p>
      <w:pPr>
        <w:spacing w:after="0" w:line="3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this environment, U.S. equities produced mixed returns for 2007, with the broad S&amp;P 500 Index of large-cap companies in leading industries of the U.S. economy reaching a new high as late as mid-July. Market volatility, however, was extremely high in the last six months of the year and, in the fourth quarter, the S&amp;P 500 Index suffered its first correction — a drop of 10% or more — in about five years. For the year, the S&amp;P 500 Index returned 5.5%. The NASDAQ Composite Index, which is heavily weighted with technology companies that fared better than many other sectors in 2007, rose 9.8% (excluding dividends).</w:t>
      </w:r>
    </w:p>
    <w:p>
      <w:pPr>
        <w:spacing w:after="0" w:line="8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Stocks outside the United States fared better than their U.S. counterparts in 2007. Emerging markets, led by equities in Latin America, substantially outperformed other foreign stocks. Developed European markets produced solid gains, but Japanese shares declined. The MSCI Emerging Markets Index returned 39.8% during 2007 while the MSCI EAFE Index, which measures the performance of mostly large-cap stocks in Europe, Australasia, and the Far East, returned 11.6% during the year.</w:t>
      </w:r>
    </w:p>
    <w:p>
      <w:pPr>
        <w:spacing w:after="0" w:line="7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yield on 10-year U.S. Treasuries was 4.04% at the end of 2007, down 67 basis points from 4.71% at the end of 2006. With the Federal Reserve rate reductions, U.S. Treasury bonds produced strong returns in 2007, as investors sought a safer haven away from the volatility of the equity and corporate debt markets in these highest quality fixed-income securities. Investment-grade corporate bonds also performed well as prices rose and yields declined.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While 2007 was a reasonable year overall for the global financial markets, equities around the world declined dramatically in the early weeks of</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January 2008. Weaker-than-expected economic data, particularly on U.S. employment and retail spending, and the restraining effect of bank capital write-downs on credit availability combined to raise the downside risk in the near-term economic outlook. This risk may be mitigated to some extent by a forceful further easing of U.S. monetary policy that, over nine days, reduced the federal funds rate by 125 basis points to 3.0% as of January 30, and an expected fiscal stimulus package from the U.S. Congress and President. As always, we caution investors to be patient as the market goes through a period of transition and adjustment, and to have modest market return expectations and an awareness of risk and uncertainty.</w:t>
      </w:r>
    </w:p>
    <w:p>
      <w:pPr>
        <w:spacing w:after="0" w:line="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unsettled financial environment of 2007, total assets under our management ended the year at a record $400.0 billion, up $65.3 billion or 19.5% during 2007. Over the last three years, our assets under management (in billions) have increased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2005</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beginning of year</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269.5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Net cash inflows</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Sponsored mutual funds in the U.S., including $.4 billion in 2005 and $.8 billion in 2006 from</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mutual fund mergers</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Other portfolios, including $.1 billion in separate accounts acquired in 2006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market appreciation and income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37.9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distributions from, but not reinvested in, sponsored mutual funds in the U.S.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Increase during year</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end of year</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jc w:val="right"/>
              <w:ind w:right="1450"/>
              <w:spacing w:after="0"/>
              <w:rPr>
                <w:sz w:val="20"/>
                <w:szCs w:val="20"/>
                <w:color w:val="auto"/>
              </w:rPr>
            </w:pPr>
            <w:r>
              <w:rPr>
                <w:rFonts w:ascii="Arial" w:cs="Arial" w:eastAsia="Arial" w:hAnsi="Arial"/>
                <w:sz w:val="18"/>
                <w:szCs w:val="18"/>
                <w:color w:val="auto"/>
              </w:rPr>
              <w:t>- 15 -</w:t>
            </w: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4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ind w:right="100"/>
        <w:spacing w:after="0" w:line="264" w:lineRule="auto"/>
        <w:rPr>
          <w:sz w:val="20"/>
          <w:szCs w:val="20"/>
          <w:color w:val="auto"/>
        </w:rPr>
      </w:pPr>
      <w:r>
        <w:rPr>
          <w:rFonts w:ascii="Arial" w:cs="Arial" w:eastAsia="Arial" w:hAnsi="Arial"/>
          <w:sz w:val="18"/>
          <w:szCs w:val="18"/>
          <w:color w:val="auto"/>
        </w:rPr>
        <w:t>During the last three years, our assets under management have increased across each of our four distribution channels. The largest increases were sourced from third-party financial intermediaries and from institutional investors around the world. Our strong relative investment performance and brand awareness have contributed significantly to attracting investor net inflows.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Assets under management at December 31, 2007, include $321.6 billion in equity and blended asset investment portfolios and $78.4 billion in fixed income investment portfolios. The investment portfolios that we manage consist of $246.0 billion in the T. Rowe Price mutual funds distributed in the United States and $154.0 billion in other investment portfolios, including separately managed accounts, sub-advised funds, and other sponsored investment funds offered to investors outside the U.S. and through variable annuity life insurance plans.</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may recognize from increases to our assets under management.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u w:val="single" w:color="auto"/>
          <w:color w:val="auto"/>
        </w:rPr>
        <w:t>2007 versus 2006</w:t>
      </w:r>
      <w:r>
        <w:rPr>
          <w:rFonts w:ascii="Arial" w:cs="Arial" w:eastAsia="Arial" w:hAnsi="Arial"/>
          <w:sz w:val="18"/>
          <w:szCs w:val="18"/>
          <w:color w:val="auto"/>
        </w:rPr>
        <w:t>. Investment advisory revenues were up 25%, or $370.6 million, to nearly $1.9 billion as average assets under our management increased $74.5 billion to $374.2 billion. The average annualized fee rate earned on our assets under management was 50.2 basis points during 2007, virtually unchanged from the 50.3 basis points earned during 2006.</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revenues increased 23%, or $413.3 million, to $2.2 billion. Operating expenses were $1.2 billion in 2007, up 20% or $203.8 million from 2006. Overall, net operating income for 2007 increased $209.5 million, or almost 27%, to $996.4 million. Our operating margin was 44.7% in 2007, up from 43.4% in 2006. Net income increased $141.0 million, or almost 27%, to $670.6 million for 2007, boosting diluted earnings per share more than 26% from $1.90 to $2.40.</w:t>
      </w:r>
    </w:p>
    <w:p>
      <w:pPr>
        <w:spacing w:after="0" w:line="3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United States increased 24%, or $260.2 million, to more than $1.3 billion. Average mutual fund assets were $232.8 billion in 2007, an increase of 24% over the average for 2006. Mutual fund assets increased $39.5 billion during 2007.</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Net inflows to the mutual funds were $20.2 billion during 2007. Our U.S. stock and blended asset funds had net inflows of $9.9 billion, our bond funds added $4.2 billion, our international and global stock funds added $4.7 billion, and our money market funds added $1.4 billion. Seven funds each added more than $1.4 billion and, in total, account for $15.6 billion of the net inflows. The Growth Stock Fund added more than $4.8 billion, the New Income and Equity Index 500 funds together added $4.6 billion, and the Blue Chip Growth, Value, Overseas Stock, and New Asia funds together attracted net inflows of</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$6.2 billion. Higher market valuations and income, net of dividends not reinvested, increased fund assets by $19.3 billion. Net fund inflows of $10.7 billion originated in our target-date Retirement Funds, which in turn invest in other T. Rowe Price funds.</w:t>
      </w:r>
    </w:p>
    <w:p>
      <w:pPr>
        <w:spacing w:after="0" w:line="7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Investment advisory revenues earned on the other investment portfolios that we manage increased $110.4 million, or almost 27%, to $525.8 million. Average assets in these portfolios were $141.4 billion in 2007, up 26% from the 2006 average. Other investment portfolio assets increased $25.8 billion during 2007, including more than $13.6 billion of net inflows from U.S. and international institutional investors and third-party financial intermediaries, and $12.2 billion from market gains and income.</w:t>
      </w:r>
    </w:p>
    <w:p>
      <w:pPr>
        <w:spacing w:after="0" w:line="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Administrative fees increased $42.7 million to $348.1 million. The change in these revenues includes $10.4 million from 12b-1 distribution fees recognized on greater assets under management in the Advisor and R classes of our sponsored mutual fund shares. The balance of the increase is primarily attributable to our mutual fund servicing activities and defined contribution plan recordkeeping services for the mutual funds and their investors. Changes in administrative fees are generally offset by similar changes in related operating expenses that are incurred to distribute the Advisor and R class fund shares through third party financial intermediaries and to provide services to the funds and their investors.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Our largest expense, compensation and related costs, increased $138.8 million, or 21%, over 2006. The largest part of the increase is attributable to a</w:t>
      </w:r>
    </w:p>
    <w:p>
      <w:pPr>
        <w:spacing w:after="0" w:line="3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$55.3 million increase in our annual bonus compensation, which is based on our operating results and considers our relative and risk-adjusted investment performance, our growth in assets under management and net investor inflows, and the high quality of our investor services. The 2007 costs also include an increase of $37.5 million in salaries, which results from a 9% increase in our average staff size coupled with an increase of our associates’ base salaries at the beginning of the year. At December 31, 2007, we employed 5,081 associates, up 10.3% from the beginning of 2007 and 4.3% from the 2007 average, primarily to handle increased volume-related activities and other growth. Other employee benefits and employment expenses, including an increase of $18.8 million in non-cash stock-based compensation, account for the remainder of the change in our compensation and related costs.</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Advertising and promotion expenditures increased $10.6 million from 2006 in response to greater investor interest. We expect our advertising and promotion expenditures in 2008 will be up about 15% versus 2007 and spending in the first quarter of 2008 to increase about $2 million from the fourth quarter of 2007. We vary our level of spending based on market conditions and investor demand as well as our efforts to expand our investor base in the United States and abroad.</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$16.5 million. We are expanding and renovating our facilities to accommodate additional associates to meet greater business demands.</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Other operating expenses were up $37.9 million, or 26%, including $10.4 million of higher distribution expenses recognized on greater assets under management sourced from financial intermediaries that distribute our Advisor and R classes of mutual fund shares. These distribution costs are offset by an equal increase in our administrative revenues recognized from the 12b-1 fees discussed above. Additionally, consulting and professional fees, travel, information services, and other costs have risen this year to meet increased business demands.</w:t>
      </w:r>
    </w:p>
    <w:p>
      <w:pPr>
        <w:spacing w:after="0" w:line="63"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Our non-operating income, which includes interest income as well as the recognition of investment gains and losses, increased $9.0 million. Our larger mutual fund investments added $20.4 million in 2007, including $13.4 million of increased capital gain distributions from the funds. Additionally, 2006 included a gain of $12.2 million upon the liquidation of a sponsored collateralized bond obligation that did not recur.</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7" w:name="page18"/>
    <w:bookmarkEnd w:id="17"/>
    <w:p>
      <w:pPr>
        <w:spacing w:after="0" w:line="264" w:lineRule="auto"/>
        <w:rPr>
          <w:sz w:val="20"/>
          <w:szCs w:val="20"/>
          <w:color w:val="auto"/>
        </w:rPr>
      </w:pPr>
      <w:r>
        <w:rPr>
          <w:rFonts w:ascii="Arial" w:cs="Arial" w:eastAsia="Arial" w:hAnsi="Arial"/>
          <w:sz w:val="18"/>
          <w:szCs w:val="18"/>
          <w:color w:val="auto"/>
        </w:rPr>
        <w:t>The 2007 provision for income taxes as a percentage of pretax income has been recognized using a rate of 37.7%, down slightly from the 38.3% rate for the year 2006, but in line with the estimate made at the beginning of the year. We currently estimate that our 2008 effective tax rate will increase by up to .5% due primarily to changes in state income tax rates and regulations.</w:t>
      </w:r>
    </w:p>
    <w:p>
      <w:pPr>
        <w:spacing w:after="0" w:line="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u w:val="single" w:color="auto"/>
          <w:color w:val="auto"/>
        </w:rPr>
        <w:t>2006 versus 2005</w:t>
      </w:r>
      <w:r>
        <w:rPr>
          <w:rFonts w:ascii="Arial" w:cs="Arial" w:eastAsia="Arial" w:hAnsi="Arial"/>
          <w:sz w:val="17"/>
          <w:szCs w:val="17"/>
          <w:color w:val="auto"/>
        </w:rPr>
        <w:t>. Investment advisory revenues were up 22% to $1.5 billion as a result of a $52.6 billion increase in average assets under our management to $299.7 billion. Net revenues increased 20% or $.3 billion to $1.8 billion. Net operating income increased 20% to $787 million from $655 million. Net income increased 23% to nearly $530 million from $431 million in 2005. Diluted earnings per share increased 20% from $1.58 to $1.90. (All 2005 per-share information has been adjusted to retroactively reflect the two-for-one split of our common stock in June 2006.)</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On January 1, 2006, we adopted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and recognized $59.2 million of non-cash stock option-based compensation expense in 2006 using the fair value based method. Had we applied the fair value method in 2005, we would have recognized $59.8 million of additional stock option-based compensation expense. Our comparable pro forma diluted earnings for 2005 would then have been $1.43 per share and our 2006 diluted earnings per share of $1.90 would be 33% higher than 2005. See our Summary of Significant Accounting Policies accompanying our financial statements in Item 8 of this report for more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earned from the T. Rowe Price mutual funds distributed in the United States increased 21%, or $.2 billion, to nearly</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$1.1 billion. Average mutual fund assets were $187.6 billion in 2006, 20% higher than the 2005 average of $156.2 billion. Mutual fund assets ended 2006 at $206.5 billion, 10% above the 2006 average. Net inflows to the mutual funds were $12.9 billion during 2006, including $6.6 billion that originated in our target-date Retirement Funds and $.8 billion from the merger of two fund groups into the Price funds. Our U.S. stock and blended asset funds had net inflows of $6.3 billion, while our international stock funds added $2.8 billion, and our bond and money market funds added $3.8 billion. The Growth Stock Fund added $4.2 billion of net investments this year while the Value Fund added more than $1.9 billion. Higher market valuations and income increased fund assets by $23.4 billion in 2006.</w:t>
      </w:r>
    </w:p>
    <w:p>
      <w:pPr>
        <w:spacing w:after="0" w:line="8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Investment advisory revenues earned on the other investment portfolios that we manage increased $80 million to $415 million. Average assets in these portfolios were $112.1 billion in 2006, up 23% or $21.2 billion from the 2005 average. Year-end assets totaled $128.2 billion, an increase of 14% from the 2006 average and up $28.9 billion from the start of the year. Net inflows from U.S. and international investors were $14.9 billion and market gains and income added $14.0 billion. In 2005, net inflows from sub-advised and separate account clients investing in U.S. securities were partially offset by significant net outflows from investors in some of our international investment portfolios.</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Administrative fees and other income increased $29 million to $305 million. The change in these revenues includes $5.2 million from 12b-1 distribution fees received on greater assets under management in the Advisor and R classes of our sponsored mutual fund shares. The balance of the increase is primarily attributable to our servicing activities, including shareholder accounts and transaction volume in our transfer agent and defined contribution plan recordkeeping services for the mutual funds and their investors.</w:t>
      </w:r>
    </w:p>
    <w:p>
      <w:pPr>
        <w:spacing w:after="0" w:line="7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Operating expenses were $1.0 billion in 2006, up $171 million from 2005. Our largest expense, compensation and related costs, increased $136 million or 26%. The number of our associates, their total compensation, and the costs of their employee benefits have all increased. The most significant portion of the increase is attributable to the $59.2 million non-cash expense recognized for 2006 stock option-based compensation. The 2006 increase also reflects greater bonus compensation based on our strong operating results for 2006 as well as our strong relative and risk-adjusted investment performance, our growth in assets under management including new investor inflows, and the high quality of our investor services. Finally, we modestly increase our associates’ base salaries at the beginning of each year, and increased our average staff size by 5.4% versus 2005, primarily to handle increased volume-related activities and other growth. At December 31, 2006, we employed 4,605 associates.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Advertising and promotion expenditures increased 13%, or $11.2 million, due to more favorable market conditions and investor interest in 2006.</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$12.3 million. Our costs for rented office facilities, including increased space, and related equipment, maintenance and other costs increased along with our staff size and business needs.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operating expenses were up $11.4 million versus 2005, including $5.2 million of higher distribution expenses recognized on greater assets under management sourced from financial intermediaries that distribute our Advisor and R classes of mutual fund shares. These distribution costs are offset by an equal increase in our administrative revenues recognized from the 12b-1 fees discussed above. Other operating expenses, including travel costs and consulting and information services, rose to meet increased business demands.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Overall, net operating income for 2006 increased 20% to $787 million and the operating margin was 43.4%, up .1% from 2005.</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net non-operating income, which includes interest income as well as the recognition of investment gains and losses and credit facility expenses, increased $47 million to $71 million. Larger money market mutual fund balances at higher interest rates added $20.5 million of the increase, the liquidation of a sponsored collateralized bond obligation in 2006 added $11.0 million, and gains on dispositions of mutual fund investments added $6.2 million.</w:t>
      </w:r>
    </w:p>
    <w:p>
      <w:pPr>
        <w:spacing w:after="0" w:line="3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2006 provision for income taxes as a percentage of pretax income is 38.3%, up from 36.6% in 2005. Our 2006 income tax provision includes provisions of .6%, or $4.8 million, for the anticipated settlement of prior years’ taxes, .3% for increased state taxes, and .3% for the effect of non-deductible incentive stock option-based compensation expense that we began recognizing in our 2006 operating results. The 2006 provision also does not include the .2% benefit that we recognized in 2005 for the reversal of a valuation allowance for foreign net operating loss carryforwards.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2007, stockholders’ equity increased from $2.4 billion to nearly $2.8 billion. Cash and investment holdings exceed $1.6 billion at December 31, 2007.</w:t>
      </w:r>
    </w:p>
    <w:p>
      <w:pPr>
        <w:spacing w:after="0" w:line="14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Operating activities during 2007 provided cash flows of $758 million, up $165 million from 2006, including increased net income of $141 million and non-cash stock-based compensation expense of $19 million. Net cash used in investing activities totaled $345 million, down nearly $77 million from 2006. Our investments in mutual funds and other securities made from our larger available cash balances was $214 million in 2007, down $112 million from 2006. Increased capital spending for property and equipment was $146 million in 2007, up $51 million versus 2006. Net cash used in financing activities was</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$401 million in 2007, up $199 million from 2006. We increased our expenditures for common stock repurchases by $141 million and our dividends paid to stockholders by $33 million.</w:t>
      </w:r>
    </w:p>
    <w:p>
      <w:pPr>
        <w:spacing w:after="0" w:line="7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Operating activities during 2006 provided cash flows of $593 million, up $54 million from 2005, including increased net income of $99 million and non-cash stock-based compensation expense of $58 million. Timing differences in the cash settlements of our assets and liabilities reduced comparative cash flows by $107 million. Net cash used in investing activities totaled $421 million, up $330 million from 2005. Our investments in mutual funds and other securities made from our larger available cash balances were $272 million more in 2006 than in 2005. Capital spending for property and equipment was $94 million in 2006, up $42 million versus 2005. Net cash used in financing activities was $203 million in 2006, up $59 million from 2005. We increased our expenditures for common stock repurchases by $95 million and our dividends paid to stockholders by $28 million. Offsetting these outflows were nearly $66 million of tax benefits realized from option exercises and restricted stock vesting in 2006.</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Property and equipment expenditures in 2008, including those for the build-out of our expanded operating facilities, are anticipated to be nearly $200 million and are expected to be funded from cash balances.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following table presents a summary of our future obligations (in millions) under the terms of existing operating leases and other contractual cash purchase commitments at December 31, 2007. Other purchase commitments include contractual amounts that will be due for the purchase of goods or services to be used in our operations and may be cancelable at earlier times than those indicated, under certain conditions that may involve termination fees. Because these obligations are of a normal recurring nature, we expect that we will fund them from future cash flows from operations. The information presented does not include operating expenses or capital expenditures that will be committed in the normal course of operations in 2008 and future years. The information also excludes the $4.8 million of unrecognized tax benefits discussed in Note 8 to our consolidated financial statements because it is not possible to estimate the time period that it might be paid to tax authorities.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93"/>
              </w:rPr>
              <w:t>2009-10</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9"/>
              </w:rPr>
              <w:t>2011-12</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Later</w:t>
            </w:r>
          </w:p>
        </w:tc>
        <w:tc>
          <w:tcPr>
            <w:tcW w:w="100" w:type="dxa"/>
            <w:vAlign w:val="bottom"/>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Other purchase commitments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7"/>
        </w:trPr>
        <w:tc>
          <w:tcPr>
            <w:tcW w:w="3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0"/>
        </w:trPr>
        <w:tc>
          <w:tcPr>
            <w:tcW w:w="3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also have outstanding commitments to fund additional investments totaling $29.1 million at December 31,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balance sheet, the revenues and expenses in our statement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2007 Annual Report. In the following discussion, we highlight and explain further certain of those policies that are most critical to the preparation and understanding of our financial statements.</w:t>
      </w:r>
    </w:p>
    <w:p>
      <w:pPr>
        <w:spacing w:after="0" w:line="7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u w:val="single" w:color="auto"/>
          <w:color w:val="auto"/>
        </w:rPr>
        <w:t>Other than temporary impairments of available-for-sale securities</w:t>
      </w:r>
      <w:r>
        <w:rPr>
          <w:rFonts w:ascii="Arial" w:cs="Arial" w:eastAsia="Arial" w:hAnsi="Arial"/>
          <w:sz w:val="17"/>
          <w:szCs w:val="17"/>
          <w:color w:val="auto"/>
        </w:rPr>
        <w:t>. We generally classify our investment holdings in sponsored mutual funds and the debt securities held for investment by our savings bank subsidiary as available-for-sale. At the end of each quarter, we mark the carrying amount of each investment holding to fair value and recognize an unrealized gain or loss in other comprehensive income within stockholders’ equity. We next review each individual security position that has an unrealized loss or impairment to determine if that impairment is other than temporary.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right="280"/>
        <w:spacing w:after="0" w:line="259" w:lineRule="auto"/>
        <w:rPr>
          <w:sz w:val="20"/>
          <w:szCs w:val="20"/>
          <w:color w:val="auto"/>
        </w:rPr>
      </w:pPr>
      <w:r>
        <w:rPr>
          <w:rFonts w:ascii="Arial" w:cs="Arial" w:eastAsia="Arial" w:hAnsi="Arial"/>
          <w:sz w:val="18"/>
          <w:szCs w:val="18"/>
          <w:color w:val="auto"/>
        </w:rPr>
        <w:t>A mutual fund holding that has had an unrealized loss for more than six months is presumed to have an other than temporary impairment and a loss is recognized in our statement of income unless there is persuasive evidence, such as an increase in value subsequent to quarter end, to overcome that presumption. We may also recognize an other than temporary loss of less than six months in our statement of income if the particular circumstances of the underlying investment do not warrant our belief that a near-term recovery is possible.</w:t>
      </w:r>
    </w:p>
    <w:p>
      <w:pPr>
        <w:spacing w:after="0" w:line="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An impaired debt security held by our savings bank subsidiary is considered to have an other than temporary loss that we recognize in our statement of income if we determine that we will probably not collect all contractual amounts due under the terms of the security. Any determination of this type would consider the issuer’s financial condition and our ability and intent to hold the investment until its fair value recovers, which may mean until maturity, and to collect all contractual cash flows. Minor impairments of 5% or less that arise from changes in interest rates and not credit quality are generally considered temporary.</w:t>
      </w:r>
    </w:p>
    <w:p>
      <w:pPr>
        <w:spacing w:after="0" w:line="8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We internally conduct, manage and report our operations as one investment advisory business. We do not have distinct operating segments or components that separately constitute a business. Accordingly, we attribute goodwill to a single reportable business segment and reporting unit — our investment advisory business.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evaluate the carrying amount of goodwill in our balance sheet for possible impairment on an annual basis in the third quarter of each year using a fair value approach. Goodwill would be considered impaired whenever our historical carrying amount exceeds the fair value of our investment advisory business. Our annual testing has demonstrated that the fair value of our investment advisory business exceeds our carrying amount (basically, our stockholders’ equity) and, therefore, that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balance sheet, $665.7 million.</w:t>
      </w:r>
    </w:p>
    <w:p>
      <w:pPr>
        <w:spacing w:after="0" w:line="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On January 1, 2006, we adopted the provisions of SFAS 123R and began recognizing stock option-based compensation expense in our consolidated statement of income using the fair value based method. Prior to 2006, our stock option grants were accounted for using the intrinsic value based method and no compensation expense related to our option grants was recognized in our consolidated statements of income. The recognition of stock option-based compensation expense had a material impact on our operating results in 2007 and 2006, and on comparability to our operating results in 2005 because we elected the modified prospective application of adopting SFAS 123R. The summary of significant accounting policies accompanying our consolidated financial statements includes comparable pro forma disclosures for 2005 as if a fair value based method had been used to recognize stock option-based compensation expense.</w:t>
      </w:r>
    </w:p>
    <w:p>
      <w:pPr>
        <w:spacing w:after="0" w:line="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Fair value methods use a valuation model for shorter-term, market-traded financial instruments to theoretically value stock option grants even though they are not available for trading purposes and are of longer duration. The Black-Scholes option pricing model that we use includes the input of certain variables that are dependent on future expectations, including the expected lives of our options from grant date to exercise date, the volatility of our underlying common shares in the market over that time period, and the rate of dividends that we will pay during that time. Our estimates of these variables are made for the purpose of using the valuation model to determine an expense for each reporting period and are not subsequently adjusted. Unlike most of our expenses, the resulting charge to earnings using a fair value based method is a non-cash charge that is never measured by, or adjusted based on, a cash outflow.</w:t>
      </w:r>
    </w:p>
    <w:p>
      <w:pPr>
        <w:spacing w:after="0" w:line="5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u w:val="single" w:color="auto"/>
          <w:color w:val="auto"/>
        </w:rPr>
        <w:t>Provision for income taxes</w:t>
      </w:r>
      <w:r>
        <w:rPr>
          <w:rFonts w:ascii="Arial" w:cs="Arial" w:eastAsia="Arial" w:hAnsi="Arial"/>
          <w:sz w:val="17"/>
          <w:szCs w:val="17"/>
          <w:color w:val="auto"/>
        </w:rPr>
        <w:t>. 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determinations of our annual provisions are subject to judgments and estimates, it is likely that actual results will vary from those recognized in our financial statements. As a result, additions to, or reductions of, income tax expense will occur each year for prior reporting periods as our estimates change and actual tax returns and tax audits are settled. We recognize any such prior year adjustment in the discrete quarterly period in which it is determined.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NEWLY ISSUED BUT NOT YET ADOPTED ACCOUNTING STANDARDS.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Each reporting period we consider all newly issued but not yet adopted standards applicable to our operations and the preparation of our consolidated statements. One such standard,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will add additional note disclosures to our 2008 financial statements about the valuation of our investments in sponsored mutual funds and debt securities held by our savings bank subsidiary. Adoption of SFAS No. 157 will not have a material effect on our financial position or results of operations.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From time to time, information or statements provided by or on behalf of T. Rowe Price, including those within this report, may contain certain forward-looking information, including information or anticipated information relating to changes in our revenues and net income, changes in the amount and composition of our assets under management, our expense levels, our estimated effective income tax rate, and our expectations regarding financial markets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the financial markets around the world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w:t>
      </w:r>
    </w:p>
    <w:p>
      <w:pPr>
        <w:spacing w:after="0" w:line="6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stock awards, changes in our employee count and mix, and competitive factors; any goodwill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revenues and net income are based primarily on the value of assets under our management. Accordingly, declines in financial market values directly and negatively impact our investment advisory revenues and net income.</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invest in our sponsored mutual funds, which are market risk sensitive financial instruments, primarily for purposes other than trading; we do not invest in derivative financial or commodity instruments. Mutual fund investments have inherent market risk in the form of equity price risk; that is, the potential future loss of value that would result from a decline in the fair values of mutual fund shares. Each fund and its underlying net assets are also subject to market risk, which may arise from changes in equity prices, credit ratings, foreign currency exchange rates, and interest rates.</w:t>
      </w:r>
    </w:p>
    <w:p>
      <w:pPr>
        <w:spacing w:after="0" w:line="6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following table (in millions) presents the equity price risk from investments in sponsored mutual funds that are accounted for as available-for-sale securities by assuming a hypothetical decline in the fair values of mutual fund shares. This potential future loss of value, before any income tax benefits, reflects the valuation of mutual fund investments at year end using each fund’s lowest fair value per share during 2007. In considering this presentation, it is important to note that: all funds did not experience their lowest fair value per share on the same day; it is likely that the composition of the mutual fund investment portfolio would be changed if adverse market conditions persisted; and we could experience future losses in excess of those presented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color w:val="auto"/>
              </w:rPr>
              <w:t>Fair value</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Potential</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at</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 of</w:t>
            </w: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rPr>
              <w:t>lower</w:t>
            </w:r>
          </w:p>
        </w:tc>
        <w:tc>
          <w:tcPr>
            <w:tcW w:w="8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 of</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Potential</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7"/>
        </w:trPr>
        <w:tc>
          <w:tcPr>
            <w:tcW w:w="552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4"/>
              </w:rPr>
              <w:t>12/31/2007</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Portfolio</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color w:val="auto"/>
                <w:w w:val="89"/>
              </w:rPr>
              <w:t>value</w:t>
            </w: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Portfolio</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loss</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Stock and blended asset funds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541.3</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484.6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Bond funds</w:t>
            </w:r>
          </w:p>
        </w:tc>
        <w:tc>
          <w:tcPr>
            <w:tcW w:w="2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229.9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218.8</w:t>
            </w: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11.1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7"/>
        </w:trPr>
        <w:tc>
          <w:tcPr>
            <w:tcW w:w="5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5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771.2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703.4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u w:val="single" w:color="auto"/>
                <w:color w:val="auto"/>
              </w:rPr>
              <w:t>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r>
      <w:tr>
        <w:trPr>
          <w:trHeight w:val="20"/>
        </w:trPr>
        <w:tc>
          <w:tcPr>
            <w:tcW w:w="5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comparable potential loss of value presented in our 2006 annual report was $64.3 million on sponsored mutual fund investments of $554.4 million at December 31, 2006. During 2007, we actually experienced net unrealized gains of $43.9 million.</w:t>
      </w:r>
    </w:p>
    <w:p>
      <w:pPr>
        <w:spacing w:after="0" w:line="6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Investments in mutual funds generally moderate market risk because funds, by their nature, are diversified investment portfolios that invest in a number of different financial instruments. T. Rowe Price further manages its exposure to market risk by diversifying its investments among many domestic and international funds. In addition, investment holdings may be altered from time to time in response to changes in market risks and other factors, as management deems appropriate.</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investment portfolio and customer deposit liabilities of our savings bank subsidiary are subject to interest rate risk. If interest rates change 1%, the change in the net value of these assets and liabilities would not be material.</w:t>
      </w:r>
    </w:p>
    <w:p>
      <w:pPr>
        <w:spacing w:after="0" w:line="6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also hold other investments of $102.3 million at December 31, 2007, that we are at risk for loss up to our carrying amount should market conditions deteriorate. U.S. Treasury holdings, generally considered to be of the lowest risk profile, account for $70.6 million of these investments.</w:t>
      </w:r>
    </w:p>
    <w:p>
      <w:pPr>
        <w:spacing w:after="0" w:line="1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operate in several foreign countries, most prominent among which is Great Britain. We incur operating expenses and have foreign currency-denominated assets and liabilities associated with these operations, though our revenues are predominately realized in U.S. dollars. We do not believe that foreign currency fluctuations materially affect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560" w:type="dxa"/>
            <w:vAlign w:val="bottom"/>
            <w:vMerge w:val="restart"/>
          </w:tcPr>
          <w:p>
            <w:pPr>
              <w:spacing w:after="0"/>
              <w:rPr>
                <w:sz w:val="20"/>
                <w:szCs w:val="20"/>
                <w:color w:val="auto"/>
              </w:rPr>
            </w:pPr>
            <w:r>
              <w:rPr>
                <w:rFonts w:ascii="Arial" w:cs="Arial" w:eastAsia="Arial" w:hAnsi="Arial"/>
                <w:sz w:val="18"/>
                <w:szCs w:val="18"/>
                <w:color w:val="auto"/>
              </w:rPr>
              <w:t>Index to Financial Statements: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105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Consolidated Balance Sheets at December 31, 2006 and 2007</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Consolidated Statements of Income for each of the three years in the period ended December 31, 2007</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2007</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Consolidated Statements of Stockholders’ Equity for each of the three years in the period ended December 31, 2007</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Summary of Significant Accounting Policies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Notes to Consolidated Financial Statements including Supplementary Quarterly Financial Data</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Report of Independent Registered Public Accounting Firm</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405"/>
        </w:trPr>
        <w:tc>
          <w:tcPr>
            <w:tcW w:w="10560" w:type="dxa"/>
            <w:vAlign w:val="bottom"/>
          </w:tcPr>
          <w:p>
            <w:pPr>
              <w:ind w:left="5520"/>
              <w:spacing w:after="0"/>
              <w:rPr>
                <w:sz w:val="20"/>
                <w:szCs w:val="20"/>
                <w:color w:val="auto"/>
              </w:rPr>
            </w:pPr>
            <w:r>
              <w:rPr>
                <w:rFonts w:ascii="Arial" w:cs="Arial" w:eastAsia="Arial" w:hAnsi="Arial"/>
                <w:sz w:val="18"/>
                <w:szCs w:val="18"/>
                <w:color w:val="auto"/>
              </w:rPr>
              <w:t>- 21 -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5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12/31/2006</w:t>
            </w:r>
          </w:p>
        </w:tc>
        <w:tc>
          <w:tcPr>
            <w:tcW w:w="340" w:type="dxa"/>
            <w:vAlign w:val="bottom"/>
          </w:tcPr>
          <w:p>
            <w:pPr>
              <w:spacing w:after="0"/>
              <w:rPr>
                <w:sz w:val="14"/>
                <w:szCs w:val="14"/>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w w:val="94"/>
              </w:rPr>
              <w:t>12/31/2007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Cash and cash equivalents (Note 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773.0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 (Note 2)</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Investments in sponsored mutual funds (Note 3)</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554.4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 (Note 4)</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Other investments (Note 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(Note 6)</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Goodwill and other intangible assets (Note 7)</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669.4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2,765.3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Liabilities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 (Note 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77.2</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 (Note 8)</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at savings bank subsidiary (Note 4)</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 (Notes 5 and 11)</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Stockholders’ equity (Notes 9, 10 and 11)</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tcPr>
          <w:p>
            <w:pPr>
              <w:ind w:left="200"/>
              <w:spacing w:after="0" w:line="201" w:lineRule="exact"/>
              <w:rPr>
                <w:sz w:val="20"/>
                <w:szCs w:val="20"/>
                <w:color w:val="auto"/>
              </w:rPr>
            </w:pPr>
            <w:r>
              <w:rPr>
                <w:rFonts w:ascii="Arial" w:cs="Arial" w:eastAsia="Arial" w:hAnsi="Arial"/>
                <w:sz w:val="18"/>
                <w:szCs w:val="18"/>
                <w:color w:val="auto"/>
                <w:w w:val="97"/>
              </w:rPr>
              <w:t>Common stock, $.20 par value — authorized 500,000,000 shares; issued 264,960,000 shares in 2006 and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264,605,000 shares in 2007</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2,057.1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2,333.4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2,426.9</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2,777.1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2,765.3</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summary of significant accounting policies and notes to consolidated financial statements are an integral part of these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2005</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2006</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Investment advisory fees (Note 2)</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1,235.5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1,508.5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 (Note 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1,515.8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1,819.3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1,512.2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1,815.0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2,228.3</w:t>
            </w:r>
          </w:p>
        </w:tc>
        <w:tc>
          <w:tcPr>
            <w:tcW w:w="0" w:type="dxa"/>
            <w:vAlign w:val="bottom"/>
          </w:tcPr>
          <w:p>
            <w:pPr>
              <w:spacing w:after="0"/>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 (Notes 6, 9 and 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86.1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97.3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Occupancy and facility costs (Note 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1,028.1</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996.4</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Other investment income (Notes 1 and 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71.7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expenses (Note 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Net non-operating income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Provision for income taxes (Note 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248.4</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328.7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65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58</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summary of significant accounting policies and notes to consolidated financial statements are an integral part of these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w w:val="94"/>
              </w:rPr>
              <w:t>Year ended December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2005</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2006</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431.0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529.6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42.3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accounts receivable and accrued revenue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Changes in payables and accrued liabilities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78.7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593.2</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(266.6)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Dispositions of sponsored mutual funds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Investments in debt securities by savings bank subsidiary</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debt securities held by savings bank subsidiary</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Other investments made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Other investing activity</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439"/>
        </w:trPr>
        <w:tc>
          <w:tcPr>
            <w:tcW w:w="69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Common share issuances under stock-based compensation plans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48.0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to stockholders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439"/>
        </w:trPr>
        <w:tc>
          <w:tcPr>
            <w:tcW w:w="6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during year</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At beginning of year</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499.7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803.6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end of year</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773.0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summary of significant accounting policies and notes to consolidated financial statements are an integral part of these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CONSOLIDATED STATEMENTS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in thousands;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Additional</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Accumulated</w:t>
            </w:r>
          </w:p>
        </w:tc>
        <w:tc>
          <w:tcPr>
            <w:tcW w:w="6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Deferred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5"/>
              </w:rPr>
              <w:t>Common</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capital in</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3"/>
              </w:rPr>
              <w:t>other</w:t>
            </w:r>
          </w:p>
        </w:tc>
        <w:tc>
          <w:tcPr>
            <w:tcW w:w="6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0"/>
              </w:rPr>
              <w:t>stock-based</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5"/>
              </w:rPr>
              <w:t>shares</w:t>
            </w:r>
          </w:p>
        </w:tc>
        <w:tc>
          <w:tcPr>
            <w:tcW w:w="72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14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1"/>
              </w:rPr>
              <w:t>excess of par</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2"/>
              </w:rPr>
              <w:t>Retained</w:t>
            </w:r>
          </w:p>
        </w:tc>
        <w:tc>
          <w:tcPr>
            <w:tcW w:w="14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2"/>
              </w:rPr>
              <w:t>comprehensive</w:t>
            </w: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1"/>
              </w:rPr>
              <w:t>compensation</w:t>
            </w: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outstanding</w:t>
            </w:r>
          </w:p>
        </w:tc>
        <w:tc>
          <w:tcPr>
            <w:tcW w:w="10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value</w:t>
            </w:r>
          </w:p>
        </w:tc>
        <w:tc>
          <w:tcPr>
            <w:tcW w:w="1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earnings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color w:val="auto"/>
                <w:w w:val="92"/>
              </w:rPr>
              <w:t>income</w:t>
            </w:r>
          </w:p>
        </w:tc>
        <w:tc>
          <w:tcPr>
            <w:tcW w:w="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86"/>
              </w:rPr>
              <w:t>expense</w:t>
            </w:r>
          </w:p>
        </w:tc>
        <w:tc>
          <w:tcPr>
            <w:tcW w:w="14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at December 31, 2004</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129,608</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25.9</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250.8</w:t>
            </w:r>
          </w:p>
        </w:tc>
        <w:tc>
          <w:tcPr>
            <w:tcW w:w="880" w:type="dxa"/>
            <w:vAlign w:val="bottom"/>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$ 1,378.9</w:t>
            </w:r>
          </w:p>
        </w:tc>
        <w:tc>
          <w:tcPr>
            <w:tcW w:w="280" w:type="dxa"/>
            <w:vAlign w:val="bottom"/>
            <w:gridSpan w:val="2"/>
            <w:shd w:val="clear" w:color="auto" w:fill="CCEEFF"/>
          </w:tcPr>
          <w:p>
            <w:pPr>
              <w:jc w:val="right"/>
              <w:ind w:right="15"/>
              <w:spacing w:after="0" w:line="142"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41.7</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1,697.3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Common stock-based compensation plans activity</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issued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Shares issued upon option exercises</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3,301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99.6</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shares issued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shares repurchased</w:t>
            </w:r>
          </w:p>
        </w:tc>
        <w:tc>
          <w:tcPr>
            <w:tcW w:w="9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(75.5)</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431.0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Change in unrealized security holding gains, net of taxes</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6.8</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(126.6)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2005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131,678</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2,036.1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Reclassification at adoption of SFAS 123R</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stock-based compensation plans activity</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Shares issued upon option exercises</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49.7</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shares forfeited</w:t>
            </w:r>
          </w:p>
        </w:tc>
        <w:tc>
          <w:tcPr>
            <w:tcW w:w="9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Common shares repurchased</w:t>
            </w:r>
          </w:p>
        </w:tc>
        <w:tc>
          <w:tcPr>
            <w:tcW w:w="9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(1,533)</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(117.4)</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shares issued in 2—for—1 split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131,547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(26.3)</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300" w:type="dxa"/>
            <w:vAlign w:val="bottom"/>
            <w:gridSpan w:val="2"/>
          </w:tcPr>
          <w:p>
            <w:pPr>
              <w:spacing w:after="0" w:line="155" w:lineRule="exact"/>
              <w:rPr>
                <w:sz w:val="20"/>
                <w:szCs w:val="20"/>
                <w:color w:val="auto"/>
              </w:rPr>
            </w:pPr>
            <w:r>
              <w:rPr>
                <w:rFonts w:ascii="Arial" w:cs="Arial" w:eastAsia="Arial" w:hAnsi="Arial"/>
                <w:sz w:val="14"/>
                <w:szCs w:val="14"/>
                <w:color w:val="auto"/>
              </w:rPr>
              <w:t>Balances after split on June 23, 2006</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263,094</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stock-based compensation plans activity</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Shares issued upon option exercises</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3,227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55.4</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shares issued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Income tax benefit at vesting of restricted shares</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61.0</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Common shares repurchased</w:t>
            </w:r>
          </w:p>
        </w:tc>
        <w:tc>
          <w:tcPr>
            <w:tcW w:w="9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(1,435)</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(53.0)</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529.6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unrealized security holding gains, net of taxes</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20.8</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(155.8)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156"/>
        </w:trPr>
        <w:tc>
          <w:tcPr>
            <w:tcW w:w="4300" w:type="dxa"/>
            <w:vAlign w:val="bottom"/>
            <w:gridSpan w:val="2"/>
          </w:tcPr>
          <w:p>
            <w:pPr>
              <w:spacing w:after="0" w:line="155" w:lineRule="exact"/>
              <w:rPr>
                <w:sz w:val="20"/>
                <w:szCs w:val="20"/>
                <w:color w:val="auto"/>
              </w:rPr>
            </w:pPr>
            <w:r>
              <w:rPr>
                <w:rFonts w:ascii="Arial" w:cs="Arial" w:eastAsia="Arial" w:hAnsi="Arial"/>
                <w:sz w:val="14"/>
                <w:szCs w:val="14"/>
                <w:color w:val="auto"/>
              </w:rPr>
              <w:t>Balances at December 31, 2006</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264,960</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247.5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2,057.1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69.3</w:t>
            </w:r>
          </w:p>
        </w:tc>
        <w:tc>
          <w:tcPr>
            <w:tcW w:w="3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2,426.9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stock-based compensation plans activity</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Shares issued upon option exercises</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5,508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92.7</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issued upon vesting of restricted stock units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Restricted shares issued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289</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withheld and tax effects at vesting of restricted shares</w:t>
            </w:r>
          </w:p>
        </w:tc>
        <w:tc>
          <w:tcPr>
            <w:tcW w:w="9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Restricted shares forfeited</w:t>
            </w:r>
          </w:p>
        </w:tc>
        <w:tc>
          <w:tcPr>
            <w:tcW w:w="9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79.9</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Common shares repurchased</w:t>
            </w:r>
          </w:p>
        </w:tc>
        <w:tc>
          <w:tcPr>
            <w:tcW w:w="9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(6,163)</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(124.0)</w:t>
            </w: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(195.5)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670.6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unrealized security holding gains, net of taxes</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25.7</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and related tax benefits</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(198.8)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(198.7)</w:t>
            </w:r>
          </w:p>
        </w:tc>
        <w:tc>
          <w:tcPr>
            <w:tcW w:w="0" w:type="dxa"/>
            <w:vAlign w:val="bottom"/>
          </w:tcPr>
          <w:p>
            <w:pPr>
              <w:spacing w:after="0"/>
              <w:rPr>
                <w:sz w:val="1"/>
                <w:szCs w:val="1"/>
                <w:color w:val="auto"/>
              </w:rPr>
            </w:pPr>
          </w:p>
        </w:tc>
      </w:tr>
      <w:tr>
        <w:trPr>
          <w:trHeight w:val="156"/>
        </w:trPr>
        <w:tc>
          <w:tcPr>
            <w:tcW w:w="4300" w:type="dxa"/>
            <w:vAlign w:val="bottom"/>
            <w:gridSpan w:val="2"/>
          </w:tcPr>
          <w:p>
            <w:pPr>
              <w:spacing w:after="0" w:line="155" w:lineRule="exact"/>
              <w:rPr>
                <w:sz w:val="20"/>
                <w:szCs w:val="20"/>
                <w:color w:val="auto"/>
              </w:rPr>
            </w:pPr>
            <w:r>
              <w:rPr>
                <w:rFonts w:ascii="Arial" w:cs="Arial" w:eastAsia="Arial" w:hAnsi="Arial"/>
                <w:sz w:val="14"/>
                <w:szCs w:val="14"/>
                <w:color w:val="auto"/>
              </w:rPr>
              <w:t>Balances at December 31, 2007</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264,605</w:t>
            </w:r>
          </w:p>
        </w:tc>
        <w:tc>
          <w:tcPr>
            <w:tcW w:w="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295.8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$ 2,333.4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95.0</w:t>
            </w:r>
          </w:p>
        </w:tc>
        <w:tc>
          <w:tcPr>
            <w:tcW w:w="3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2,777.1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summary of significant accounting policies and notes to consolidated financial statements are an integral part of these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SUMMARY OF SIGNIFICANT ACCOUNTING POLICIES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While investors that we serve are primarily domiciled in the United States of America, investment advisory clients outside the United States account for 9% of our assets under management at December 31, 2007.</w:t>
      </w:r>
    </w:p>
    <w:p>
      <w:pPr>
        <w:spacing w:after="0" w:line="5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BASIS OF PREPARATION.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These consolidated financial statements have been prepared by our management in accordance with accounting principles generally accepted in the United States, which require the use of estimates. Actual results may vary from our estimates. We have reclassified certain prior year amounts to be comparative with and conform to the presentation of our 2007 financial statements.</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financial statements include the accounts of all subsidiaries in which we have a majority or controlling interest. All material intercompany accounts and transactions are eliminated in consolidation.</w:t>
      </w:r>
    </w:p>
    <w:p>
      <w:pPr>
        <w:spacing w:after="0" w:line="6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not the primary beneficiary, and do not consolidate the accounts, of a high-yield collateralized bond obligation (CBO) that held assets of less than $50 million at December 31, 2007. This variable interest entity is a non-recourse, limited liability company for which we are the collateral manager and receive related investment advisory fees. We recognized the full impairment of this CBO investment in our 2002 statement of income and do not expect to recognize any future gains or losses from this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 SPLIT.</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At the close of business on June 23, 2006, we effected a two-for-one split of our common stock by issuing additional $.20 par value shares and reclassifying the par value of the additional shares issued among our paid-in stockholders’ equity accounts. All per-share and share data in the accompanying consolidated statements of income, in these significant accounting policies, and in the accompanying notes have been adjusted to give retroactive effect to this stock split.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Cash equivalents consist primarily of short-term, highly liquid investments in our sponsored money market mutual funds. The cost of these funds is equivalent to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Investments in debt securities held by our savings bank subsidiary are classified as available-for-sale and are reported at fair value. We value our investments in sponsored mutual funds at the quoted closing net asset values, or NAVs, per share of each mutual fund on the balance sheet date and generally classify these holdings as available-for-sale. Changes in net unrealized security holding gains on available-for-sale securities are recognized in accumulated other comprehensive income.</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classify marketable equity securities other than sponsored mutual funds and some investments in sponsored mutual funds made at fund formation as trading because they are expected to be held for only a short period of time. Other investments are recognized using the cost or equity methods of accounting, as appropriate.</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review the carrying amount of each investment on a quarterly basis and recognize an impairment in our statement of income whenever an unrealized loss is considered other than temporary.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CONCENTRATIONS OF RISK.</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that we manage for them.</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investments in sponsored mutual funds expose us to market risk in the form of equity price risk; that is, the potential future loss of value that would result from a decline in the fair values of the mutual funds. Each fund and its underlying net assets are also subject to market risk, which may arise from changes in equity prices, credit ratings, foreign currency exchange rates, and interest rates.</w:t>
      </w:r>
    </w:p>
    <w:p>
      <w:pPr>
        <w:spacing w:after="0" w:line="73"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Investments by our savings bank subsidiary in debt securities expose us to market risk, which may arise from changes in credit ratings and interest rates.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PROPERTY AND EQUIPMENT.</w:t>
      </w:r>
    </w:p>
    <w:p>
      <w:pPr>
        <w:spacing w:after="0" w:line="11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Property and equipment is stated at cost net of accumulated depreciation and amortization computed using the straight-line method. Provisions for depreciation and amortization are based on the following weighted average estimated useful lives: computer and communications software and equipment, 3.5 years; buildings, 33.5 years; leasehold improvements, 9.1 years; furniture and other equipment, 6.4 years; and leased land, 99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evaluate the $665.7 million carrying amount of goodwill in our balance sheet for possible impairment on an annual basis in the third quarter of each year using a fair value approach. Our evaluations have indicated that no impairment exists.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 — our investment advisory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Fees for investment advisory services, which are based on assets under management, and related administrative services that we provide to investment advisory clients are recognized in the period that our services are provided. Taxes billed to our clients based on our fees for services rendered are not included in revenues. Administrative revenues from distribution of our sponsored mutual funds’ Advisor and R class shares, and the corresponding operating expense for payments to third-party financial intermediaries that distribute those share classes, are recognized in the period that they are earned, which is the same period that the related mutual funds recognize their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11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Basic earnings per share does not include the dilutive effect of outstanding stock options, nonvested restricted common shares, and outstanding stock units, and is computed by dividing net income by the weighted average common shares outstanding of 260.5 million in 2005, 263.8 million in 2006, and</w:t>
      </w:r>
    </w:p>
    <w:p>
      <w:pPr>
        <w:ind w:right="420"/>
        <w:spacing w:after="0" w:line="302" w:lineRule="auto"/>
        <w:rPr>
          <w:sz w:val="20"/>
          <w:szCs w:val="20"/>
          <w:color w:val="auto"/>
        </w:rPr>
      </w:pPr>
      <w:r>
        <w:rPr>
          <w:rFonts w:ascii="Arial" w:cs="Arial" w:eastAsia="Arial" w:hAnsi="Arial"/>
          <w:sz w:val="16"/>
          <w:szCs w:val="16"/>
          <w:color w:val="auto"/>
        </w:rPr>
        <w:t>264.8 million in 2007. Diluted earnings per share reflects the potential dilution that could occur if outstanding stock options were exercised, restricted common shares vest, and stock units are converted to common shares. It is computed by increasing the denominator of the basic calculation by potential dilutive common shares, determined using the treasury stock method, of 12.7 million in 2005, 14.9 million in 2006, and 14.4 million in 2007.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comprehensive income is reported in our consolidated statements of stockholders’ equity and includes net income and the change in unrealized security holding gains, net of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 AWARDS AND OPTIONS.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stockholders have approved the 2001 and 2004 Stock Incentive Plans under which we may make stock awards in the form of unrestricted common shares, restricted common shares, and restricted stock units that convert to shares after vesting. Under these plan provisions, we issued 76,000 unrestricted common shares to our employees in 2005 at the grant date fair value of $37.365 per share. We have also issued restricted shares and restricted stock units at the grant date fair value that vest over graded schedules of up to four years.</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2001 and 2004 Stock Incentive Plans and six other stockholder approved plans (the 1990, 1993 and 1996 Stock Incentive Plans and the 1995, 1998 and 2007 plans for non-employee directors), we have granted qualified incentive and nonqualified fixed stock options with a maximum term of 10 years to employees and directors. Vesting of our annual employee option grants is based solely on the individual continuing to render service and generally occurs over a five-year graded schedule. The exercise price of each option granted is equivalent to the market price of the common stock at the date of grant. Under the 2007 Non-Employee Director Equity Plan, we also grant restricted common shares and stock units that vest over one year. Vested stock units are issued in lieu of dividends on outstanding stock units.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We recognized compensation expense for stock-based awards other than stock options of $3.2 million in 2005, $1.8 million in 2006, and $8.0 million in 2007.</w:t>
      </w:r>
    </w:p>
    <w:p>
      <w:pPr>
        <w:spacing w:after="0" w:line="14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January 1, 2006, we adopted the provisions of SFAS 123R and began recognizing stock option-based compensation expense in our consolidated statements of income using the fair value based method, including provision for estimated future forfeitures of our stock option awards. Prior to 2006, our stock option grants were accounted for using the intrinsic value based method and no compensation expense related to our option grants was recognized in our consolidated statements of income.</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we adopted SFAS 123R on a modified prospective basis, financial statements for 2005 have not been restated. The following table compares our 2006 and 2007 net income (in millions) and earnings per share with pro forma results as if we had applied the fair value based method in 2005. For purposes of this disclosure, forfeitures of options during 2005 were recognized as they occurred.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2005</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529.6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w w:val="94"/>
              </w:rPr>
              <w:t>Additional stock option-based compensation expense estimated using the fair value based method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Related income tax benefits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Basic — as reported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2.01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 pro forma</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Diluted — as reported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 pro forma</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Net income, as reported, includes a charge for stock option-based compensation expense of $59.2 million in 2006 and $71.8 million in 2007, including</w:t>
      </w:r>
    </w:p>
    <w:p>
      <w:pPr>
        <w:spacing w:after="0" w:line="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$6.1 million and $8.6 million, respectively, for reload option grants. Related income tax benefits recognized in net income, as reported, were $19.4 million in 2006 and $24.3 million in 2007. The recognition of stock-option based compensation expense reduced our diluted earnings per share by approximately $.14 in 2006 and $.17 in 2007. In recognizing 2006 and 2007 stock-option based compensation expense and in preparing the pro forma 2005 information, we used the Black-Scholes option-pricing model to estimate the fair value of each option grant, including reloads,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Weighted-average</w:t>
            </w:r>
          </w:p>
        </w:tc>
        <w:tc>
          <w:tcPr>
            <w:tcW w:w="11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Range</w:t>
            </w: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140" w:type="dxa"/>
            <w:vAlign w:val="bottom"/>
          </w:tcPr>
          <w:p>
            <w:pPr>
              <w:jc w:val="right"/>
              <w:ind w:right="433"/>
              <w:spacing w:after="0" w:line="142" w:lineRule="exact"/>
              <w:rPr>
                <w:sz w:val="20"/>
                <w:szCs w:val="20"/>
                <w:color w:val="auto"/>
              </w:rPr>
            </w:pPr>
            <w:r>
              <w:rPr>
                <w:rFonts w:ascii="Arial" w:cs="Arial" w:eastAsia="Arial" w:hAnsi="Arial"/>
                <w:sz w:val="14"/>
                <w:szCs w:val="14"/>
                <w:color w:val="auto"/>
              </w:rPr>
              <w:t>2005</w:t>
            </w:r>
          </w:p>
        </w:tc>
        <w:tc>
          <w:tcPr>
            <w:tcW w:w="1760" w:type="dxa"/>
            <w:vAlign w:val="bottom"/>
          </w:tcPr>
          <w:p>
            <w:pPr>
              <w:jc w:val="right"/>
              <w:ind w:right="675"/>
              <w:spacing w:after="0" w:line="142" w:lineRule="exact"/>
              <w:rPr>
                <w:sz w:val="20"/>
                <w:szCs w:val="20"/>
                <w:color w:val="auto"/>
              </w:rPr>
            </w:pPr>
            <w:r>
              <w:rPr>
                <w:rFonts w:ascii="Arial" w:cs="Arial" w:eastAsia="Arial" w:hAnsi="Arial"/>
                <w:sz w:val="14"/>
                <w:szCs w:val="14"/>
                <w:color w:val="auto"/>
              </w:rPr>
              <w:t>2006</w:t>
            </w:r>
          </w:p>
        </w:tc>
        <w:tc>
          <w:tcPr>
            <w:tcW w:w="1160" w:type="dxa"/>
            <w:vAlign w:val="bottom"/>
          </w:tcPr>
          <w:p>
            <w:pPr>
              <w:jc w:val="right"/>
              <w:ind w:right="293"/>
              <w:spacing w:after="0" w:line="142" w:lineRule="exact"/>
              <w:rPr>
                <w:sz w:val="20"/>
                <w:szCs w:val="20"/>
                <w:color w:val="auto"/>
              </w:rPr>
            </w:pPr>
            <w:r>
              <w:rPr>
                <w:rFonts w:ascii="Arial" w:cs="Arial" w:eastAsia="Arial" w:hAnsi="Arial"/>
                <w:sz w:val="14"/>
                <w:szCs w:val="14"/>
                <w:color w:val="auto"/>
              </w:rPr>
              <w:t>2007</w:t>
            </w:r>
          </w:p>
        </w:tc>
        <w:tc>
          <w:tcPr>
            <w:tcW w:w="1460" w:type="dxa"/>
            <w:vAlign w:val="bottom"/>
            <w:gridSpan w:val="2"/>
          </w:tcPr>
          <w:p>
            <w:pPr>
              <w:ind w:left="840"/>
              <w:spacing w:after="0" w:line="142"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Grant-date fair value per option awarded, including reload grants</w:t>
            </w:r>
          </w:p>
        </w:tc>
        <w:tc>
          <w:tcPr>
            <w:tcW w:w="1140" w:type="dxa"/>
            <w:vAlign w:val="bottom"/>
            <w:tcBorders>
              <w:top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rPr>
              <w:t>$9.57</w:t>
            </w:r>
          </w:p>
        </w:tc>
        <w:tc>
          <w:tcPr>
            <w:tcW w:w="1760" w:type="dxa"/>
            <w:vAlign w:val="bottom"/>
            <w:tcBorders>
              <w:top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rPr>
              <w:t>$12.42</w:t>
            </w:r>
          </w:p>
        </w:tc>
        <w:tc>
          <w:tcPr>
            <w:tcW w:w="116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$12.31</w:t>
            </w:r>
          </w:p>
        </w:tc>
        <w:tc>
          <w:tcPr>
            <w:tcW w:w="5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$.91 to 22.00</w:t>
            </w:r>
          </w:p>
        </w:tc>
        <w:tc>
          <w:tcPr>
            <w:tcW w:w="20" w:type="dxa"/>
            <w:vAlign w:val="bottom"/>
          </w:tcPr>
          <w:p>
            <w:pPr>
              <w:spacing w:after="0"/>
              <w:rPr>
                <w:sz w:val="18"/>
                <w:szCs w:val="18"/>
                <w:color w:val="auto"/>
              </w:rPr>
            </w:pPr>
          </w:p>
        </w:tc>
      </w:tr>
      <w:tr>
        <w:trPr>
          <w:trHeight w:val="432"/>
        </w:trPr>
        <w:tc>
          <w:tcPr>
            <w:tcW w:w="5900" w:type="dxa"/>
            <w:vAlign w:val="bottom"/>
            <w:gridSpan w:val="2"/>
          </w:tcPr>
          <w:p>
            <w:pPr>
              <w:spacing w:after="0"/>
              <w:rPr>
                <w:sz w:val="20"/>
                <w:szCs w:val="20"/>
                <w:color w:val="auto"/>
              </w:rPr>
            </w:pPr>
            <w:r>
              <w:rPr>
                <w:rFonts w:ascii="Arial" w:cs="Arial" w:eastAsia="Arial" w:hAnsi="Arial"/>
                <w:sz w:val="18"/>
                <w:szCs w:val="18"/>
                <w:color w:val="auto"/>
              </w:rPr>
              <w:t>Assumptions used:</w:t>
            </w:r>
          </w:p>
        </w:tc>
        <w:tc>
          <w:tcPr>
            <w:tcW w:w="1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Expected life in years</w:t>
            </w:r>
          </w:p>
        </w:tc>
        <w:tc>
          <w:tcPr>
            <w:tcW w:w="11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5.5</w:t>
            </w:r>
          </w:p>
        </w:tc>
        <w:tc>
          <w:tcPr>
            <w:tcW w:w="176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rPr>
              <w:t>5.5</w:t>
            </w: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 to 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Expected volatility</w:t>
            </w:r>
          </w:p>
        </w:tc>
        <w:tc>
          <w:tcPr>
            <w:tcW w:w="1140" w:type="dxa"/>
            <w:vAlign w:val="bottom"/>
          </w:tcPr>
          <w:p>
            <w:pPr>
              <w:jc w:val="right"/>
              <w:ind w:right="273"/>
              <w:spacing w:after="0"/>
              <w:rPr>
                <w:sz w:val="20"/>
                <w:szCs w:val="20"/>
                <w:color w:val="auto"/>
              </w:rPr>
            </w:pPr>
            <w:r>
              <w:rPr>
                <w:rFonts w:ascii="Arial" w:cs="Arial" w:eastAsia="Arial" w:hAnsi="Arial"/>
                <w:sz w:val="18"/>
                <w:szCs w:val="18"/>
                <w:color w:val="auto"/>
              </w:rPr>
              <w:t>29%</w:t>
            </w:r>
          </w:p>
        </w:tc>
        <w:tc>
          <w:tcPr>
            <w:tcW w:w="1760" w:type="dxa"/>
            <w:vAlign w:val="bottom"/>
          </w:tcPr>
          <w:p>
            <w:pPr>
              <w:jc w:val="right"/>
              <w:ind w:right="475"/>
              <w:spacing w:after="0"/>
              <w:rPr>
                <w:sz w:val="20"/>
                <w:szCs w:val="20"/>
                <w:color w:val="auto"/>
              </w:rPr>
            </w:pPr>
            <w:r>
              <w:rPr>
                <w:rFonts w:ascii="Arial" w:cs="Arial" w:eastAsia="Arial" w:hAnsi="Arial"/>
                <w:sz w:val="18"/>
                <w:szCs w:val="18"/>
                <w:color w:val="auto"/>
              </w:rPr>
              <w:t>26%</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8"/>
                <w:szCs w:val="18"/>
                <w:color w:val="auto"/>
              </w:rPr>
            </w:pPr>
          </w:p>
        </w:tc>
        <w:tc>
          <w:tcPr>
            <w:tcW w:w="940" w:type="dxa"/>
            <w:vAlign w:val="bottom"/>
          </w:tcPr>
          <w:p>
            <w:pPr>
              <w:jc w:val="center"/>
              <w:ind w:left="34"/>
              <w:spacing w:after="0"/>
              <w:rPr>
                <w:sz w:val="20"/>
                <w:szCs w:val="20"/>
                <w:color w:val="auto"/>
              </w:rPr>
            </w:pPr>
            <w:r>
              <w:rPr>
                <w:rFonts w:ascii="Arial" w:cs="Arial" w:eastAsia="Arial" w:hAnsi="Arial"/>
                <w:sz w:val="18"/>
                <w:szCs w:val="18"/>
                <w:color w:val="auto"/>
                <w:w w:val="92"/>
              </w:rPr>
              <w:t>6 to 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yield</w:t>
            </w:r>
          </w:p>
        </w:tc>
        <w:tc>
          <w:tcPr>
            <w:tcW w:w="11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1.7%</w:t>
            </w:r>
          </w:p>
        </w:tc>
        <w:tc>
          <w:tcPr>
            <w:tcW w:w="17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1.7%</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w:t>
            </w:r>
          </w:p>
        </w:tc>
        <w:tc>
          <w:tcPr>
            <w:tcW w:w="14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jc w:val="right"/>
              <w:ind w:right="273"/>
              <w:spacing w:after="0"/>
              <w:rPr>
                <w:sz w:val="20"/>
                <w:szCs w:val="20"/>
                <w:color w:val="auto"/>
              </w:rPr>
            </w:pPr>
            <w:r>
              <w:rPr>
                <w:rFonts w:ascii="Arial" w:cs="Arial" w:eastAsia="Arial" w:hAnsi="Arial"/>
                <w:sz w:val="18"/>
                <w:szCs w:val="18"/>
                <w:color w:val="auto"/>
              </w:rPr>
              <w:t>4.2%</w:t>
            </w:r>
          </w:p>
        </w:tc>
        <w:tc>
          <w:tcPr>
            <w:tcW w:w="1760" w:type="dxa"/>
            <w:vAlign w:val="bottom"/>
          </w:tcPr>
          <w:p>
            <w:pPr>
              <w:jc w:val="right"/>
              <w:ind w:right="475"/>
              <w:spacing w:after="0"/>
              <w:rPr>
                <w:sz w:val="20"/>
                <w:szCs w:val="20"/>
                <w:color w:val="auto"/>
              </w:rPr>
            </w:pPr>
            <w:r>
              <w:rPr>
                <w:rFonts w:ascii="Arial" w:cs="Arial" w:eastAsia="Arial" w:hAnsi="Arial"/>
                <w:sz w:val="18"/>
                <w:szCs w:val="18"/>
                <w:color w:val="auto"/>
              </w:rPr>
              <w:t>4.6%</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2.9 to 5.1%</w:t>
            </w:r>
          </w:p>
        </w:tc>
        <w:tc>
          <w:tcPr>
            <w:tcW w:w="20" w:type="dxa"/>
            <w:vAlign w:val="bottom"/>
          </w:tcPr>
          <w:p>
            <w:pPr>
              <w:spacing w:after="0"/>
              <w:rPr>
                <w:sz w:val="20"/>
                <w:szCs w:val="20"/>
                <w:color w:val="auto"/>
              </w:rPr>
            </w:pPr>
          </w:p>
        </w:tc>
      </w:tr>
    </w:tbl>
    <w:p>
      <w:pPr>
        <w:spacing w:after="0" w:line="7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expected life assumptions are based on the vesting period for each option grant and our historical experience with respect to the average holding period from vesting to option exercise. The assumptions for expected volatility and dividend yield are based on recent historical experience over the same periods as our expected lives. Risk-free interest rates are set using grant-date U.S. Treasury yield curves for the same periods as our expected lives.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 — CASH EQUIVALENTS.</w:t>
      </w:r>
    </w:p>
    <w:p>
      <w:pPr>
        <w:spacing w:after="0" w:line="117"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color w:val="auto"/>
        </w:rPr>
        <w:t>Cash equivalent investments in our sponsored money market mutual funds aggregate $739.1 million at December 31, 2006, and $710.0 million at December 31, 2007. Dividends earned on these investments totaled $14.9 million in 2005, $35.4 million in 2006, and $38.0 million in 2007.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$122.9 million at December 31, 2006, and $144.6 million at December 31, 2007.</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758.3</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937.5</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$ 1,168.7</w:t>
            </w: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184.6</w:t>
            </w:r>
          </w:p>
        </w:tc>
      </w:tr>
      <w:tr>
        <w:trPr>
          <w:trHeight w:val="223"/>
        </w:trPr>
        <w:tc>
          <w:tcPr>
            <w:tcW w:w="7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1,093.1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1,353.3</w:t>
            </w:r>
          </w:p>
        </w:tc>
        <w:tc>
          <w:tcPr>
            <w:tcW w:w="100" w:type="dxa"/>
            <w:vAlign w:val="bottom"/>
          </w:tcPr>
          <w:p>
            <w:pPr>
              <w:spacing w:after="0"/>
              <w:rPr>
                <w:sz w:val="19"/>
                <w:szCs w:val="19"/>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415.4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525.8</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1,235.5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1,508.5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$ 1,879.1</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various investment portfolios and assets under management (in billions) on which we earn investment advisory fees.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Average during</w:t>
            </w: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4"/>
                <w:szCs w:val="14"/>
                <w:color w:val="auto"/>
                <w:w w:val="95"/>
              </w:rPr>
              <w:t>December 31,</w:t>
            </w:r>
          </w:p>
        </w:tc>
      </w:tr>
      <w:tr>
        <w:trPr>
          <w:trHeight w:val="142"/>
        </w:trPr>
        <w:tc>
          <w:tcPr>
            <w:tcW w:w="4440" w:type="dxa"/>
            <w:vAlign w:val="bottom"/>
          </w:tcPr>
          <w:p>
            <w:pPr>
              <w:spacing w:after="0"/>
              <w:rPr>
                <w:sz w:val="12"/>
                <w:szCs w:val="12"/>
                <w:color w:val="auto"/>
              </w:rPr>
            </w:pPr>
          </w:p>
        </w:tc>
        <w:tc>
          <w:tcPr>
            <w:tcW w:w="1000" w:type="dxa"/>
            <w:vAlign w:val="bottom"/>
          </w:tcPr>
          <w:p>
            <w:pPr>
              <w:jc w:val="right"/>
              <w:ind w:right="273"/>
              <w:spacing w:after="0" w:line="142" w:lineRule="exact"/>
              <w:rPr>
                <w:sz w:val="20"/>
                <w:szCs w:val="20"/>
                <w:color w:val="auto"/>
              </w:rPr>
            </w:pPr>
            <w:r>
              <w:rPr>
                <w:rFonts w:ascii="Arial" w:cs="Arial" w:eastAsia="Arial" w:hAnsi="Arial"/>
                <w:sz w:val="14"/>
                <w:szCs w:val="14"/>
                <w:color w:val="auto"/>
              </w:rPr>
              <w:t>2005</w:t>
            </w:r>
          </w:p>
        </w:tc>
        <w:tc>
          <w:tcPr>
            <w:tcW w:w="1480" w:type="dxa"/>
            <w:vAlign w:val="bottom"/>
            <w:gridSpan w:val="2"/>
          </w:tcPr>
          <w:p>
            <w:pPr>
              <w:jc w:val="right"/>
              <w:ind w:right="276"/>
              <w:spacing w:after="0" w:line="142" w:lineRule="exact"/>
              <w:rPr>
                <w:sz w:val="20"/>
                <w:szCs w:val="20"/>
                <w:color w:val="auto"/>
              </w:rPr>
            </w:pPr>
            <w:r>
              <w:rPr>
                <w:rFonts w:ascii="Arial" w:cs="Arial" w:eastAsia="Arial" w:hAnsi="Arial"/>
                <w:sz w:val="14"/>
                <w:szCs w:val="14"/>
                <w:color w:val="auto"/>
              </w:rPr>
              <w:t>2006</w:t>
            </w:r>
          </w:p>
        </w:tc>
        <w:tc>
          <w:tcPr>
            <w:tcW w:w="1500" w:type="dxa"/>
            <w:vAlign w:val="bottom"/>
            <w:gridSpan w:val="2"/>
          </w:tcPr>
          <w:p>
            <w:pPr>
              <w:jc w:val="right"/>
              <w:ind w:right="270"/>
              <w:spacing w:after="0" w:line="142" w:lineRule="exact"/>
              <w:rPr>
                <w:sz w:val="20"/>
                <w:szCs w:val="20"/>
                <w:color w:val="auto"/>
              </w:rPr>
            </w:pPr>
            <w:r>
              <w:rPr>
                <w:rFonts w:ascii="Arial" w:cs="Arial" w:eastAsia="Arial" w:hAnsi="Arial"/>
                <w:sz w:val="14"/>
                <w:szCs w:val="14"/>
                <w:color w:val="auto"/>
              </w:rPr>
              <w:t>2007</w:t>
            </w:r>
          </w:p>
        </w:tc>
        <w:tc>
          <w:tcPr>
            <w:tcW w:w="480" w:type="dxa"/>
            <w:vAlign w:val="bottom"/>
          </w:tcPr>
          <w:p>
            <w:pPr>
              <w:spacing w:after="0"/>
              <w:rPr>
                <w:sz w:val="12"/>
                <w:szCs w:val="12"/>
                <w:color w:val="auto"/>
              </w:rPr>
            </w:pPr>
          </w:p>
        </w:tc>
        <w:tc>
          <w:tcPr>
            <w:tcW w:w="800" w:type="dxa"/>
            <w:vAlign w:val="bottom"/>
          </w:tcPr>
          <w:p>
            <w:pPr>
              <w:jc w:val="right"/>
              <w:ind w:right="56"/>
              <w:spacing w:after="0" w:line="142" w:lineRule="exact"/>
              <w:rPr>
                <w:sz w:val="20"/>
                <w:szCs w:val="20"/>
                <w:color w:val="auto"/>
              </w:rPr>
            </w:pPr>
            <w:r>
              <w:rPr>
                <w:rFonts w:ascii="Arial" w:cs="Arial" w:eastAsia="Arial" w:hAnsi="Arial"/>
                <w:sz w:val="14"/>
                <w:szCs w:val="14"/>
                <w:color w:val="auto"/>
              </w:rPr>
              <w:t>2006</w:t>
            </w:r>
          </w:p>
        </w:tc>
        <w:tc>
          <w:tcPr>
            <w:tcW w:w="1720" w:type="dxa"/>
            <w:vAlign w:val="bottom"/>
            <w:gridSpan w:val="3"/>
          </w:tcPr>
          <w:p>
            <w:pPr>
              <w:jc w:val="right"/>
              <w:ind w:right="270"/>
              <w:spacing w:after="0" w:line="142" w:lineRule="exact"/>
              <w:rPr>
                <w:sz w:val="20"/>
                <w:szCs w:val="20"/>
                <w:color w:val="auto"/>
              </w:rPr>
            </w:pPr>
            <w:r>
              <w:rPr>
                <w:rFonts w:ascii="Arial" w:cs="Arial" w:eastAsia="Arial" w:hAnsi="Arial"/>
                <w:sz w:val="14"/>
                <w:szCs w:val="14"/>
                <w:color w:val="auto"/>
              </w:rPr>
              <w:t>2007</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$124.1</w:t>
            </w:r>
          </w:p>
        </w:tc>
        <w:tc>
          <w:tcPr>
            <w:tcW w:w="1480" w:type="dxa"/>
            <w:vAlign w:val="bottom"/>
            <w:gridSpan w:val="2"/>
          </w:tcPr>
          <w:p>
            <w:pPr>
              <w:jc w:val="right"/>
              <w:ind w:right="216"/>
              <w:spacing w:after="0"/>
              <w:rPr>
                <w:sz w:val="20"/>
                <w:szCs w:val="20"/>
                <w:color w:val="auto"/>
              </w:rPr>
            </w:pPr>
            <w:r>
              <w:rPr>
                <w:rFonts w:ascii="Arial" w:cs="Arial" w:eastAsia="Arial" w:hAnsi="Arial"/>
                <w:sz w:val="18"/>
                <w:szCs w:val="18"/>
                <w:color w:val="auto"/>
              </w:rPr>
              <w:t>$152.2</w:t>
            </w:r>
          </w:p>
        </w:tc>
        <w:tc>
          <w:tcPr>
            <w:tcW w:w="1500" w:type="dxa"/>
            <w:vAlign w:val="bottom"/>
            <w:gridSpan w:val="2"/>
          </w:tcPr>
          <w:p>
            <w:pPr>
              <w:jc w:val="right"/>
              <w:ind w:right="210"/>
              <w:spacing w:after="0"/>
              <w:rPr>
                <w:sz w:val="20"/>
                <w:szCs w:val="20"/>
                <w:color w:val="auto"/>
              </w:rPr>
            </w:pPr>
            <w:r>
              <w:rPr>
                <w:rFonts w:ascii="Arial" w:cs="Arial" w:eastAsia="Arial" w:hAnsi="Arial"/>
                <w:sz w:val="18"/>
                <w:szCs w:val="18"/>
                <w:color w:val="auto"/>
              </w:rPr>
              <w:t>$191.1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$168.5</w:t>
            </w:r>
          </w:p>
        </w:tc>
        <w:tc>
          <w:tcPr>
            <w:tcW w:w="1720" w:type="dxa"/>
            <w:vAlign w:val="bottom"/>
            <w:gridSpan w:val="3"/>
          </w:tcPr>
          <w:p>
            <w:pPr>
              <w:jc w:val="right"/>
              <w:ind w:right="210"/>
              <w:spacing w:after="0"/>
              <w:rPr>
                <w:sz w:val="20"/>
                <w:szCs w:val="20"/>
                <w:color w:val="auto"/>
              </w:rPr>
            </w:pPr>
            <w:r>
              <w:rPr>
                <w:rFonts w:ascii="Arial" w:cs="Arial" w:eastAsia="Arial" w:hAnsi="Arial"/>
                <w:sz w:val="18"/>
                <w:szCs w:val="18"/>
                <w:color w:val="auto"/>
              </w:rPr>
              <w:t>$200.6</w:t>
            </w:r>
          </w:p>
        </w:tc>
      </w:tr>
      <w:tr>
        <w:trPr>
          <w:trHeight w:val="216"/>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32.1</w:t>
            </w:r>
          </w:p>
        </w:tc>
        <w:tc>
          <w:tcPr>
            <w:tcW w:w="148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35.4</w:t>
            </w:r>
          </w:p>
        </w:tc>
        <w:tc>
          <w:tcPr>
            <w:tcW w:w="1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41.7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7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45.4</w:t>
            </w:r>
          </w:p>
        </w:tc>
      </w:tr>
      <w:tr>
        <w:trPr>
          <w:trHeight w:val="223"/>
        </w:trPr>
        <w:tc>
          <w:tcPr>
            <w:tcW w:w="4440" w:type="dxa"/>
            <w:vAlign w:val="bottom"/>
          </w:tcPr>
          <w:p>
            <w:pPr>
              <w:spacing w:after="0"/>
              <w:rPr>
                <w:sz w:val="19"/>
                <w:szCs w:val="19"/>
                <w:color w:val="auto"/>
              </w:rPr>
            </w:pPr>
          </w:p>
        </w:tc>
        <w:tc>
          <w:tcPr>
            <w:tcW w:w="1000" w:type="dxa"/>
            <w:vAlign w:val="bottom"/>
            <w:tcBorders>
              <w:top w:val="single" w:sz="8" w:color="auto"/>
            </w:tcBorders>
          </w:tcPr>
          <w:p>
            <w:pPr>
              <w:jc w:val="right"/>
              <w:ind w:right="213"/>
              <w:spacing w:after="0"/>
              <w:rPr>
                <w:sz w:val="20"/>
                <w:szCs w:val="20"/>
                <w:color w:val="auto"/>
              </w:rPr>
            </w:pPr>
            <w:r>
              <w:rPr>
                <w:rFonts w:ascii="Arial" w:cs="Arial" w:eastAsia="Arial" w:hAnsi="Arial"/>
                <w:sz w:val="18"/>
                <w:szCs w:val="18"/>
                <w:color w:val="auto"/>
              </w:rPr>
              <w:t>156.2</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rPr>
              <w:t>187.6</w:t>
            </w:r>
          </w:p>
        </w:tc>
        <w:tc>
          <w:tcPr>
            <w:tcW w:w="480" w:type="dxa"/>
            <w:vAlign w:val="bottom"/>
          </w:tcPr>
          <w:p>
            <w:pPr>
              <w:spacing w:after="0"/>
              <w:rPr>
                <w:sz w:val="19"/>
                <w:szCs w:val="19"/>
                <w:color w:val="auto"/>
              </w:rPr>
            </w:pPr>
          </w:p>
        </w:tc>
        <w:tc>
          <w:tcPr>
            <w:tcW w:w="10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232.8</w:t>
            </w:r>
          </w:p>
        </w:tc>
        <w:tc>
          <w:tcPr>
            <w:tcW w:w="4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2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246.0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90.9</w:t>
            </w:r>
          </w:p>
        </w:tc>
        <w:tc>
          <w:tcPr>
            <w:tcW w:w="148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112.1</w:t>
            </w:r>
          </w:p>
        </w:tc>
        <w:tc>
          <w:tcPr>
            <w:tcW w:w="1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141.4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7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154.0</w:t>
            </w:r>
          </w:p>
        </w:tc>
      </w:tr>
      <w:tr>
        <w:trPr>
          <w:trHeight w:val="223"/>
        </w:trPr>
        <w:tc>
          <w:tcPr>
            <w:tcW w:w="44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rPr>
              <w:t>$247.1</w:t>
            </w:r>
          </w:p>
        </w:tc>
        <w:tc>
          <w:tcPr>
            <w:tcW w:w="4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rPr>
              <w:t>$299.7</w:t>
            </w:r>
          </w:p>
        </w:tc>
        <w:tc>
          <w:tcPr>
            <w:tcW w:w="4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$374.2</w:t>
            </w:r>
          </w:p>
        </w:tc>
        <w:tc>
          <w:tcPr>
            <w:tcW w:w="4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220" w:type="dxa"/>
            <w:vAlign w:val="bottom"/>
            <w:tcBorders>
              <w:top w:val="single" w:sz="8" w:color="auto"/>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$400.0</w:t>
            </w:r>
          </w:p>
        </w:tc>
      </w:tr>
      <w:tr>
        <w:trPr>
          <w:trHeight w:val="20"/>
        </w:trPr>
        <w:tc>
          <w:tcPr>
            <w:tcW w:w="4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Fees for advisory-related administrative services provided to our sponsored mutual funds were $211.3 million in 2005, $239.9 million in 2006, and</w:t>
      </w:r>
    </w:p>
    <w:p>
      <w:pPr>
        <w:spacing w:after="0" w:line="35"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$273.9 million in 2007. We provide all services to the sponsored U.S. mutual funds under contracts that are subject to periodic review and approval by each of the funds’ boards. Regulations require that the funds’ shareholders also approve material changes to investment advisory contracts.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NOTE 3 — INVESTMENTS IN SPONSORED MUTUAL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other mutual fund investments (in millions) at December 31 include: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20" w:type="dxa"/>
            <w:vAlign w:val="bottom"/>
          </w:tcPr>
          <w:p>
            <w:pPr>
              <w:spacing w:after="0"/>
              <w:rPr>
                <w:sz w:val="14"/>
                <w:szCs w:val="14"/>
                <w:color w:val="auto"/>
              </w:rPr>
            </w:pPr>
          </w:p>
        </w:tc>
        <w:tc>
          <w:tcPr>
            <w:tcW w:w="760" w:type="dxa"/>
            <w:vAlign w:val="bottom"/>
            <w:gridSpan w:val="4"/>
          </w:tcPr>
          <w:p>
            <w:pPr>
              <w:jc w:val="center"/>
              <w:ind w:right="12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380" w:type="dxa"/>
            <w:vAlign w:val="bottom"/>
            <w:gridSpan w:val="3"/>
          </w:tcPr>
          <w:p>
            <w:pPr>
              <w:jc w:val="center"/>
              <w:ind w:right="700"/>
              <w:spacing w:after="0" w:line="149" w:lineRule="exact"/>
              <w:rPr>
                <w:sz w:val="20"/>
                <w:szCs w:val="20"/>
                <w:color w:val="auto"/>
              </w:rPr>
            </w:pPr>
            <w:r>
              <w:rPr>
                <w:rFonts w:ascii="Arial" w:cs="Arial" w:eastAsia="Arial" w:hAnsi="Arial"/>
                <w:sz w:val="14"/>
                <w:szCs w:val="14"/>
                <w:color w:val="auto"/>
                <w:w w:val="92"/>
              </w:rPr>
              <w:t>Aggregate</w:t>
            </w:r>
          </w:p>
        </w:tc>
        <w:tc>
          <w:tcPr>
            <w:tcW w:w="120" w:type="dxa"/>
            <w:vAlign w:val="bottom"/>
          </w:tcPr>
          <w:p>
            <w:pPr>
              <w:spacing w:after="0"/>
              <w:rPr>
                <w:sz w:val="12"/>
                <w:szCs w:val="12"/>
                <w:color w:val="auto"/>
              </w:rPr>
            </w:pPr>
          </w:p>
        </w:tc>
        <w:tc>
          <w:tcPr>
            <w:tcW w:w="12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w w:val="92"/>
              </w:rPr>
              <w:t>holding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840"/>
              <w:spacing w:after="0"/>
              <w:rPr>
                <w:sz w:val="20"/>
                <w:szCs w:val="20"/>
                <w:color w:val="auto"/>
              </w:rPr>
            </w:pPr>
            <w:r>
              <w:rPr>
                <w:rFonts w:ascii="Arial" w:cs="Arial" w:eastAsia="Arial" w:hAnsi="Arial"/>
                <w:sz w:val="14"/>
                <w:szCs w:val="14"/>
                <w:color w:val="auto"/>
                <w:w w:val="85"/>
              </w:rPr>
              <w:t>cost</w:t>
            </w:r>
          </w:p>
        </w:tc>
        <w:tc>
          <w:tcPr>
            <w:tcW w:w="120" w:type="dxa"/>
            <w:vAlign w:val="bottom"/>
          </w:tcPr>
          <w:p>
            <w:pPr>
              <w:spacing w:after="0"/>
              <w:rPr>
                <w:sz w:val="14"/>
                <w:szCs w:val="14"/>
                <w:color w:val="auto"/>
              </w:rPr>
            </w:pPr>
          </w:p>
        </w:tc>
        <w:tc>
          <w:tcPr>
            <w:tcW w:w="1240" w:type="dxa"/>
            <w:vAlign w:val="bottom"/>
            <w:gridSpan w:val="2"/>
          </w:tcPr>
          <w:p>
            <w:pPr>
              <w:jc w:val="right"/>
              <w:ind w:right="860"/>
              <w:spacing w:after="0"/>
              <w:rPr>
                <w:sz w:val="20"/>
                <w:szCs w:val="20"/>
                <w:color w:val="auto"/>
              </w:rPr>
            </w:pPr>
            <w:r>
              <w:rPr>
                <w:rFonts w:ascii="Arial" w:cs="Arial" w:eastAsia="Arial" w:hAnsi="Arial"/>
                <w:sz w:val="14"/>
                <w:szCs w:val="14"/>
                <w:color w:val="auto"/>
              </w:rPr>
              <w:t>gains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center"/>
              <w:ind w:right="240"/>
              <w:spacing w:after="0"/>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20" w:type="dxa"/>
            <w:vAlign w:val="bottom"/>
            <w:gridSpan w:val="3"/>
            <w:shd w:val="clear" w:color="auto" w:fill="CCEEFF"/>
          </w:tcPr>
          <w:p>
            <w:pPr>
              <w:jc w:val="right"/>
              <w:ind w:right="4360"/>
              <w:spacing w:after="0" w:line="170" w:lineRule="exact"/>
              <w:rPr>
                <w:sz w:val="20"/>
                <w:szCs w:val="20"/>
                <w:color w:val="auto"/>
              </w:rPr>
            </w:pPr>
            <w:r>
              <w:rPr>
                <w:rFonts w:ascii="Arial" w:cs="Arial" w:eastAsia="Arial" w:hAnsi="Arial"/>
                <w:sz w:val="18"/>
                <w:szCs w:val="18"/>
                <w:color w:val="auto"/>
              </w:rPr>
              <w:t>2006</w:t>
            </w:r>
          </w:p>
        </w:tc>
        <w:tc>
          <w:tcPr>
            <w:tcW w:w="27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29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325.5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84.3</w:t>
            </w:r>
          </w:p>
        </w:tc>
        <w:tc>
          <w:tcPr>
            <w:tcW w:w="140" w:type="dxa"/>
            <w:vAlign w:val="bottom"/>
            <w:gridSpan w:val="2"/>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4"/>
          </w:tcPr>
          <w:p>
            <w:pPr>
              <w:spacing w:after="0"/>
              <w:rPr>
                <w:sz w:val="20"/>
                <w:szCs w:val="20"/>
                <w:color w:val="auto"/>
              </w:rPr>
            </w:pPr>
            <w:r>
              <w:rPr>
                <w:rFonts w:ascii="Arial" w:cs="Arial" w:eastAsia="Arial" w:hAnsi="Arial"/>
                <w:sz w:val="18"/>
                <w:szCs w:val="18"/>
                <w:color w:val="auto"/>
              </w:rPr>
              <w:t>Total available-for-sale holdings</w:t>
            </w:r>
          </w:p>
        </w:tc>
        <w:tc>
          <w:tcPr>
            <w:tcW w:w="27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446.1</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20" w:type="dxa"/>
            <w:vAlign w:val="bottom"/>
            <w:gridSpan w:val="3"/>
            <w:shd w:val="clear" w:color="auto" w:fill="CCEEFF"/>
          </w:tcPr>
          <w:p>
            <w:pPr>
              <w:jc w:val="right"/>
              <w:ind w:right="4360"/>
              <w:spacing w:after="0" w:line="176" w:lineRule="exact"/>
              <w:rPr>
                <w:sz w:val="20"/>
                <w:szCs w:val="20"/>
                <w:color w:val="auto"/>
              </w:rPr>
            </w:pPr>
            <w:r>
              <w:rPr>
                <w:rFonts w:ascii="Arial" w:cs="Arial" w:eastAsia="Arial" w:hAnsi="Arial"/>
                <w:sz w:val="18"/>
                <w:szCs w:val="18"/>
                <w:color w:val="auto"/>
              </w:rPr>
              <w:t>2007</w:t>
            </w:r>
          </w:p>
        </w:tc>
        <w:tc>
          <w:tcPr>
            <w:tcW w:w="2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29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427.0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114.3</w:t>
            </w:r>
          </w:p>
        </w:tc>
        <w:tc>
          <w:tcPr>
            <w:tcW w:w="140" w:type="dxa"/>
            <w:vAlign w:val="bottom"/>
            <w:gridSpan w:val="2"/>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541.3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197.2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4"/>
          </w:tcPr>
          <w:p>
            <w:pPr>
              <w:spacing w:after="0"/>
              <w:rPr>
                <w:sz w:val="20"/>
                <w:szCs w:val="20"/>
                <w:color w:val="auto"/>
              </w:rPr>
            </w:pPr>
            <w:r>
              <w:rPr>
                <w:rFonts w:ascii="Arial" w:cs="Arial" w:eastAsia="Arial" w:hAnsi="Arial"/>
                <w:sz w:val="18"/>
                <w:szCs w:val="18"/>
                <w:color w:val="auto"/>
              </w:rPr>
              <w:t>Total available-for-sale holdings</w:t>
            </w:r>
          </w:p>
        </w:tc>
        <w:tc>
          <w:tcPr>
            <w:tcW w:w="27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624.2</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Fund investments held as trading</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Dividends earned on our investments in sponsored mutual funds totaled $7.2 million in 2005, $12.5 million in 2006, and $30.4 million in 2007. There were no fund holdings with an unrealized loss at December 31, 2006, and two mutual fund holdings with a total unrealized temporary loss of $.4 million at December 31, 2007.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NOTE 4 — DEBT SECURITIES HELD BY AND CUSTOMER DEPOSITS AT SAVINGS BANK SUBSIDIARY.</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 at year end.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2006</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2007</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5"/>
              </w:rPr>
              <w:t>Unrealized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5"/>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Fair</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gain</w:t>
            </w:r>
          </w:p>
        </w:tc>
        <w:tc>
          <w:tcPr>
            <w:tcW w:w="14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Fair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gain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value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color w:val="auto"/>
              </w:rPr>
              <w:t>(loss)</w:t>
            </w:r>
          </w:p>
        </w:tc>
        <w:tc>
          <w:tcPr>
            <w:tcW w:w="14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value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temporary impairment</w:t>
            </w:r>
          </w:p>
        </w:tc>
        <w:tc>
          <w:tcPr>
            <w:tcW w:w="1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Of less than 12 months (17 securities in 2007)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12 months or more (52 securities in 2007)</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holding gains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1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Aggregate cost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unrealized losses in these investments were generally caused by interest rate increases and not changes in credit quality. We have the ability and intent to hold these securities to their maturities, which generally correlate to the maturities of our customer deposits, and to collect all contractual cash flows. Accordingly, impairment of these investments is considered temporary.</w:t>
      </w:r>
    </w:p>
    <w:p>
      <w:pPr>
        <w:spacing w:after="0" w:line="7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estimated fair value of our customer deposit liability, based on discounting expected cash outflows at maturity dates that range up to five years, using current interest rates offered for deposits with the same dates of maturity, was $114.8 million at December 31, 2006, and $115.8 million at December 31,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5 — OTHER INVESTMENTS.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Other investments include U.S. Treasury Notes that will yield 4.7% to 5.2% through their maturities in 2008 to 2012. These holdings are accounted for as held-to-maturity securities and are recognized at the amortized cost of the notes plus accrued interest. The status of the U.S. Treasury investments (in millions) at December 31 is: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60" w:type="dxa"/>
            <w:vAlign w:val="bottom"/>
          </w:tcPr>
          <w:p>
            <w:pPr>
              <w:spacing w:after="0"/>
              <w:rPr>
                <w:sz w:val="14"/>
                <w:szCs w:val="14"/>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2006</w:t>
            </w:r>
          </w:p>
        </w:tc>
        <w:tc>
          <w:tcPr>
            <w:tcW w:w="560" w:type="dxa"/>
            <w:vAlign w:val="bottom"/>
          </w:tcPr>
          <w:p>
            <w:pPr>
              <w:spacing w:after="0"/>
              <w:rPr>
                <w:sz w:val="14"/>
                <w:szCs w:val="14"/>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2007</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Recognized amount</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$55.6</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$70.6</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Fair value</w:t>
            </w:r>
          </w:p>
        </w:tc>
        <w:tc>
          <w:tcPr>
            <w:tcW w:w="1000" w:type="dxa"/>
            <w:vAlign w:val="bottom"/>
          </w:tcPr>
          <w:p>
            <w:pPr>
              <w:jc w:val="right"/>
              <w:ind w:right="254"/>
              <w:spacing w:after="0"/>
              <w:rPr>
                <w:sz w:val="20"/>
                <w:szCs w:val="20"/>
                <w:color w:val="auto"/>
              </w:rPr>
            </w:pPr>
            <w:r>
              <w:rPr>
                <w:rFonts w:ascii="Arial" w:cs="Arial" w:eastAsia="Arial" w:hAnsi="Arial"/>
                <w:sz w:val="18"/>
                <w:szCs w:val="18"/>
                <w:color w:val="auto"/>
              </w:rPr>
              <w:t>$55.8</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$72.5</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Face amount</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$55.0</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$70.0</w:t>
            </w:r>
          </w:p>
        </w:tc>
      </w:tr>
    </w:tbl>
    <w:p>
      <w:pPr>
        <w:spacing w:after="0" w:line="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Investments accounted for under the cost method total $25.3 million at December 31, 2006, and $31.5 million at December 31, 2007. Our remaining investments aggregate $.9 million at December 31, 2006, and $.2 million at December 31, 2007.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had outstanding commitments to fund additional investments totaling $29.1 million at December 31,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6 — PROPERTY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(in millions) at December 31 consists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communications software and equipment</w:t>
            </w: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222.3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270.0</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Land owned and leased</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21.5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7"/>
        </w:trPr>
        <w:tc>
          <w:tcPr>
            <w:tcW w:w="6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528.1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263.2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281.7</w:t>
            </w:r>
          </w:p>
        </w:tc>
      </w:tr>
      <w:tr>
        <w:trPr>
          <w:trHeight w:val="27"/>
        </w:trPr>
        <w:tc>
          <w:tcPr>
            <w:tcW w:w="6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w:t>
            </w:r>
          </w:p>
        </w:tc>
      </w:tr>
      <w:tr>
        <w:trPr>
          <w:trHeight w:val="20"/>
        </w:trPr>
        <w:tc>
          <w:tcPr>
            <w:tcW w:w="6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$6.2 million in 2005, $7.7 million in 2006, and $8.9 million in 2007 have been capitalized.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7 — ACQUISITIONS OF INTANGIBLE ASSETS.</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2006, we acquired customer relationships and assets under management of $.1 billion in separate accounts and $.8 billion in mutual fund accounts from two fund groups that merged into twelve of our sponsored mutual funds. We paid $4.1 million as part of these three transactions and recognized intangible assets that are being amortized on a straight-line basis over 2.5 years for the acquired separate account customer relationships and over 8 years for the acquired mutual fund customer relationships.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NOTE 8 —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(in millions) consists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2005</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U.S. federal and foreign</w:t>
            </w:r>
          </w:p>
        </w:tc>
        <w:tc>
          <w:tcPr>
            <w:tcW w:w="3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228.1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301.9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368.6</w:t>
            </w: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Deferred income tax benefits</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27"/>
        </w:trPr>
        <w:tc>
          <w:tcPr>
            <w:tcW w:w="50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328.7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w:t>
            </w:r>
          </w:p>
        </w:tc>
      </w:tr>
      <w:tr>
        <w:trPr>
          <w:trHeight w:val="20"/>
        </w:trPr>
        <w:tc>
          <w:tcPr>
            <w:tcW w:w="50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accounting policy with respect to interest and penalties arising from income tax settlements is to recognize them as part of our provision for income taxes.</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Deferred income taxes arise from temporary differences between taxable income for financial statement and income tax return purposes. Significant temporary differences in 2005 include deferred tax benefits of $5.3 million related to property and equipment offset by deferred taxes of $1.5 million related to accrued compensation. Deferred benefits in 2005 also include $3.8 million arising from foreign net operating loss carryforwards, including $2.4 million from 2005 operations and $1.4 million from the reversal of a previously provided valuation allowance on prior year losses. During 2005, we developed a tax-planning strategy that made it more likely than not that we would be able to realize a substantial portion of this deferred tax benefit.</w:t>
      </w:r>
    </w:p>
    <w:p>
      <w:pPr>
        <w:spacing w:after="0" w:line="6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Deferred tax benefits include $17.8 million in 2006 and $24.9 million in 2007 resulting from stock option-based compensation expense recognized in our operating results in accordance with SFAS 123R. Partially offsetting the deferred tax benefits in 2007 were deferred taxes of $8.1 million from the reversal of temporary differences related to property and equipment and the use of foreign net operating loss carryforwards.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recognized in our balance sheet in other assets includes the following (in millions)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Arising from net unrealized holding gains</w:t>
            </w:r>
          </w:p>
        </w:tc>
        <w:tc>
          <w:tcPr>
            <w:tcW w:w="2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(37.5)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(41.3)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(56.7)</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Related to stock-based compensation</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to investment income</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Related to property and equipment</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to accrued compensation</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Foreign net operating loss carryforwards that do not expire</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Cash outflows from operating activities include income taxes paid of $188.0 million in 2005, $272.8 million in 2006, and $329.6 million in 2007.</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flows from operating activities include income tax benefits of $52.3 million in 2005, $66.8 million in 2006, and $96.9 million in 2007 arising from stock option exercises and the vesting of stock-based grants that reduced the amount of income taxes that would have otherwise been payable. As a result of the adoption of SFAS 123R and our election to use the alternative transition method to account for tax benefits recognized in additional paid-in capital, operating cash outflows from payables and accrued liabilities and financing cash inflows from common share issuances under stock-based compensation plans include tax benefits of $65.7 million in 2006 and $94.9 million in 2007. These tax benefits have been recognized in stockholders’ equity as additional capital in excess of par value.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the effective income tax rate.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2005</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2006</w:t>
            </w:r>
          </w:p>
        </w:tc>
        <w:tc>
          <w:tcPr>
            <w:tcW w:w="3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2007</w:t>
            </w:r>
          </w:p>
        </w:tc>
        <w:tc>
          <w:tcPr>
            <w:tcW w:w="340" w:type="dxa"/>
            <w:vAlign w:val="bottom"/>
            <w:tcBorders>
              <w:bottom w:val="single" w:sz="8" w:color="auto"/>
            </w:tcBorders>
          </w:tcPr>
          <w:p>
            <w:pPr>
              <w:spacing w:after="0"/>
              <w:rPr>
                <w:sz w:val="14"/>
                <w:szCs w:val="14"/>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158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35.0%</w:t>
            </w:r>
          </w:p>
        </w:tc>
        <w:tc>
          <w:tcPr>
            <w:tcW w:w="156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35.0%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State income taxes for current year, net of federal income tax benefits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580" w:type="dxa"/>
            <w:vAlign w:val="bottom"/>
            <w:gridSpan w:val="4"/>
          </w:tcPr>
          <w:p>
            <w:pPr>
              <w:jc w:val="right"/>
              <w:ind w:right="250"/>
              <w:spacing w:after="0"/>
              <w:rPr>
                <w:sz w:val="20"/>
                <w:szCs w:val="20"/>
                <w:color w:val="auto"/>
              </w:rPr>
            </w:pPr>
            <w:r>
              <w:rPr>
                <w:rFonts w:ascii="Arial" w:cs="Arial" w:eastAsia="Arial" w:hAnsi="Arial"/>
                <w:sz w:val="18"/>
                <w:szCs w:val="18"/>
                <w:color w:val="auto"/>
              </w:rPr>
              <w:t>2.7</w:t>
            </w:r>
          </w:p>
        </w:tc>
        <w:tc>
          <w:tcPr>
            <w:tcW w:w="1560" w:type="dxa"/>
            <w:vAlign w:val="bottom"/>
            <w:gridSpan w:val="4"/>
          </w:tcPr>
          <w:p>
            <w:pPr>
              <w:jc w:val="right"/>
              <w:ind w:right="250"/>
              <w:spacing w:after="0"/>
              <w:rPr>
                <w:sz w:val="20"/>
                <w:szCs w:val="20"/>
                <w:color w:val="auto"/>
              </w:rPr>
            </w:pPr>
            <w:r>
              <w:rPr>
                <w:rFonts w:ascii="Arial" w:cs="Arial" w:eastAsia="Arial" w:hAnsi="Arial"/>
                <w:sz w:val="18"/>
                <w:szCs w:val="18"/>
                <w:color w:val="auto"/>
              </w:rPr>
              <w:t>3.0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58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rPr>
              <w:t>.6</w:t>
            </w:r>
          </w:p>
        </w:tc>
        <w:tc>
          <w:tcPr>
            <w:tcW w:w="156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34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36.6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w:t>
            </w:r>
          </w:p>
        </w:tc>
        <w:tc>
          <w:tcPr>
            <w:tcW w:w="92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38.3</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90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37.7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r>
      <w:tr>
        <w:trPr>
          <w:trHeight w:val="20"/>
        </w:trPr>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adoption of FASB Interpretation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on January 1, 2007, did not affect our financial position.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The following table reconciles our unrecognized tax benefits (in millions) during the year:</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Balance at adoption on January 1, 2007</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Additions for tax positions related to</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2006 and prior years</w:t>
            </w:r>
          </w:p>
        </w:tc>
        <w:tc>
          <w:tcPr>
            <w:tcW w:w="2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recognized, this amount would affect our effective tax rate; however, we do not expect that unrecognized tax benefits for tax positions taken with respect to 2007 and prior years will significantly change in 2008. Our United States federal tax obligations have been settled through the year 2000. Net interest recoverable recognized in our balance sheets was $1.8 million at December 31, 2006, and $3.1 million at December 31, 2007. Interest recognized as part of our provision for income taxes was not material in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 AND STOCK-BASED COMPENSATION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REPURCHASE AUTHORIZATION.</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2007, the Board of Directors has authorized the future repurchase of up to 12,627,467 common shares. At December 31, 2007, accounts payable and accrued expenses includes $8.6 million representing the unsettled liability for common stock repurchases.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declared per share were $.485 in 2005, $.59 in 2006, and $.75 in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AUTHORIZED FOR STOCK-BASED COMPENSATION PROGRAMS.</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At December 31, 2007, 62,792,227 shares of unissued common stock were reserved for issuance under our stock-based compensation plans. Additionally, 3,360,000 shares are reserved for issuance under a plan whereby substantially all employees may acquire common stock through payroll deductions at prevailing market prices. We believe that our stock-based compensation programs align the interests of our employees and directors with those of our common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ind w:left="240"/>
              <w:spacing w:after="0" w:line="149" w:lineRule="exact"/>
              <w:rPr>
                <w:sz w:val="20"/>
                <w:szCs w:val="20"/>
                <w:color w:val="auto"/>
              </w:rPr>
            </w:pPr>
            <w:r>
              <w:rPr>
                <w:rFonts w:ascii="Arial" w:cs="Arial" w:eastAsia="Arial" w:hAnsi="Arial"/>
                <w:sz w:val="14"/>
                <w:szCs w:val="14"/>
                <w:color w:val="auto"/>
              </w:rPr>
              <w:t>Weighted-</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contractual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exercise</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term (in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color w:val="auto"/>
              </w:rPr>
              <w:t>Options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price</w:t>
            </w:r>
          </w:p>
        </w:tc>
        <w:tc>
          <w:tcPr>
            <w:tcW w:w="5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2007</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43,770,758</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$25.97</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Annual grants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5,202,000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$50.02</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New hire grants</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111,000</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$52.68</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Reload grants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1,363,082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$53.74</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(8,814,196)</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$20.15</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Forfeited or cancelled</w:t>
            </w:r>
          </w:p>
        </w:tc>
        <w:tc>
          <w:tcPr>
            <w:tcW w:w="30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(602,469)</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$33.15</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2007</w:t>
            </w:r>
          </w:p>
        </w:tc>
        <w:tc>
          <w:tcPr>
            <w:tcW w:w="3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41,030,175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$31.16</w:t>
            </w:r>
          </w:p>
        </w:tc>
        <w:tc>
          <w:tcPr>
            <w:tcW w:w="14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7"/>
              </w:rPr>
              <w:t>6.2</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Exercisable at end of 2007</w:t>
            </w:r>
          </w:p>
        </w:tc>
        <w:tc>
          <w:tcPr>
            <w:tcW w:w="1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vMerge w:val="restart"/>
          </w:tcPr>
          <w:p>
            <w:pPr>
              <w:ind w:left="760"/>
              <w:spacing w:after="0"/>
              <w:rPr>
                <w:sz w:val="20"/>
                <w:szCs w:val="20"/>
                <w:color w:val="auto"/>
              </w:rPr>
            </w:pPr>
            <w:r>
              <w:rPr>
                <w:rFonts w:ascii="Arial" w:cs="Arial" w:eastAsia="Arial" w:hAnsi="Arial"/>
                <w:sz w:val="18"/>
                <w:szCs w:val="18"/>
                <w:color w:val="auto"/>
              </w:rPr>
              <w:t>$24.59</w:t>
            </w:r>
          </w:p>
        </w:tc>
        <w:tc>
          <w:tcPr>
            <w:tcW w:w="1420" w:type="dxa"/>
            <w:vAlign w:val="bottom"/>
            <w:gridSpan w:val="2"/>
            <w:vMerge w:val="restart"/>
          </w:tcPr>
          <w:p>
            <w:pPr>
              <w:jc w:val="center"/>
              <w:ind w:left="430"/>
              <w:spacing w:after="0"/>
              <w:rPr>
                <w:sz w:val="20"/>
                <w:szCs w:val="20"/>
                <w:color w:val="auto"/>
              </w:rPr>
            </w:pPr>
            <w:r>
              <w:rPr>
                <w:rFonts w:ascii="Arial" w:cs="Arial" w:eastAsia="Arial" w:hAnsi="Arial"/>
                <w:sz w:val="18"/>
                <w:szCs w:val="18"/>
                <w:color w:val="auto"/>
                <w:w w:val="87"/>
              </w:rPr>
              <w:t>4.7</w:t>
            </w: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24,287,935</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total intrinsic value of options exercised was $165.4 million in 2005, $213.1 million in 2006, and $300.1 million in 2007. At December 31, 2007, the aggregate intrinsic value of options outstanding was $1.2 billion and of options exercisable was $.9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Restricted</w:t>
            </w: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8"/>
              </w:rPr>
              <w:t>Restricted</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stock</w:t>
            </w:r>
          </w:p>
        </w:tc>
        <w:tc>
          <w:tcPr>
            <w:tcW w:w="500" w:type="dxa"/>
            <w:vAlign w:val="bottom"/>
          </w:tcPr>
          <w:p>
            <w:pPr>
              <w:spacing w:after="0"/>
              <w:rPr>
                <w:sz w:val="12"/>
                <w:szCs w:val="12"/>
                <w:color w:val="auto"/>
              </w:rPr>
            </w:pPr>
          </w:p>
        </w:tc>
        <w:tc>
          <w:tcPr>
            <w:tcW w:w="1080" w:type="dxa"/>
            <w:vAlign w:val="bottom"/>
          </w:tcPr>
          <w:p>
            <w:pPr>
              <w:ind w:left="240"/>
              <w:spacing w:after="0" w:line="149" w:lineRule="exact"/>
              <w:rPr>
                <w:sz w:val="20"/>
                <w:szCs w:val="20"/>
                <w:color w:val="auto"/>
              </w:rPr>
            </w:pPr>
            <w:r>
              <w:rPr>
                <w:rFonts w:ascii="Arial" w:cs="Arial" w:eastAsia="Arial" w:hAnsi="Arial"/>
                <w:sz w:val="14"/>
                <w:szCs w:val="14"/>
                <w:color w:val="auto"/>
              </w:rPr>
              <w:t>grant-date</w:t>
            </w:r>
          </w:p>
        </w:tc>
        <w:tc>
          <w:tcPr>
            <w:tcW w:w="0" w:type="dxa"/>
            <w:vAlign w:val="bottom"/>
          </w:tcPr>
          <w:p>
            <w:pPr>
              <w:spacing w:after="0"/>
              <w:rPr>
                <w:sz w:val="1"/>
                <w:szCs w:val="1"/>
                <w:color w:val="auto"/>
              </w:rPr>
            </w:pPr>
          </w:p>
        </w:tc>
      </w:tr>
      <w:tr>
        <w:trPr>
          <w:trHeight w:val="167"/>
        </w:trPr>
        <w:tc>
          <w:tcPr>
            <w:tcW w:w="43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shares</w:t>
            </w: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4"/>
              </w:rPr>
              <w:t>units</w:t>
            </w:r>
          </w:p>
        </w:tc>
        <w:tc>
          <w:tcPr>
            <w:tcW w:w="5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fair value</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2007</w:t>
            </w:r>
          </w:p>
        </w:tc>
        <w:tc>
          <w:tcPr>
            <w:tcW w:w="37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104,500</w:t>
            </w:r>
          </w:p>
        </w:tc>
        <w:tc>
          <w:tcPr>
            <w:tcW w:w="17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36,000</w:t>
            </w: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Granted to employees</w:t>
            </w:r>
          </w:p>
        </w:tc>
        <w:tc>
          <w:tcPr>
            <w:tcW w:w="3780" w:type="dxa"/>
            <w:vAlign w:val="bottom"/>
            <w:gridSpan w:val="4"/>
          </w:tcPr>
          <w:p>
            <w:pPr>
              <w:jc w:val="right"/>
              <w:ind w:right="300"/>
              <w:spacing w:after="0"/>
              <w:rPr>
                <w:sz w:val="20"/>
                <w:szCs w:val="20"/>
                <w:color w:val="auto"/>
              </w:rPr>
            </w:pPr>
            <w:r>
              <w:rPr>
                <w:rFonts w:ascii="Arial" w:cs="Arial" w:eastAsia="Arial" w:hAnsi="Arial"/>
                <w:sz w:val="18"/>
                <w:szCs w:val="18"/>
                <w:color w:val="auto"/>
              </w:rPr>
              <w:t>284,650</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133,050</w:t>
            </w:r>
          </w:p>
        </w:tc>
        <w:tc>
          <w:tcPr>
            <w:tcW w:w="320" w:type="dxa"/>
            <w:vAlign w:val="bottom"/>
          </w:tcPr>
          <w:p>
            <w:pPr>
              <w:spacing w:after="0"/>
              <w:rPr>
                <w:sz w:val="18"/>
                <w:szCs w:val="18"/>
                <w:color w:val="auto"/>
              </w:rPr>
            </w:pP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$50.53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Granted to directors</w:t>
            </w:r>
          </w:p>
        </w:tc>
        <w:tc>
          <w:tcPr>
            <w:tcW w:w="37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4,800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$55.69</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Vested (value at vest date was $6.4 million)</w:t>
            </w:r>
          </w:p>
        </w:tc>
        <w:tc>
          <w:tcPr>
            <w:tcW w:w="3780" w:type="dxa"/>
            <w:vAlign w:val="bottom"/>
            <w:gridSpan w:val="4"/>
          </w:tcPr>
          <w:p>
            <w:pPr>
              <w:jc w:val="right"/>
              <w:ind w:right="240"/>
              <w:spacing w:after="0"/>
              <w:rPr>
                <w:sz w:val="20"/>
                <w:szCs w:val="20"/>
                <w:color w:val="auto"/>
              </w:rPr>
            </w:pPr>
            <w:r>
              <w:rPr>
                <w:rFonts w:ascii="Arial" w:cs="Arial" w:eastAsia="Arial" w:hAnsi="Arial"/>
                <w:sz w:val="18"/>
                <w:szCs w:val="18"/>
                <w:color w:val="auto"/>
              </w:rPr>
              <w:t>(67,000)</w:t>
            </w:r>
          </w:p>
        </w:tc>
        <w:tc>
          <w:tcPr>
            <w:tcW w:w="1720" w:type="dxa"/>
            <w:vAlign w:val="bottom"/>
            <w:gridSpan w:val="4"/>
          </w:tcPr>
          <w:p>
            <w:pPr>
              <w:jc w:val="right"/>
              <w:ind w:right="260"/>
              <w:spacing w:after="0"/>
              <w:rPr>
                <w:sz w:val="20"/>
                <w:szCs w:val="20"/>
                <w:color w:val="auto"/>
              </w:rPr>
            </w:pPr>
            <w:r>
              <w:rPr>
                <w:rFonts w:ascii="Arial" w:cs="Arial" w:eastAsia="Arial" w:hAnsi="Arial"/>
                <w:sz w:val="18"/>
                <w:szCs w:val="18"/>
                <w:color w:val="auto"/>
              </w:rPr>
              <w:t>(36,022)</w:t>
            </w: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7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(7,650)</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Nonvested at end of 2007</w:t>
            </w:r>
          </w:p>
        </w:tc>
        <w:tc>
          <w:tcPr>
            <w:tcW w:w="288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319,300</w:t>
            </w:r>
          </w:p>
        </w:tc>
        <w:tc>
          <w:tcPr>
            <w:tcW w:w="30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140,250</w:t>
            </w:r>
          </w:p>
        </w:tc>
        <w:tc>
          <w:tcPr>
            <w:tcW w:w="320" w:type="dxa"/>
            <w:vAlign w:val="bottom"/>
          </w:tcPr>
          <w:p>
            <w:pPr>
              <w:spacing w:after="0"/>
              <w:rPr>
                <w:sz w:val="19"/>
                <w:szCs w:val="19"/>
                <w:color w:val="auto"/>
              </w:rPr>
            </w:pP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560" w:type="dxa"/>
            <w:vAlign w:val="bottom"/>
            <w:vMerge w:val="restart"/>
          </w:tcPr>
          <w:p>
            <w:pPr>
              <w:jc w:val="right"/>
              <w:ind w:right="910"/>
              <w:spacing w:after="0"/>
              <w:rPr>
                <w:sz w:val="20"/>
                <w:szCs w:val="20"/>
                <w:color w:val="auto"/>
              </w:rPr>
            </w:pPr>
            <w:r>
              <w:rPr>
                <w:rFonts w:ascii="Arial" w:cs="Arial" w:eastAsia="Arial" w:hAnsi="Arial"/>
                <w:sz w:val="18"/>
                <w:szCs w:val="18"/>
                <w:color w:val="auto"/>
              </w:rPr>
              <w:t>- 32 -</w:t>
            </w: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4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FUTURE STOCK-BASED COMPENSATION EXPENSE.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presents the compensation expense (in millions) to be recognized over the separate vesting periods of the 16,742,240 nonvested options and 459,550 restricted shares and restricted stock units outstanding at December 31, 2007.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2008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Second quarter 2008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2008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Fourth quarter 2008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2009 through 2012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NOTE 10 — OTHER COMPREHENSIVE INCOME.</w:t>
            </w: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40" w:type="dxa"/>
            <w:vAlign w:val="bottom"/>
            <w:gridSpan w:val="9"/>
          </w:tcPr>
          <w:p>
            <w:pPr>
              <w:spacing w:after="0"/>
              <w:rPr>
                <w:sz w:val="20"/>
                <w:szCs w:val="20"/>
                <w:color w:val="auto"/>
              </w:rPr>
            </w:pPr>
            <w:r>
              <w:rPr>
                <w:rFonts w:ascii="Arial" w:cs="Arial" w:eastAsia="Arial" w:hAnsi="Arial"/>
                <w:sz w:val="18"/>
                <w:szCs w:val="18"/>
                <w:color w:val="auto"/>
              </w:rPr>
              <w:t>The following table reconciles our unrealized holding gains and losses (in millions) to that recognized in other comprehensive income.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2005</w:t>
            </w:r>
          </w:p>
        </w:tc>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on our investments in sponsored mutual funds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38.0</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w w:val="96"/>
              </w:rPr>
              <w:t>Less gains on mutual fund investments realized in other investment income, using average cost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Unrealized holding gains (losses)on debt securities held by our savings bank subsidiary</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recognized in other comprehensive income</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20.8</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80" w:type="dxa"/>
            <w:vAlign w:val="bottom"/>
            <w:gridSpan w:val="6"/>
          </w:tcPr>
          <w:p>
            <w:pPr>
              <w:spacing w:after="0"/>
              <w:rPr>
                <w:sz w:val="20"/>
                <w:szCs w:val="20"/>
                <w:color w:val="auto"/>
              </w:rPr>
            </w:pPr>
            <w:r>
              <w:rPr>
                <w:rFonts w:ascii="Arial" w:cs="Arial" w:eastAsia="Arial" w:hAnsi="Arial"/>
                <w:sz w:val="18"/>
                <w:szCs w:val="18"/>
                <w:color w:val="auto"/>
                <w:w w:val="97"/>
              </w:rPr>
              <w:t>The components of accumulated other comprehensive income (in millions) at December 31, 2007, are presented below.</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on</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securities held by savings bank subsidiary</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11 — OTHER DISCLOSURES.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occupy certain office facilities and rent computer and other equipment under noncancelable operating leases. Related rental expense was $23.5 million in 2005, $24.1 million in 2006, and $25.6 million in 2007. Future minimum payments under these leases aggregate $27.1 million in 2008, $24.3 million in 2009, $23.0 million in 2010 and in 2011, $21.5 million in 2012, and $104.7 million in later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2006, we voluntarily terminated our $300 million bank-syndicated credit facility.</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consolidated stockholders’ equity at December 31, 2007, includes $64 million that is restricted as to use by various regulations and agreements arising in the ordinary course of our business.</w:t>
      </w:r>
    </w:p>
    <w:p>
      <w:pPr>
        <w:spacing w:after="0" w:line="6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7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Compensation expense recognized for our defined contribution retirement plans was $35.7 million in 2005, $38.8 million in 2006, and $44.1 million in 2007.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NOTE 12 — SUPPLEMENTARY QUARTERLY FINANCIAL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Basic</w:t>
            </w:r>
          </w:p>
        </w:tc>
        <w:tc>
          <w:tcPr>
            <w:tcW w:w="540" w:type="dxa"/>
            <w:vAlign w:val="bottom"/>
          </w:tcPr>
          <w:p>
            <w:pPr>
              <w:spacing w:after="0"/>
              <w:rPr>
                <w:sz w:val="14"/>
                <w:szCs w:val="14"/>
                <w:color w:val="auto"/>
              </w:rPr>
            </w:pPr>
          </w:p>
        </w:tc>
        <w:tc>
          <w:tcPr>
            <w:tcW w:w="900" w:type="dxa"/>
            <w:vAlign w:val="bottom"/>
          </w:tcPr>
          <w:p>
            <w:pPr>
              <w:ind w:left="240"/>
              <w:spacing w:after="0"/>
              <w:rPr>
                <w:sz w:val="20"/>
                <w:szCs w:val="20"/>
                <w:color w:val="auto"/>
              </w:rPr>
            </w:pPr>
            <w:r>
              <w:rPr>
                <w:rFonts w:ascii="Arial" w:cs="Arial" w:eastAsia="Arial" w:hAnsi="Arial"/>
                <w:sz w:val="14"/>
                <w:szCs w:val="14"/>
                <w:color w:val="auto"/>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9"/>
              </w:rPr>
              <w:t>earnings</w:t>
            </w: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6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Net</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Net</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per</w:t>
            </w: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per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revenues</w:t>
            </w:r>
          </w:p>
        </w:tc>
        <w:tc>
          <w:tcPr>
            <w:tcW w:w="1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income</w:t>
            </w:r>
          </w:p>
        </w:tc>
        <w:tc>
          <w:tcPr>
            <w:tcW w:w="5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60" w:type="dxa"/>
            <w:vAlign w:val="bottom"/>
            <w:gridSpan w:val="3"/>
          </w:tcPr>
          <w:p>
            <w:pPr>
              <w:jc w:val="right"/>
              <w:ind w:right="888"/>
              <w:spacing w:after="0" w:line="142" w:lineRule="exact"/>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2006</w:t>
            </w:r>
          </w:p>
        </w:tc>
        <w:tc>
          <w:tcPr>
            <w:tcW w:w="5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1st quarter</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$429.3</w:t>
            </w:r>
          </w:p>
        </w:tc>
        <w:tc>
          <w:tcPr>
            <w:tcW w:w="1760" w:type="dxa"/>
            <w:vAlign w:val="bottom"/>
            <w:gridSpan w:val="3"/>
          </w:tcPr>
          <w:p>
            <w:pPr>
              <w:jc w:val="right"/>
              <w:ind w:right="248"/>
              <w:spacing w:after="0"/>
              <w:rPr>
                <w:sz w:val="20"/>
                <w:szCs w:val="20"/>
                <w:color w:val="auto"/>
              </w:rPr>
            </w:pPr>
            <w:r>
              <w:rPr>
                <w:rFonts w:ascii="Arial" w:cs="Arial" w:eastAsia="Arial" w:hAnsi="Arial"/>
                <w:sz w:val="18"/>
                <w:szCs w:val="18"/>
                <w:color w:val="auto"/>
              </w:rPr>
              <w:t>$116.7</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$.44</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$446.0</w:t>
            </w:r>
          </w:p>
        </w:tc>
        <w:tc>
          <w:tcPr>
            <w:tcW w:w="17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$135.7</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$.51</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3rd quarter</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$450.6</w:t>
            </w:r>
          </w:p>
        </w:tc>
        <w:tc>
          <w:tcPr>
            <w:tcW w:w="1760" w:type="dxa"/>
            <w:vAlign w:val="bottom"/>
            <w:gridSpan w:val="3"/>
          </w:tcPr>
          <w:p>
            <w:pPr>
              <w:jc w:val="right"/>
              <w:ind w:right="248"/>
              <w:spacing w:after="0"/>
              <w:rPr>
                <w:sz w:val="20"/>
                <w:szCs w:val="20"/>
                <w:color w:val="auto"/>
              </w:rPr>
            </w:pPr>
            <w:r>
              <w:rPr>
                <w:rFonts w:ascii="Arial" w:cs="Arial" w:eastAsia="Arial" w:hAnsi="Arial"/>
                <w:sz w:val="18"/>
                <w:szCs w:val="18"/>
                <w:color w:val="auto"/>
              </w:rPr>
              <w:t>$128.3</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$.49</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$489.1</w:t>
            </w:r>
          </w:p>
        </w:tc>
        <w:tc>
          <w:tcPr>
            <w:tcW w:w="17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$148.9</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$.56</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92"/>
        </w:trPr>
        <w:tc>
          <w:tcPr>
            <w:tcW w:w="580" w:type="dxa"/>
            <w:vAlign w:val="bottom"/>
            <w:gridSpan w:val="3"/>
          </w:tcPr>
          <w:p>
            <w:pPr>
              <w:jc w:val="right"/>
              <w:spacing w:after="0"/>
              <w:rPr>
                <w:sz w:val="20"/>
                <w:szCs w:val="20"/>
                <w:color w:val="auto"/>
              </w:rPr>
            </w:pPr>
            <w:r>
              <w:rPr>
                <w:rFonts w:ascii="Arial" w:cs="Arial" w:eastAsia="Arial" w:hAnsi="Arial"/>
                <w:sz w:val="18"/>
                <w:szCs w:val="18"/>
                <w:color w:val="auto"/>
              </w:rPr>
              <w:t>2007</w:t>
            </w:r>
          </w:p>
        </w:tc>
        <w:tc>
          <w:tcPr>
            <w:tcW w:w="5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1st quarter</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$508.4</w:t>
            </w:r>
          </w:p>
        </w:tc>
        <w:tc>
          <w:tcPr>
            <w:tcW w:w="17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$142.9</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$.54</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2nd quarter</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$551.1</w:t>
            </w:r>
          </w:p>
        </w:tc>
        <w:tc>
          <w:tcPr>
            <w:tcW w:w="1760" w:type="dxa"/>
            <w:vAlign w:val="bottom"/>
            <w:gridSpan w:val="3"/>
          </w:tcPr>
          <w:p>
            <w:pPr>
              <w:jc w:val="right"/>
              <w:ind w:right="248"/>
              <w:spacing w:after="0"/>
              <w:rPr>
                <w:sz w:val="20"/>
                <w:szCs w:val="20"/>
                <w:color w:val="auto"/>
              </w:rPr>
            </w:pPr>
            <w:r>
              <w:rPr>
                <w:rFonts w:ascii="Arial" w:cs="Arial" w:eastAsia="Arial" w:hAnsi="Arial"/>
                <w:sz w:val="18"/>
                <w:szCs w:val="18"/>
                <w:color w:val="auto"/>
              </w:rPr>
              <w:t>$162.2</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$.61</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3rd quarter</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$571.0</w:t>
            </w:r>
          </w:p>
        </w:tc>
        <w:tc>
          <w:tcPr>
            <w:tcW w:w="17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$174.8</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$.66</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4th quarter</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$597.8</w:t>
            </w:r>
          </w:p>
        </w:tc>
        <w:tc>
          <w:tcPr>
            <w:tcW w:w="1760" w:type="dxa"/>
            <w:vAlign w:val="bottom"/>
            <w:gridSpan w:val="3"/>
          </w:tcPr>
          <w:p>
            <w:pPr>
              <w:jc w:val="right"/>
              <w:ind w:right="248"/>
              <w:spacing w:after="0"/>
              <w:rPr>
                <w:sz w:val="20"/>
                <w:szCs w:val="20"/>
                <w:color w:val="auto"/>
              </w:rPr>
            </w:pPr>
            <w:r>
              <w:rPr>
                <w:rFonts w:ascii="Arial" w:cs="Arial" w:eastAsia="Arial" w:hAnsi="Arial"/>
                <w:sz w:val="18"/>
                <w:szCs w:val="18"/>
                <w:color w:val="auto"/>
              </w:rPr>
              <w:t>$190.7</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$.72</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5520" w:right="1940" w:hanging="5510"/>
        <w:spacing w:after="0" w:line="496" w:lineRule="auto"/>
        <w:rPr>
          <w:sz w:val="20"/>
          <w:szCs w:val="20"/>
          <w:color w:val="auto"/>
        </w:rPr>
      </w:pPr>
      <w:r>
        <w:rPr>
          <w:rFonts w:ascii="Arial" w:cs="Arial" w:eastAsia="Arial" w:hAnsi="Arial"/>
          <w:sz w:val="18"/>
          <w:szCs w:val="18"/>
          <w:color w:val="auto"/>
        </w:rPr>
        <w:t>The sum of quarterly earnings per share may not equal annual earnings per share because the computations are done independently. - 34 -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have audited the accompanying consolidated balance sheets of T. Rowe Price Group, Inc. and subsidiaries (“the Company”) as of December 31, 2007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2006, and the related consolidated statements of income, stockholders’ equity, and cash flows for each of the years in the three-year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2007. These consolidated financial statements are the responsibility of the Company’s management. Our responsibility is to express an opinion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these consolidated financial statements based on our audits.</w:t>
      </w:r>
    </w:p>
    <w:p>
      <w:pPr>
        <w:spacing w:after="0" w:line="1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 Rowe Price Group, Inc. and subsidiaries as of December 31, 2007 and 2006, and the results of their operations and their cash flows for each of the years in the three-year period ended December 31, 2007, in conformity with U.S. generally accepted accounting principles.</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As discussed in the summary of significant accounting policies accompanying the consolidated financial statements, effective January 1, 2006, the Company changed its method of accounting for stock-based compensation with the adoption of Statement of Financial Accounting Standards No. 123R,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w:t>
      </w:r>
      <w:r>
        <w:rPr>
          <w:rFonts w:ascii="Arial" w:cs="Arial" w:eastAsia="Arial" w:hAnsi="Arial"/>
          <w:sz w:val="18"/>
          <w:szCs w:val="18"/>
          <w:color w:val="auto"/>
        </w:rPr>
        <w:t>.</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Company’s internal control over financial reporting as of December 31, 2007,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February 6, 2008,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6, 2008</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December 31, 2007. Based on that evaluation, our principal executive and principal financial officers have concluded that our disclosure controls and procedures as of December 31, 2007,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2007, and has concluded that there was no change during the fourth quarter of 2007 that has materially affected, or is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Report of Management on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together with other members of management of T. Rowe Price Group,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7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Management has evaluated the effectiveness of internal control over financial reporting as of December 31, 2007, in relation to criteria described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w:t>
      </w:r>
      <w:r>
        <w:rPr>
          <w:rFonts w:ascii="Arial" w:cs="Arial" w:eastAsia="Arial" w:hAnsi="Arial"/>
          <w:sz w:val="17"/>
          <w:szCs w:val="17"/>
          <w:color w:val="auto"/>
        </w:rPr>
        <w:t>issued by the Committee of Sponsoring Organizations of the Treadway Commission (COSO). Based on management’s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we believe that the company’s internal control over financial reporting was effective as of December 31, 2007.</w:t>
      </w:r>
    </w:p>
    <w:p>
      <w:pPr>
        <w:spacing w:after="0" w:line="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February 6,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We have audited T. Rowe Price Group, Inc. and subsidiaries’ (“the Company”) internal control over financial reporting as of December 31, 2007,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6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In our opinion, T. Rowe Price Group, Inc. and subsidiaries maintained, in all material respects, effective internal control over financial reporting as of December 31, 2007,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 Rowe Price Group, Inc. and subsidiaries as of December 31, 2007 and 2006, and the related consolidated statements of income, stockholders’ equity, and cash flows for each of the years in the three-year period ended December 31, 2007, and our report dated February 6, 2008, expressed an unqualified opinion on those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6, 2008</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for the 2008 Annual Meeting of our stockholders.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Information required by these items is incorporated by reference from the definitive proxy statement required to be filed pursuant to Regulation 14A for the 2008 Annual Meeting of our stockholders.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17"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filed as Exhibits 10.06 through 10.21.</w:t>
      </w:r>
    </w:p>
    <w:p>
      <w:pPr>
        <w:spacing w:after="0" w:line="62" w:lineRule="exact"/>
        <w:rPr>
          <w:rFonts w:ascii="Arial" w:cs="Arial" w:eastAsia="Arial" w:hAnsi="Arial"/>
          <w:sz w:val="18"/>
          <w:szCs w:val="18"/>
          <w:color w:val="auto"/>
        </w:rPr>
      </w:pPr>
    </w:p>
    <w:p>
      <w:pPr>
        <w:ind w:left="1700" w:right="340" w:hanging="783"/>
        <w:spacing w:after="0" w:line="277" w:lineRule="auto"/>
        <w:rPr>
          <w:rFonts w:ascii="Arial" w:cs="Arial" w:eastAsia="Arial" w:hAnsi="Arial"/>
          <w:sz w:val="18"/>
          <w:szCs w:val="18"/>
          <w:color w:val="auto"/>
        </w:rPr>
      </w:pPr>
      <w:r>
        <w:rPr>
          <w:rFonts w:ascii="Arial" w:cs="Arial" w:eastAsia="Arial" w:hAnsi="Arial"/>
          <w:sz w:val="18"/>
          <w:szCs w:val="18"/>
          <w:color w:val="auto"/>
        </w:rPr>
        <w:t>3(i)Amended and Restated Charter of T. Rowe Price Group, Inc. as of March 9, 2001. (Incorporated by reference from Form 10-K for 2000; Accession No. 0001113169-01-000003.)</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ind w:left="920"/>
              <w:spacing w:after="0"/>
              <w:rPr>
                <w:sz w:val="20"/>
                <w:szCs w:val="20"/>
                <w:color w:val="auto"/>
              </w:rPr>
            </w:pPr>
            <w:r>
              <w:rPr>
                <w:rFonts w:ascii="Arial" w:cs="Arial" w:eastAsia="Arial" w:hAnsi="Arial"/>
                <w:sz w:val="18"/>
                <w:szCs w:val="18"/>
                <w:color w:val="auto"/>
              </w:rPr>
              <w:t>3(ii)</w:t>
            </w:r>
          </w:p>
        </w:tc>
        <w:tc>
          <w:tcPr>
            <w:tcW w:w="9840" w:type="dxa"/>
            <w:vAlign w:val="bottom"/>
          </w:tcPr>
          <w:p>
            <w:pPr>
              <w:ind w:left="120"/>
              <w:spacing w:after="0"/>
              <w:rPr>
                <w:sz w:val="20"/>
                <w:szCs w:val="20"/>
                <w:color w:val="auto"/>
              </w:rPr>
            </w:pPr>
            <w:r>
              <w:rPr>
                <w:rFonts w:ascii="Arial" w:cs="Arial" w:eastAsia="Arial" w:hAnsi="Arial"/>
                <w:sz w:val="18"/>
                <w:szCs w:val="18"/>
                <w:color w:val="auto"/>
                <w:w w:val="92"/>
              </w:rPr>
              <w:t>Amended and Restated By-Laws of T. Rowe Price Group, Inc. as of December 13, 2007. (Incorporated by reference from Form 8-K</w:t>
            </w:r>
          </w:p>
        </w:tc>
      </w:tr>
      <w:tr>
        <w:trPr>
          <w:trHeight w:val="230"/>
        </w:trPr>
        <w:tc>
          <w:tcPr>
            <w:tcW w:w="15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Current Report as of December 13, 2007; Accession No. 0000950133-07-005002.)</w:t>
            </w:r>
          </w:p>
        </w:tc>
      </w:tr>
      <w:tr>
        <w:trPr>
          <w:trHeight w:val="323"/>
        </w:trPr>
        <w:tc>
          <w:tcPr>
            <w:tcW w:w="1580" w:type="dxa"/>
            <w:vAlign w:val="bottom"/>
          </w:tcPr>
          <w:p>
            <w:pPr>
              <w:ind w:left="920"/>
              <w:spacing w:after="0"/>
              <w:rPr>
                <w:sz w:val="20"/>
                <w:szCs w:val="20"/>
                <w:color w:val="auto"/>
              </w:rPr>
            </w:pPr>
            <w:r>
              <w:rPr>
                <w:rFonts w:ascii="Arial" w:cs="Arial" w:eastAsia="Arial" w:hAnsi="Arial"/>
                <w:sz w:val="18"/>
                <w:szCs w:val="18"/>
                <w:color w:val="auto"/>
              </w:rPr>
              <w:t>10.01.1</w:t>
            </w:r>
          </w:p>
        </w:tc>
        <w:tc>
          <w:tcPr>
            <w:tcW w:w="9840" w:type="dxa"/>
            <w:vAlign w:val="bottom"/>
          </w:tcPr>
          <w:p>
            <w:pPr>
              <w:ind w:left="120"/>
              <w:spacing w:after="0"/>
              <w:rPr>
                <w:sz w:val="20"/>
                <w:szCs w:val="20"/>
                <w:color w:val="auto"/>
              </w:rPr>
            </w:pPr>
            <w:r>
              <w:rPr>
                <w:rFonts w:ascii="Arial" w:cs="Arial" w:eastAsia="Arial" w:hAnsi="Arial"/>
                <w:sz w:val="18"/>
                <w:szCs w:val="18"/>
                <w:color w:val="auto"/>
                <w:w w:val="93"/>
              </w:rPr>
              <w:t>Representative Investment Management Agreement with most of the T. Rowe Price mutual funds. (Incorporated by reference from</w:t>
            </w:r>
          </w:p>
        </w:tc>
      </w:tr>
      <w:tr>
        <w:trPr>
          <w:trHeight w:val="230"/>
        </w:trPr>
        <w:tc>
          <w:tcPr>
            <w:tcW w:w="15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Form 485BPOS; Accession No. 0000216907-05-000006.)</w:t>
            </w:r>
          </w:p>
        </w:tc>
      </w:tr>
      <w:tr>
        <w:trPr>
          <w:trHeight w:val="323"/>
        </w:trPr>
        <w:tc>
          <w:tcPr>
            <w:tcW w:w="1580" w:type="dxa"/>
            <w:vAlign w:val="bottom"/>
          </w:tcPr>
          <w:p>
            <w:pPr>
              <w:ind w:left="920"/>
              <w:spacing w:after="0"/>
              <w:rPr>
                <w:sz w:val="20"/>
                <w:szCs w:val="20"/>
                <w:color w:val="auto"/>
              </w:rPr>
            </w:pPr>
            <w:r>
              <w:rPr>
                <w:rFonts w:ascii="Arial" w:cs="Arial" w:eastAsia="Arial" w:hAnsi="Arial"/>
                <w:sz w:val="18"/>
                <w:szCs w:val="18"/>
                <w:color w:val="auto"/>
              </w:rPr>
              <w:t>10.01.2</w:t>
            </w:r>
          </w:p>
        </w:tc>
        <w:tc>
          <w:tcPr>
            <w:tcW w:w="9840" w:type="dxa"/>
            <w:vAlign w:val="bottom"/>
          </w:tcPr>
          <w:p>
            <w:pPr>
              <w:ind w:left="120"/>
              <w:spacing w:after="0"/>
              <w:rPr>
                <w:sz w:val="20"/>
                <w:szCs w:val="20"/>
                <w:color w:val="auto"/>
              </w:rPr>
            </w:pPr>
            <w:r>
              <w:rPr>
                <w:rFonts w:ascii="Arial" w:cs="Arial" w:eastAsia="Arial" w:hAnsi="Arial"/>
                <w:sz w:val="18"/>
                <w:szCs w:val="18"/>
                <w:color w:val="auto"/>
                <w:w w:val="94"/>
              </w:rPr>
              <w:t>Amendment to representative Investment Management Agreement with most of the T. Rowe Price mutual funds. (Incorporated by</w:t>
            </w:r>
          </w:p>
        </w:tc>
      </w:tr>
      <w:tr>
        <w:trPr>
          <w:trHeight w:val="230"/>
        </w:trPr>
        <w:tc>
          <w:tcPr>
            <w:tcW w:w="15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reference from Form 485BPOS; Accession No. 0001267862-05-000006.)</w:t>
            </w:r>
          </w:p>
        </w:tc>
      </w:tr>
      <w:tr>
        <w:trPr>
          <w:trHeight w:val="323"/>
        </w:trPr>
        <w:tc>
          <w:tcPr>
            <w:tcW w:w="1580" w:type="dxa"/>
            <w:vAlign w:val="bottom"/>
          </w:tcPr>
          <w:p>
            <w:pPr>
              <w:ind w:left="920"/>
              <w:spacing w:after="0"/>
              <w:rPr>
                <w:sz w:val="20"/>
                <w:szCs w:val="20"/>
                <w:color w:val="auto"/>
              </w:rPr>
            </w:pPr>
            <w:r>
              <w:rPr>
                <w:rFonts w:ascii="Arial" w:cs="Arial" w:eastAsia="Arial" w:hAnsi="Arial"/>
                <w:sz w:val="18"/>
                <w:szCs w:val="18"/>
                <w:color w:val="auto"/>
              </w:rPr>
              <w:t>10.02</w:t>
            </w:r>
          </w:p>
        </w:tc>
        <w:tc>
          <w:tcPr>
            <w:tcW w:w="9840" w:type="dxa"/>
            <w:vAlign w:val="bottom"/>
          </w:tcPr>
          <w:p>
            <w:pPr>
              <w:ind w:left="120"/>
              <w:spacing w:after="0"/>
              <w:rPr>
                <w:sz w:val="20"/>
                <w:szCs w:val="20"/>
                <w:color w:val="auto"/>
              </w:rPr>
            </w:pPr>
            <w:r>
              <w:rPr>
                <w:rFonts w:ascii="Arial" w:cs="Arial" w:eastAsia="Arial" w:hAnsi="Arial"/>
                <w:sz w:val="18"/>
                <w:szCs w:val="18"/>
                <w:color w:val="auto"/>
                <w:w w:val="97"/>
              </w:rPr>
              <w:t>Representative Underwriting Agreement between a T. Rowe Price mutual funds and T. Rowe Price Investment Services, Inc.</w:t>
            </w:r>
          </w:p>
        </w:tc>
      </w:tr>
      <w:tr>
        <w:trPr>
          <w:trHeight w:val="230"/>
        </w:trPr>
        <w:tc>
          <w:tcPr>
            <w:tcW w:w="15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(Incorporated by reference from Form N-1A/A; Accession No. 0001368135-06-000014.)</w:t>
            </w:r>
          </w:p>
        </w:tc>
      </w:tr>
      <w:tr>
        <w:trPr>
          <w:trHeight w:val="323"/>
        </w:trPr>
        <w:tc>
          <w:tcPr>
            <w:tcW w:w="1580" w:type="dxa"/>
            <w:vAlign w:val="bottom"/>
          </w:tcPr>
          <w:p>
            <w:pPr>
              <w:ind w:left="920"/>
              <w:spacing w:after="0"/>
              <w:rPr>
                <w:sz w:val="20"/>
                <w:szCs w:val="20"/>
                <w:color w:val="auto"/>
              </w:rPr>
            </w:pPr>
            <w:r>
              <w:rPr>
                <w:rFonts w:ascii="Arial" w:cs="Arial" w:eastAsia="Arial" w:hAnsi="Arial"/>
                <w:sz w:val="18"/>
                <w:szCs w:val="18"/>
                <w:color w:val="auto"/>
              </w:rPr>
              <w:t>10.03</w:t>
            </w:r>
          </w:p>
        </w:tc>
        <w:tc>
          <w:tcPr>
            <w:tcW w:w="9840" w:type="dxa"/>
            <w:vAlign w:val="bottom"/>
          </w:tcPr>
          <w:p>
            <w:pPr>
              <w:ind w:left="120"/>
              <w:spacing w:after="0"/>
              <w:rPr>
                <w:sz w:val="20"/>
                <w:szCs w:val="20"/>
                <w:color w:val="auto"/>
              </w:rPr>
            </w:pPr>
            <w:r>
              <w:rPr>
                <w:rFonts w:ascii="Arial" w:cs="Arial" w:eastAsia="Arial" w:hAnsi="Arial"/>
                <w:sz w:val="18"/>
                <w:szCs w:val="18"/>
                <w:color w:val="auto"/>
                <w:w w:val="92"/>
              </w:rPr>
              <w:t>Transfer Agency and Service Agreement dated as of January 1, 2007, between T. Rowe Price Services, Inc. and the T. Rowe Price</w:t>
            </w:r>
          </w:p>
        </w:tc>
      </w:tr>
      <w:tr>
        <w:trPr>
          <w:trHeight w:val="230"/>
        </w:trPr>
        <w:tc>
          <w:tcPr>
            <w:tcW w:w="15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Funds. (Incorporated by reference from Form 485BPOS; Accession No. 0000871839-07-000078.)</w:t>
            </w:r>
          </w:p>
        </w:tc>
      </w:tr>
      <w:tr>
        <w:trPr>
          <w:trHeight w:val="323"/>
        </w:trPr>
        <w:tc>
          <w:tcPr>
            <w:tcW w:w="1580" w:type="dxa"/>
            <w:vAlign w:val="bottom"/>
          </w:tcPr>
          <w:p>
            <w:pPr>
              <w:ind w:left="920"/>
              <w:spacing w:after="0"/>
              <w:rPr>
                <w:sz w:val="20"/>
                <w:szCs w:val="20"/>
                <w:color w:val="auto"/>
              </w:rPr>
            </w:pPr>
            <w:r>
              <w:rPr>
                <w:rFonts w:ascii="Arial" w:cs="Arial" w:eastAsia="Arial" w:hAnsi="Arial"/>
                <w:sz w:val="18"/>
                <w:szCs w:val="18"/>
                <w:color w:val="auto"/>
              </w:rPr>
              <w:t>10.04</w:t>
            </w:r>
          </w:p>
        </w:tc>
        <w:tc>
          <w:tcPr>
            <w:tcW w:w="9840" w:type="dxa"/>
            <w:vAlign w:val="bottom"/>
          </w:tcPr>
          <w:p>
            <w:pPr>
              <w:ind w:left="120"/>
              <w:spacing w:after="0"/>
              <w:rPr>
                <w:sz w:val="20"/>
                <w:szCs w:val="20"/>
                <w:color w:val="auto"/>
              </w:rPr>
            </w:pPr>
            <w:r>
              <w:rPr>
                <w:rFonts w:ascii="Arial" w:cs="Arial" w:eastAsia="Arial" w:hAnsi="Arial"/>
                <w:sz w:val="18"/>
                <w:szCs w:val="18"/>
                <w:color w:val="auto"/>
                <w:w w:val="93"/>
              </w:rPr>
              <w:t>Agreement dated January 1, 2007, between T. Rowe Price Retirement Plan Services, Inc. and certain of the T. Rowe Price Funds.</w:t>
            </w:r>
          </w:p>
        </w:tc>
      </w:tr>
      <w:tr>
        <w:trPr>
          <w:trHeight w:val="230"/>
        </w:trPr>
        <w:tc>
          <w:tcPr>
            <w:tcW w:w="15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(Incorporated by reference from Form 485BPOS; Accession No. 0000871839-07-000078.)</w:t>
            </w:r>
          </w:p>
        </w:tc>
      </w:tr>
      <w:tr>
        <w:trPr>
          <w:trHeight w:val="323"/>
        </w:trPr>
        <w:tc>
          <w:tcPr>
            <w:tcW w:w="1580" w:type="dxa"/>
            <w:vAlign w:val="bottom"/>
          </w:tcPr>
          <w:p>
            <w:pPr>
              <w:ind w:left="920"/>
              <w:spacing w:after="0"/>
              <w:rPr>
                <w:sz w:val="20"/>
                <w:szCs w:val="20"/>
                <w:color w:val="auto"/>
              </w:rPr>
            </w:pPr>
            <w:r>
              <w:rPr>
                <w:rFonts w:ascii="Arial" w:cs="Arial" w:eastAsia="Arial" w:hAnsi="Arial"/>
                <w:sz w:val="18"/>
                <w:szCs w:val="18"/>
                <w:color w:val="auto"/>
              </w:rPr>
              <w:t>10.05</w:t>
            </w:r>
          </w:p>
        </w:tc>
        <w:tc>
          <w:tcPr>
            <w:tcW w:w="9840" w:type="dxa"/>
            <w:vAlign w:val="bottom"/>
          </w:tcPr>
          <w:p>
            <w:pPr>
              <w:ind w:left="120"/>
              <w:spacing w:after="0"/>
              <w:rPr>
                <w:sz w:val="20"/>
                <w:szCs w:val="20"/>
                <w:color w:val="auto"/>
              </w:rPr>
            </w:pPr>
            <w:r>
              <w:rPr>
                <w:rFonts w:ascii="Arial" w:cs="Arial" w:eastAsia="Arial" w:hAnsi="Arial"/>
                <w:sz w:val="18"/>
                <w:szCs w:val="18"/>
                <w:color w:val="auto"/>
                <w:w w:val="94"/>
              </w:rPr>
              <w:t>Second Amended, Restated and Consolidated Lease Agreement dated November 9, 2004, between East Pratt Street Associates</w:t>
            </w:r>
          </w:p>
        </w:tc>
      </w:tr>
      <w:tr>
        <w:trPr>
          <w:trHeight w:val="216"/>
        </w:trPr>
        <w:tc>
          <w:tcPr>
            <w:tcW w:w="158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Limited Partnership and T. Rowe Price Associates, Inc. (Incorporated by reference from Form 10-K for 2004; Accession</w:t>
            </w:r>
          </w:p>
        </w:tc>
      </w:tr>
      <w:tr>
        <w:trPr>
          <w:trHeight w:val="230"/>
        </w:trPr>
        <w:tc>
          <w:tcPr>
            <w:tcW w:w="15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No. 0000950133-05-000815.)</w:t>
            </w:r>
          </w:p>
        </w:tc>
      </w:tr>
      <w:tr>
        <w:trPr>
          <w:trHeight w:val="338"/>
        </w:trPr>
        <w:tc>
          <w:tcPr>
            <w:tcW w:w="1580" w:type="dxa"/>
            <w:vAlign w:val="bottom"/>
          </w:tcPr>
          <w:p>
            <w:pPr>
              <w:ind w:left="920"/>
              <w:spacing w:after="0"/>
              <w:rPr>
                <w:sz w:val="20"/>
                <w:szCs w:val="20"/>
                <w:color w:val="auto"/>
              </w:rPr>
            </w:pPr>
            <w:r>
              <w:rPr>
                <w:rFonts w:ascii="Arial" w:cs="Arial" w:eastAsia="Arial" w:hAnsi="Arial"/>
                <w:sz w:val="18"/>
                <w:szCs w:val="18"/>
                <w:color w:val="auto"/>
              </w:rPr>
              <w:t>10.06</w:t>
            </w:r>
          </w:p>
        </w:tc>
        <w:tc>
          <w:tcPr>
            <w:tcW w:w="9840" w:type="dxa"/>
            <w:vAlign w:val="bottom"/>
          </w:tcPr>
          <w:p>
            <w:pPr>
              <w:ind w:left="120"/>
              <w:spacing w:after="0"/>
              <w:rPr>
                <w:sz w:val="20"/>
                <w:szCs w:val="20"/>
                <w:color w:val="auto"/>
              </w:rPr>
            </w:pPr>
            <w:r>
              <w:rPr>
                <w:rFonts w:ascii="Arial" w:cs="Arial" w:eastAsia="Arial" w:hAnsi="Arial"/>
                <w:sz w:val="18"/>
                <w:szCs w:val="18"/>
                <w:color w:val="auto"/>
                <w:w w:val="99"/>
              </w:rPr>
              <w:t>1995 Director Stock Option Plan. (Incorporated by reference from Form DEF 14A; Accession No. 0000933259-95-000009.)</w:t>
            </w:r>
          </w:p>
        </w:tc>
      </w:tr>
      <w:tr>
        <w:trPr>
          <w:trHeight w:val="323"/>
        </w:trPr>
        <w:tc>
          <w:tcPr>
            <w:tcW w:w="1580" w:type="dxa"/>
            <w:vAlign w:val="bottom"/>
          </w:tcPr>
          <w:p>
            <w:pPr>
              <w:ind w:left="920"/>
              <w:spacing w:after="0"/>
              <w:rPr>
                <w:sz w:val="20"/>
                <w:szCs w:val="20"/>
                <w:color w:val="auto"/>
              </w:rPr>
            </w:pPr>
            <w:r>
              <w:rPr>
                <w:rFonts w:ascii="Arial" w:cs="Arial" w:eastAsia="Arial" w:hAnsi="Arial"/>
                <w:sz w:val="18"/>
                <w:szCs w:val="18"/>
                <w:color w:val="auto"/>
              </w:rPr>
              <w:t>10.07</w:t>
            </w:r>
          </w:p>
        </w:tc>
        <w:tc>
          <w:tcPr>
            <w:tcW w:w="9840" w:type="dxa"/>
            <w:vAlign w:val="bottom"/>
          </w:tcPr>
          <w:p>
            <w:pPr>
              <w:ind w:left="120"/>
              <w:spacing w:after="0"/>
              <w:rPr>
                <w:sz w:val="20"/>
                <w:szCs w:val="20"/>
                <w:color w:val="auto"/>
              </w:rPr>
            </w:pPr>
            <w:r>
              <w:rPr>
                <w:rFonts w:ascii="Arial" w:cs="Arial" w:eastAsia="Arial" w:hAnsi="Arial"/>
                <w:sz w:val="18"/>
                <w:szCs w:val="18"/>
                <w:color w:val="auto"/>
                <w:w w:val="94"/>
              </w:rPr>
              <w:t>1998 Director Stock Option Plan, as Amended and Restated effective December 16, 2004, including forms of option agreements.</w:t>
            </w:r>
          </w:p>
        </w:tc>
      </w:tr>
      <w:tr>
        <w:trPr>
          <w:trHeight w:val="230"/>
        </w:trPr>
        <w:tc>
          <w:tcPr>
            <w:tcW w:w="15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(Incorporated by reference from Form 10-K for 2004; Accession No. 0000950133-05-000815.)</w:t>
            </w:r>
          </w:p>
        </w:tc>
      </w:tr>
      <w:tr>
        <w:trPr>
          <w:trHeight w:val="338"/>
        </w:trPr>
        <w:tc>
          <w:tcPr>
            <w:tcW w:w="1580" w:type="dxa"/>
            <w:vAlign w:val="bottom"/>
          </w:tcPr>
          <w:p>
            <w:pPr>
              <w:ind w:left="920"/>
              <w:spacing w:after="0"/>
              <w:rPr>
                <w:sz w:val="20"/>
                <w:szCs w:val="20"/>
                <w:color w:val="auto"/>
              </w:rPr>
            </w:pPr>
            <w:r>
              <w:rPr>
                <w:rFonts w:ascii="Arial" w:cs="Arial" w:eastAsia="Arial" w:hAnsi="Arial"/>
                <w:sz w:val="18"/>
                <w:szCs w:val="18"/>
                <w:color w:val="auto"/>
              </w:rPr>
              <w:t>10.08</w:t>
            </w:r>
          </w:p>
        </w:tc>
        <w:tc>
          <w:tcPr>
            <w:tcW w:w="9840" w:type="dxa"/>
            <w:vAlign w:val="bottom"/>
          </w:tcPr>
          <w:p>
            <w:pPr>
              <w:ind w:left="120"/>
              <w:spacing w:after="0"/>
              <w:rPr>
                <w:sz w:val="20"/>
                <w:szCs w:val="20"/>
                <w:color w:val="auto"/>
              </w:rPr>
            </w:pPr>
            <w:r>
              <w:rPr>
                <w:rFonts w:ascii="Arial" w:cs="Arial" w:eastAsia="Arial" w:hAnsi="Arial"/>
                <w:sz w:val="18"/>
                <w:szCs w:val="18"/>
                <w:color w:val="auto"/>
                <w:w w:val="92"/>
              </w:rPr>
              <w:t>2007 Non-Employee Director Equity Plan. (Incorporated by reference from Form DEF 14A; Accession No. 0001113169-07-000018.)</w:t>
            </w:r>
          </w:p>
        </w:tc>
      </w:tr>
      <w:tr>
        <w:trPr>
          <w:trHeight w:val="323"/>
        </w:trPr>
        <w:tc>
          <w:tcPr>
            <w:tcW w:w="1580" w:type="dxa"/>
            <w:vAlign w:val="bottom"/>
          </w:tcPr>
          <w:p>
            <w:pPr>
              <w:ind w:left="920"/>
              <w:spacing w:after="0"/>
              <w:rPr>
                <w:sz w:val="20"/>
                <w:szCs w:val="20"/>
                <w:color w:val="auto"/>
              </w:rPr>
            </w:pPr>
            <w:r>
              <w:rPr>
                <w:rFonts w:ascii="Arial" w:cs="Arial" w:eastAsia="Arial" w:hAnsi="Arial"/>
                <w:sz w:val="18"/>
                <w:szCs w:val="18"/>
                <w:color w:val="auto"/>
              </w:rPr>
              <w:t>10.09</w:t>
            </w:r>
          </w:p>
        </w:tc>
        <w:tc>
          <w:tcPr>
            <w:tcW w:w="9840" w:type="dxa"/>
            <w:vAlign w:val="bottom"/>
          </w:tcPr>
          <w:p>
            <w:pPr>
              <w:ind w:left="120"/>
              <w:spacing w:after="0"/>
              <w:rPr>
                <w:sz w:val="20"/>
                <w:szCs w:val="20"/>
                <w:color w:val="auto"/>
              </w:rPr>
            </w:pPr>
            <w:r>
              <w:rPr>
                <w:rFonts w:ascii="Arial" w:cs="Arial" w:eastAsia="Arial" w:hAnsi="Arial"/>
                <w:sz w:val="18"/>
                <w:szCs w:val="18"/>
                <w:color w:val="auto"/>
                <w:w w:val="91"/>
              </w:rPr>
              <w:t>Form of option agreement available for awards issued under the 2007 Non-Employee Director Equity Plan (Incorporated by reference</w:t>
            </w:r>
          </w:p>
        </w:tc>
      </w:tr>
      <w:tr>
        <w:trPr>
          <w:trHeight w:val="230"/>
        </w:trPr>
        <w:tc>
          <w:tcPr>
            <w:tcW w:w="15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from Form S-8; Accession No. 0000950133-07-001664.)</w:t>
            </w:r>
          </w:p>
        </w:tc>
      </w:tr>
      <w:tr>
        <w:trPr>
          <w:trHeight w:val="405"/>
        </w:trPr>
        <w:tc>
          <w:tcPr>
            <w:tcW w:w="1580" w:type="dxa"/>
            <w:vAlign w:val="bottom"/>
          </w:tcPr>
          <w:p>
            <w:pPr>
              <w:spacing w:after="0"/>
              <w:rPr>
                <w:sz w:val="24"/>
                <w:szCs w:val="24"/>
                <w:color w:val="auto"/>
              </w:rPr>
            </w:pPr>
          </w:p>
        </w:tc>
        <w:tc>
          <w:tcPr>
            <w:tcW w:w="9840" w:type="dxa"/>
            <w:vAlign w:val="bottom"/>
          </w:tcPr>
          <w:p>
            <w:pPr>
              <w:ind w:left="3940"/>
              <w:spacing w:after="0"/>
              <w:rPr>
                <w:sz w:val="20"/>
                <w:szCs w:val="20"/>
                <w:color w:val="auto"/>
              </w:rPr>
            </w:pPr>
            <w:r>
              <w:rPr>
                <w:rFonts w:ascii="Arial" w:cs="Arial" w:eastAsia="Arial" w:hAnsi="Arial"/>
                <w:sz w:val="18"/>
                <w:szCs w:val="18"/>
                <w:color w:val="auto"/>
              </w:rPr>
              <w:t>- 39 -</w:t>
            </w:r>
          </w:p>
        </w:tc>
      </w:tr>
      <w:tr>
        <w:trPr>
          <w:trHeight w:val="226"/>
        </w:trPr>
        <w:tc>
          <w:tcPr>
            <w:tcW w:w="1580" w:type="dxa"/>
            <w:vAlign w:val="bottom"/>
            <w:tcBorders>
              <w:bottom w:val="single" w:sz="8" w:color="808080"/>
            </w:tcBorders>
          </w:tcPr>
          <w:p>
            <w:pPr>
              <w:spacing w:after="0"/>
              <w:rPr>
                <w:sz w:val="19"/>
                <w:szCs w:val="19"/>
                <w:color w:val="auto"/>
              </w:rPr>
            </w:pPr>
          </w:p>
        </w:tc>
        <w:tc>
          <w:tcPr>
            <w:tcW w:w="9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0" w:name="page41"/>
    <w:bookmarkEnd w:id="40"/>
    <w:p>
      <w:pPr>
        <w:ind w:left="1700" w:right="40" w:hanging="782"/>
        <w:spacing w:after="0" w:line="277" w:lineRule="auto"/>
        <w:tabs>
          <w:tab w:leader="none" w:pos="16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restricted stock agreement available for awards issued under the 2007 Non-Employee Director Equity Plan (Incorporated by reference from Form S-8; Accession No. 0000950133-07-001664.)</w:t>
      </w:r>
    </w:p>
    <w:p>
      <w:pPr>
        <w:spacing w:after="0" w:line="76" w:lineRule="exact"/>
        <w:rPr>
          <w:sz w:val="20"/>
          <w:szCs w:val="20"/>
          <w:color w:val="auto"/>
        </w:rPr>
      </w:pPr>
    </w:p>
    <w:p>
      <w:pPr>
        <w:ind w:left="1700" w:right="880" w:hanging="782"/>
        <w:spacing w:after="0" w:line="277" w:lineRule="auto"/>
        <w:tabs>
          <w:tab w:leader="none" w:pos="16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restricted stock units agreement available for awards issued under the 2007 Non-Employee Director Equity Plan (Incorporated by reference from Form S-8; Accession No. 0000950133-07-001664.)</w:t>
      </w:r>
    </w:p>
    <w:p>
      <w:pPr>
        <w:spacing w:after="0" w:line="76" w:lineRule="exact"/>
        <w:rPr>
          <w:sz w:val="20"/>
          <w:szCs w:val="20"/>
          <w:color w:val="auto"/>
        </w:rPr>
      </w:pPr>
    </w:p>
    <w:p>
      <w:pPr>
        <w:ind w:left="1700" w:right="60" w:hanging="782"/>
        <w:spacing w:after="0" w:line="277" w:lineRule="auto"/>
        <w:tabs>
          <w:tab w:leader="none" w:pos="16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Schedule of Non-Employee Director Compensation, as amended April 12, 2007. (Incorporated by reference from Form 10-Q for the quarterly period ended March 31, 2007; Accession No. 0000950133-07-001865.)</w:t>
      </w:r>
    </w:p>
    <w:p>
      <w:pPr>
        <w:spacing w:after="0" w:line="76" w:lineRule="exact"/>
        <w:rPr>
          <w:sz w:val="20"/>
          <w:szCs w:val="20"/>
          <w:color w:val="auto"/>
        </w:rPr>
      </w:pPr>
    </w:p>
    <w:p>
      <w:pPr>
        <w:ind w:left="1700" w:right="300" w:hanging="782"/>
        <w:spacing w:after="0" w:line="277" w:lineRule="auto"/>
        <w:tabs>
          <w:tab w:leader="none" w:pos="16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T. Rowe Price Group, Inc. Outside Directors Deferred Compensation Plan. (Incorporated by reference from Form 10-K for 2004; Accession No. 0000950133-05-000815.)</w:t>
      </w:r>
    </w:p>
    <w:p>
      <w:pPr>
        <w:spacing w:after="0" w:line="76"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1993 Stock Incentive Plan. (Incorporated by reference from Form S-8 Registration Statement [File No. 33-72568].)</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1996 Stock Incentive Plan. (Incorporated by reference from Form DEF 14A; Accession No. 0001006199-96-000031.)</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10.16.1</w:t>
      </w:r>
      <w:r>
        <w:rPr>
          <w:sz w:val="20"/>
          <w:szCs w:val="20"/>
          <w:color w:val="auto"/>
        </w:rPr>
        <w:tab/>
      </w:r>
      <w:r>
        <w:rPr>
          <w:rFonts w:ascii="Arial" w:cs="Arial" w:eastAsia="Arial" w:hAnsi="Arial"/>
          <w:sz w:val="16"/>
          <w:szCs w:val="16"/>
          <w:color w:val="auto"/>
        </w:rPr>
        <w:t>2001 Stock Incentive Plan. (Incorporated by reference from Form DEF 14A; Accession No. 0001113169-01-000002.)</w:t>
      </w:r>
    </w:p>
    <w:p>
      <w:pPr>
        <w:spacing w:after="0" w:line="131" w:lineRule="exact"/>
        <w:rPr>
          <w:sz w:val="20"/>
          <w:szCs w:val="20"/>
          <w:color w:val="auto"/>
        </w:rPr>
      </w:pPr>
    </w:p>
    <w:p>
      <w:pPr>
        <w:ind w:left="1700" w:right="360" w:hanging="782"/>
        <w:spacing w:after="0" w:line="277" w:lineRule="auto"/>
        <w:tabs>
          <w:tab w:leader="none" w:pos="1680" w:val="left"/>
        </w:tabs>
        <w:rPr>
          <w:sz w:val="20"/>
          <w:szCs w:val="20"/>
          <w:color w:val="auto"/>
        </w:rPr>
      </w:pPr>
      <w:r>
        <w:rPr>
          <w:rFonts w:ascii="Arial" w:cs="Arial" w:eastAsia="Arial" w:hAnsi="Arial"/>
          <w:sz w:val="18"/>
          <w:szCs w:val="18"/>
          <w:color w:val="auto"/>
        </w:rPr>
        <w:t>10.16.2</w:t>
        <w:tab/>
        <w:t>First Amendment to 2001 Stock Incentive Plan dated April 8, 2004. (Incorporated by reference from Form DEF 14A; Accession No. 0001113169-04-000023.)</w:t>
      </w:r>
    </w:p>
    <w:p>
      <w:pPr>
        <w:spacing w:after="0" w:line="76"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2004 Stock Incentive Plan. (Incorporated by reference from Form DEF 14A; Accession No. 0001113169-04-000023.)</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Forms of agreements available for stock-based awards issued under the 2001 and 2004 Stock Incentive Plans.</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Annual Incentive Compensation Pool. (Incorporated by reference from Form DEF 14A; Accession No. 0001113169-03-000001.)</w:t>
      </w:r>
    </w:p>
    <w:p>
      <w:pPr>
        <w:spacing w:after="0" w:line="131" w:lineRule="exact"/>
        <w:rPr>
          <w:sz w:val="20"/>
          <w:szCs w:val="20"/>
          <w:color w:val="auto"/>
        </w:rPr>
      </w:pPr>
    </w:p>
    <w:p>
      <w:pPr>
        <w:ind w:left="1700" w:right="60" w:hanging="782"/>
        <w:spacing w:after="0" w:line="277" w:lineRule="auto"/>
        <w:tabs>
          <w:tab w:leader="none" w:pos="16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Consulting Agreement dated January 23, 2007, with George A. Roche. (Incorporated by reference from Form 8-K Current Report as of January 23, 2007; Accession No. 0000950133-07-000205.)</w:t>
      </w:r>
    </w:p>
    <w:p>
      <w:pPr>
        <w:spacing w:after="0" w:line="76" w:lineRule="exact"/>
        <w:rPr>
          <w:sz w:val="20"/>
          <w:szCs w:val="20"/>
          <w:color w:val="auto"/>
        </w:rPr>
      </w:pPr>
    </w:p>
    <w:p>
      <w:pPr>
        <w:ind w:left="1700" w:right="20" w:hanging="782"/>
        <w:spacing w:after="0" w:line="277" w:lineRule="auto"/>
        <w:tabs>
          <w:tab w:leader="none" w:pos="16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Consulting Agreement dated January 31, 2006, with James S. Riepe. (Incorporated by reference from Form 8-K Current Report as of January 31, 2006; Accession No. 0000950133-06-000434.)</w:t>
      </w:r>
    </w:p>
    <w:p>
      <w:pPr>
        <w:spacing w:after="0" w:line="76" w:lineRule="exact"/>
        <w:rPr>
          <w:sz w:val="20"/>
          <w:szCs w:val="20"/>
          <w:color w:val="auto"/>
        </w:rPr>
      </w:pPr>
    </w:p>
    <w:p>
      <w:pPr>
        <w:ind w:left="1700" w:right="40" w:hanging="787"/>
        <w:spacing w:after="0" w:line="277" w:lineRule="auto"/>
        <w:tabs>
          <w:tab w:leader="none" w:pos="1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Code of Ethics for Principal Executive Officer and Senior Financial Officers of T. Rowe Price Group, Inc. under the Sarbanes-Oxley Act of 2002.</w:t>
      </w:r>
    </w:p>
    <w:p>
      <w:pPr>
        <w:spacing w:after="0" w:line="76"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T. Rowe Price Group, Inc.</w:t>
      </w:r>
    </w:p>
    <w:p>
      <w:pPr>
        <w:spacing w:after="0" w:line="131" w:lineRule="exact"/>
        <w:rPr>
          <w:sz w:val="20"/>
          <w:szCs w:val="20"/>
          <w:color w:val="auto"/>
        </w:rPr>
      </w:pPr>
    </w:p>
    <w:p>
      <w:pPr>
        <w:ind w:left="920" w:right="4280" w:hanging="7"/>
        <w:spacing w:after="0" w:line="414" w:lineRule="auto"/>
        <w:tabs>
          <w:tab w:leader="none" w:pos="1703"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Consent of Independent Registered Public Accounting Firm, KPMG LLP. 31(i).1 Rule 13a-14(a) Certification of Principal Executive Officer.</w:t>
      </w:r>
    </w:p>
    <w:p>
      <w:pPr>
        <w:ind w:left="920"/>
        <w:spacing w:after="0"/>
        <w:rPr>
          <w:rFonts w:ascii="Arial" w:cs="Arial" w:eastAsia="Arial" w:hAnsi="Arial"/>
          <w:sz w:val="17"/>
          <w:szCs w:val="17"/>
          <w:color w:val="auto"/>
        </w:rPr>
      </w:pPr>
      <w:r>
        <w:rPr>
          <w:rFonts w:ascii="Arial" w:cs="Arial" w:eastAsia="Arial" w:hAnsi="Arial"/>
          <w:sz w:val="18"/>
          <w:szCs w:val="18"/>
          <w:color w:val="auto"/>
        </w:rPr>
        <w:t>31(i).2   Rule 13a-14(a) Certification of Principal Financial Officer.</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Section 1350 Certifications.</w:t>
      </w: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7, 2008.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James A.C. Kennedy, Chief Executive Officer and President</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7, 2008.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 Chief Executive Officer and President,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 Vice President and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Joseph P. Croteau, Vice President and Treasurer (Principal Accounting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Brian C. Rogers, Chairman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Edward C. Bernard, Vice Chairman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T. Brady,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 Alfred Broaddus, Jr.,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Donald B. Hebb, Jr.,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Alfred Sommer,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Dwight S. Taylor,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Anne Marie Whittemore, Director</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300"/>
          </w:cols>
          <w:pgMar w:left="240" w:top="936"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t>Exhibit 10.18</w:t>
      </w:r>
    </w:p>
    <w:p>
      <w:pPr>
        <w:spacing w:after="0" w:line="337"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Forms of agreements</w:t>
      </w:r>
    </w:p>
    <w:p>
      <w:pPr>
        <w:spacing w:after="0" w:line="33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available for</w:t>
      </w:r>
    </w:p>
    <w:p>
      <w:pPr>
        <w:spacing w:after="0" w:line="33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stock-based awards</w:t>
      </w:r>
    </w:p>
    <w:p>
      <w:pPr>
        <w:spacing w:after="0" w:line="33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issued under the</w:t>
      </w:r>
    </w:p>
    <w:p>
      <w:pPr>
        <w:spacing w:after="0" w:line="33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 Rowe Price Group, Inc.</w:t>
      </w:r>
    </w:p>
    <w:p>
      <w:pPr>
        <w:spacing w:after="0" w:line="33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2001 and 2004</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Stock Incentive Plans</w:t>
      </w:r>
    </w:p>
    <w:p>
      <w:pPr>
        <w:spacing w:after="0" w:line="1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color w:val="auto"/>
        </w:rPr>
        <w:t>T. ROWE PRICE GROUP, INC.</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[2001] [2004] STOCK INCENTIVE PLAN</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STATEMENT OF ADDITIONAL TERMS AND CONDITIONS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REGARDING OPTION GRANTS (INCENTIVE STOCK OPTIONS)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Effective: September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203835</wp:posOffset>
            </wp:positionV>
            <wp:extent cx="18783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This Statement of Additional Terms and Conditions Regarding the Option Grants (the “</w:t>
      </w:r>
      <w:r>
        <w:rPr>
          <w:rFonts w:ascii="Arial" w:cs="Arial" w:eastAsia="Arial" w:hAnsi="Arial"/>
          <w:sz w:val="17"/>
          <w:szCs w:val="17"/>
          <w:b w:val="1"/>
          <w:bCs w:val="1"/>
          <w:i w:val="1"/>
          <w:iCs w:val="1"/>
          <w:color w:val="auto"/>
        </w:rPr>
        <w:t>Terms</w:t>
      </w:r>
      <w:r>
        <w:rPr>
          <w:rFonts w:ascii="Arial" w:cs="Arial" w:eastAsia="Arial" w:hAnsi="Arial"/>
          <w:sz w:val="17"/>
          <w:szCs w:val="17"/>
          <w:color w:val="auto"/>
        </w:rPr>
        <w:t>”) and all of the provisions of the T. Rowe Price Group, Inc. 2004 Stock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are incorporated into your grant of an incentive stock option, the specifics of which are described on the “Notice of Grant of Stock Options and Option Agreement”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that you received. Once the Notice has been executed by you and by an authorized officer or agent of T. Rowe Price Group, Inc., the Terms, the Plan, and the Notice, together, constitute a binding and enforceable contract respecting your grant of an incentive stock option. That contract is referred to in this document as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p>
    <w:p>
      <w:pPr>
        <w:spacing w:after="0" w:line="64" w:lineRule="exact"/>
        <w:rPr>
          <w:sz w:val="20"/>
          <w:szCs w:val="20"/>
          <w:color w:val="auto"/>
        </w:rPr>
      </w:pPr>
    </w:p>
    <w:p>
      <w:pPr>
        <w:ind w:left="420" w:hanging="18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this document are defined in the Glossary at the end of this document.</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4"/>
        </w:numPr>
        <w:rPr>
          <w:rFonts w:ascii="Arial" w:cs="Arial" w:eastAsia="Arial" w:hAnsi="Arial"/>
          <w:sz w:val="18"/>
          <w:szCs w:val="18"/>
          <w:i w:val="1"/>
          <w:iCs w:val="1"/>
          <w:color w:val="auto"/>
        </w:rPr>
      </w:pPr>
      <w:r>
        <w:rPr>
          <w:rFonts w:ascii="Arial" w:cs="Arial" w:eastAsia="Arial" w:hAnsi="Arial"/>
          <w:sz w:val="18"/>
          <w:szCs w:val="18"/>
          <w:u w:val="single" w:color="auto"/>
          <w:color w:val="auto"/>
        </w:rPr>
        <w:t>Stock Option Exercise Rights</w:t>
      </w:r>
      <w:r>
        <w:rPr>
          <w:rFonts w:ascii="Arial" w:cs="Arial" w:eastAsia="Arial" w:hAnsi="Arial"/>
          <w:sz w:val="18"/>
          <w:szCs w:val="18"/>
          <w:color w:val="auto"/>
        </w:rPr>
        <w:t>.</w:t>
      </w:r>
    </w:p>
    <w:p>
      <w:pPr>
        <w:spacing w:after="0" w:line="117" w:lineRule="exact"/>
        <w:rPr>
          <w:rFonts w:ascii="Arial" w:cs="Arial" w:eastAsia="Arial" w:hAnsi="Arial"/>
          <w:sz w:val="18"/>
          <w:szCs w:val="18"/>
          <w:i w:val="1"/>
          <w:iCs w:val="1"/>
          <w:color w:val="auto"/>
        </w:rPr>
      </w:pPr>
    </w:p>
    <w:p>
      <w:pPr>
        <w:ind w:right="40" w:firstLine="413"/>
        <w:spacing w:after="0" w:line="308" w:lineRule="auto"/>
        <w:tabs>
          <w:tab w:leader="none" w:pos="650" w:val="left"/>
        </w:tabs>
        <w:numPr>
          <w:ilvl w:val="1"/>
          <w:numId w:val="4"/>
        </w:numPr>
        <w:rPr>
          <w:rFonts w:ascii="Arial" w:cs="Arial" w:eastAsia="Arial" w:hAnsi="Arial"/>
          <w:sz w:val="17"/>
          <w:szCs w:val="17"/>
          <w:color w:val="auto"/>
        </w:rPr>
      </w:pPr>
      <w:r>
        <w:rPr>
          <w:rFonts w:ascii="Arial" w:cs="Arial" w:eastAsia="Arial" w:hAnsi="Arial"/>
          <w:sz w:val="17"/>
          <w:szCs w:val="17"/>
          <w:color w:val="auto"/>
        </w:rPr>
        <w:t>So long as your Service is continuous from the date of grant through the applicable date upon which vesting is scheduled to occur, your stock option will become exercisable in installments, for the number of shares so specified, on the vesting dates set forth in the correlating Notice.</w:t>
      </w:r>
    </w:p>
    <w:p>
      <w:pPr>
        <w:spacing w:after="0" w:line="38" w:lineRule="exact"/>
        <w:rPr>
          <w:rFonts w:ascii="Arial" w:cs="Arial" w:eastAsia="Arial" w:hAnsi="Arial"/>
          <w:sz w:val="17"/>
          <w:szCs w:val="17"/>
          <w:color w:val="auto"/>
        </w:rPr>
      </w:pPr>
    </w:p>
    <w:p>
      <w:pPr>
        <w:ind w:left="660" w:hanging="247"/>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Committee may in its discretion accelerate the time at which the stock option may be exercised.</w:t>
      </w:r>
    </w:p>
    <w:p>
      <w:pPr>
        <w:spacing w:after="0" w:line="117" w:lineRule="exact"/>
        <w:rPr>
          <w:rFonts w:ascii="Arial" w:cs="Arial" w:eastAsia="Arial" w:hAnsi="Arial"/>
          <w:sz w:val="18"/>
          <w:szCs w:val="18"/>
          <w:color w:val="auto"/>
        </w:rPr>
      </w:pPr>
    </w:p>
    <w:p>
      <w:pPr>
        <w:ind w:right="160" w:firstLine="413"/>
        <w:spacing w:after="0" w:line="277" w:lineRule="auto"/>
        <w:tabs>
          <w:tab w:leader="none" w:pos="647"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the extent not exercised, installments will accumulate and be exercisable by you, in whole or in part, at any time before the stock option expires or is otherwise terminated.</w:t>
      </w:r>
    </w:p>
    <w:p>
      <w:pPr>
        <w:spacing w:after="0" w:line="62" w:lineRule="exact"/>
        <w:rPr>
          <w:rFonts w:ascii="Arial" w:cs="Arial" w:eastAsia="Arial" w:hAnsi="Arial"/>
          <w:sz w:val="18"/>
          <w:szCs w:val="18"/>
          <w:color w:val="auto"/>
        </w:rPr>
      </w:pPr>
    </w:p>
    <w:p>
      <w:pPr>
        <w:ind w:right="220" w:firstLine="413"/>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 less than 100 shares of T. Rowe Price Group common stock may be purchased upon any one exercise of the stock option unless the number of shares purchased at such time is the total number of shares in respect of which the stock option is then exercisable.</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no event will the stock option be exercisable for a fractional share.</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 and Payment of Purchase Price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20" w:firstLine="413"/>
        <w:spacing w:after="0" w:line="264" w:lineRule="auto"/>
        <w:tabs>
          <w:tab w:leader="none" w:pos="647"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exercise the stock option, you must deliver to the Company, from time to time, on any business day after the stock option has become exercisable and before it expires or otherwise terminates, an Exercise Notice specifying the number of shares you then desire to purchase and pay the aggregate purchase price for the shares specified in the Exercise Notice. The purchase price may be paid:</w:t>
      </w:r>
    </w:p>
    <w:p>
      <w:pPr>
        <w:spacing w:after="0" w:line="73" w:lineRule="exact"/>
        <w:rPr>
          <w:rFonts w:ascii="Arial" w:cs="Arial" w:eastAsia="Arial" w:hAnsi="Arial"/>
          <w:sz w:val="18"/>
          <w:szCs w:val="18"/>
          <w:color w:val="auto"/>
        </w:rPr>
      </w:pPr>
    </w:p>
    <w:p>
      <w:pPr>
        <w:ind w:left="240" w:right="260" w:firstLine="401"/>
        <w:spacing w:after="0" w:line="342" w:lineRule="auto"/>
        <w:tabs>
          <w:tab w:leader="none" w:pos="860" w:val="left"/>
        </w:tabs>
        <w:numPr>
          <w:ilvl w:val="2"/>
          <w:numId w:val="4"/>
        </w:numPr>
        <w:rPr>
          <w:rFonts w:ascii="Arial" w:cs="Arial" w:eastAsia="Arial" w:hAnsi="Arial"/>
          <w:sz w:val="16"/>
          <w:szCs w:val="16"/>
          <w:color w:val="auto"/>
        </w:rPr>
      </w:pPr>
      <w:r>
        <w:rPr>
          <w:rFonts w:ascii="Arial" w:cs="Arial" w:eastAsia="Arial" w:hAnsi="Arial"/>
          <w:sz w:val="16"/>
          <w:szCs w:val="16"/>
          <w:color w:val="auto"/>
        </w:rPr>
        <w:t>by cash, check, wire transfer, bank draft or postal or express money order to the order of the Company for an amount in United States dollars equal to the aggregate purchase price for the number of shares specified in the Exercise Notice, such payment to be delivered with the Exercise Notice;</w:t>
      </w:r>
    </w:p>
    <w:p>
      <w:pPr>
        <w:spacing w:after="0" w:line="15" w:lineRule="exact"/>
        <w:rPr>
          <w:rFonts w:ascii="Arial" w:cs="Arial" w:eastAsia="Arial" w:hAnsi="Arial"/>
          <w:sz w:val="16"/>
          <w:szCs w:val="16"/>
          <w:color w:val="auto"/>
        </w:rPr>
      </w:pPr>
    </w:p>
    <w:p>
      <w:pPr>
        <w:ind w:left="240" w:firstLine="401"/>
        <w:spacing w:after="0" w:line="279" w:lineRule="auto"/>
        <w:tabs>
          <w:tab w:leader="none" w:pos="910" w:val="left"/>
        </w:tabs>
        <w:numPr>
          <w:ilvl w:val="2"/>
          <w:numId w:val="4"/>
        </w:numPr>
        <w:rPr>
          <w:rFonts w:ascii="Arial" w:cs="Arial" w:eastAsia="Arial" w:hAnsi="Arial"/>
          <w:sz w:val="17"/>
          <w:szCs w:val="17"/>
          <w:color w:val="auto"/>
        </w:rPr>
      </w:pPr>
      <w:r>
        <w:rPr>
          <w:rFonts w:ascii="Arial" w:cs="Arial" w:eastAsia="Arial" w:hAnsi="Arial"/>
          <w:sz w:val="17"/>
          <w:szCs w:val="17"/>
          <w:color w:val="auto"/>
        </w:rPr>
        <w:t>unless limited by the Committee, by tender of shares of T. Rowe Price Group common stock with a value (determined in accordance with paragraph 3(c)) equal to or less than the aggregate purchase price plus cash, check, wire transfer, bank draft or postal or express money order to the order of the Company for an amount in United States dollars equal to the amount, if any, by which the aggregate purchase price exceeds the value of such shares of T. Rowe Price Group common stock (determined in accordance with paragraph 3(c));</w:t>
      </w:r>
    </w:p>
    <w:p>
      <w:pPr>
        <w:spacing w:after="0" w:line="63" w:lineRule="exact"/>
        <w:rPr>
          <w:rFonts w:ascii="Arial" w:cs="Arial" w:eastAsia="Arial" w:hAnsi="Arial"/>
          <w:sz w:val="17"/>
          <w:szCs w:val="17"/>
          <w:color w:val="auto"/>
        </w:rPr>
      </w:pPr>
    </w:p>
    <w:p>
      <w:pPr>
        <w:ind w:left="960" w:hanging="319"/>
        <w:spacing w:after="0"/>
        <w:tabs>
          <w:tab w:leader="none" w:pos="960" w:val="left"/>
        </w:tabs>
        <w:numPr>
          <w:ilvl w:val="2"/>
          <w:numId w:val="4"/>
        </w:numPr>
        <w:rPr>
          <w:rFonts w:ascii="Arial" w:cs="Arial" w:eastAsia="Arial" w:hAnsi="Arial"/>
          <w:sz w:val="18"/>
          <w:szCs w:val="18"/>
          <w:color w:val="auto"/>
        </w:rPr>
      </w:pPr>
      <w:r>
        <w:rPr>
          <w:rFonts w:ascii="Arial" w:cs="Arial" w:eastAsia="Arial" w:hAnsi="Arial"/>
          <w:sz w:val="18"/>
          <w:szCs w:val="18"/>
          <w:color w:val="auto"/>
        </w:rPr>
        <w:t>by broker-assisted cashless exercise in accordance with procedures satisfactory to the Committee; or</w:t>
      </w:r>
    </w:p>
    <w:p>
      <w:pPr>
        <w:spacing w:after="0" w:line="117" w:lineRule="exact"/>
        <w:rPr>
          <w:rFonts w:ascii="Arial" w:cs="Arial" w:eastAsia="Arial" w:hAnsi="Arial"/>
          <w:sz w:val="18"/>
          <w:szCs w:val="18"/>
          <w:color w:val="auto"/>
        </w:rPr>
      </w:pPr>
    </w:p>
    <w:p>
      <w:pPr>
        <w:ind w:left="940" w:hanging="299"/>
        <w:spacing w:after="0"/>
        <w:tabs>
          <w:tab w:leader="none" w:pos="940" w:val="left"/>
        </w:tabs>
        <w:numPr>
          <w:ilvl w:val="2"/>
          <w:numId w:val="4"/>
        </w:numPr>
        <w:rPr>
          <w:rFonts w:ascii="Arial" w:cs="Arial" w:eastAsia="Arial" w:hAnsi="Arial"/>
          <w:sz w:val="18"/>
          <w:szCs w:val="18"/>
          <w:color w:val="auto"/>
        </w:rPr>
      </w:pPr>
      <w:r>
        <w:rPr>
          <w:rFonts w:ascii="Arial" w:cs="Arial" w:eastAsia="Arial" w:hAnsi="Arial"/>
          <w:sz w:val="18"/>
          <w:szCs w:val="18"/>
          <w:color w:val="auto"/>
        </w:rPr>
        <w:t>by a combination of these methods.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the case of payment in shares of T. Rowe Price Group common stock, such payment must be made by no later than the end of the first business day after the Exercise Date, by delivery of the necessary share certificates, with executed stock powers attached, or transfer instructions, in the case of shares held in street name by a bank, broker, or other nominee, to the Company or by attestation of ownership in a form satisfactory to the Company, and in each case coupled with payment of any additional amount in cash or in one of the specified forms of acceptable cash equivalents for the balance of the aggregate purchase price.</w:t>
      </w:r>
    </w:p>
    <w:p>
      <w:pPr>
        <w:spacing w:after="0" w:line="80" w:lineRule="exact"/>
        <w:rPr>
          <w:sz w:val="20"/>
          <w:szCs w:val="20"/>
          <w:color w:val="auto"/>
        </w:rPr>
      </w:pPr>
    </w:p>
    <w:p>
      <w:pPr>
        <w:ind w:right="60" w:firstLine="413"/>
        <w:spacing w:after="0" w:line="257"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Within three business days after the Exercise Date and subject to the receipt of the aggregate purchase price and withholding taxes, to the extent required by the Company, the Company will issue to you the number of shares of T. Rowe Price Group common stock with respect to which the stock option shall be so exercised. Unless and until you request the Company to deliver a share certificate to you, or deliver shares electronically or in certificate form to your designated broker, bank or nominee on your behalf, the Company will retain the shares that you purchased through exercise of the stock option in uncertificated book entry form.</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43" w:name="page44"/>
    <w:bookmarkEnd w:id="43"/>
    <w:p>
      <w:pPr>
        <w:ind w:left="-40" w:right="80" w:firstLine="413"/>
        <w:spacing w:after="0" w:line="259" w:lineRule="auto"/>
        <w:tabs>
          <w:tab w:leader="none" w:pos="61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purposes of paragraph 3(a), unless determined otherwise by the Committee in accordance with the Plan, the value of shares of T. Rowe Price Group common stock tendered to exercise the stock option will be the last-reported sale price of such shares on The NASDAQ Stock Market on the Exercise Date, or, if the T. Rowe Price Group common stock is not quoted on The NASDAQ Stock Market on the Exercise Date, as otherwise determined by the Committee in accordance with the Plan.</w:t>
      </w:r>
    </w:p>
    <w:p>
      <w:pPr>
        <w:spacing w:after="0" w:line="78" w:lineRule="exact"/>
        <w:rPr>
          <w:rFonts w:ascii="Arial" w:cs="Arial" w:eastAsia="Arial" w:hAnsi="Arial"/>
          <w:sz w:val="18"/>
          <w:szCs w:val="18"/>
          <w:color w:val="auto"/>
        </w:rPr>
      </w:pPr>
    </w:p>
    <w:p>
      <w:pPr>
        <w:jc w:val="both"/>
        <w:ind w:left="-40" w:right="20" w:firstLine="413"/>
        <w:spacing w:after="0" w:line="286" w:lineRule="auto"/>
        <w:tabs>
          <w:tab w:leader="none" w:pos="617"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Committee may in its discretion place limitations on the extent to which shares of T. Rowe Price Group common stock may be tendered by you as payment of the purchase price pursuant to paragraph 3(a) hereof. There are no provisions in this Agreement for the granting of a replenishment option with respect to any shares of T. Rowe Price Group common stock tendered upon the exercise of the stock option.</w:t>
      </w:r>
    </w:p>
    <w:p>
      <w:pPr>
        <w:spacing w:after="0" w:line="57" w:lineRule="exact"/>
        <w:rPr>
          <w:rFonts w:ascii="Arial" w:cs="Arial" w:eastAsia="Arial" w:hAnsi="Arial"/>
          <w:sz w:val="17"/>
          <w:szCs w:val="17"/>
          <w:color w:val="auto"/>
        </w:rPr>
      </w:pPr>
    </w:p>
    <w:p>
      <w:pPr>
        <w:ind w:left="-40" w:right="180" w:firstLine="413"/>
        <w:spacing w:after="0" w:line="264" w:lineRule="auto"/>
        <w:tabs>
          <w:tab w:leader="none" w:pos="61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the sole discretion of the Committee, the Company may in lieu of requiring the exercise of the stock option and the payment of the aggregate purchase price, authorize the payment of cash to you in an amount equal to the market value of shares of T. Rowe Price Group common stock subject to the stock option less the aggregate purchase price in exchange for the cancellation of the stock option.</w:t>
      </w:r>
    </w:p>
    <w:p>
      <w:pPr>
        <w:spacing w:after="0" w:line="73" w:lineRule="exact"/>
        <w:rPr>
          <w:rFonts w:ascii="Arial" w:cs="Arial" w:eastAsia="Arial" w:hAnsi="Arial"/>
          <w:sz w:val="18"/>
          <w:szCs w:val="18"/>
          <w:color w:val="auto"/>
        </w:rPr>
      </w:pPr>
    </w:p>
    <w:p>
      <w:pPr>
        <w:ind w:left="-40" w:firstLine="233"/>
        <w:spacing w:after="0" w:line="269" w:lineRule="auto"/>
        <w:tabs>
          <w:tab w:leader="none" w:pos="365"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Exercisability Upon the Occurrence of Certain Events</w:t>
      </w:r>
      <w:r>
        <w:rPr>
          <w:rFonts w:ascii="Arial" w:cs="Arial" w:eastAsia="Arial" w:hAnsi="Arial"/>
          <w:sz w:val="17"/>
          <w:szCs w:val="17"/>
          <w:color w:val="auto"/>
        </w:rPr>
        <w:t xml:space="preserve">. Notwithstanding any provisions limiting exercisability in whole or in part, and unless the Committee shall have otherwise determined (within the limits specified in this paragraph) to revoke or to limit, in its sole and conclusive discretion, the acceleration provided for herein, the stock option will become exercisable in full immediately following the date on which the Committee no longer may revoke or modify the acceleration contemplated by this paragraph and shall remain exercisable for a one-year period thereafter. After the expiration of any such one-year period, the stock option shall remain exercisable only to the extent, if any, provided in this Agreement without taking into consideration the effect of this paragraph. The Committee’s discretion to revoke or limit the acceleration contemplated by this paragraph may be exercised at any time before or within 20 business days after the Effective Date or the Approval Date,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discretion to revoke or limit the acceleration may not be exercised after the persons who were directors of the Company immediately before the Transaction shall cease to constitute a majority of the Board of Directors of the Company or any successor to the Company. In the event the Approval Date and an Effective Date arise from substantially identical facts and circumstances (as determined by the Committee in its sole discretion) and unless the Committee shall have determined to limit the effect of this sentence, such one-year period (and the 20-day period referred to in the immediately preceding sentence) shall commence only once and upon the first to occur of the Approval Date or the Effective Date.</w:t>
      </w:r>
    </w:p>
    <w:p>
      <w:pPr>
        <w:spacing w:after="0" w:line="71" w:lineRule="exact"/>
        <w:rPr>
          <w:rFonts w:ascii="Arial" w:cs="Arial" w:eastAsia="Arial" w:hAnsi="Arial"/>
          <w:sz w:val="17"/>
          <w:szCs w:val="17"/>
          <w:color w:val="auto"/>
        </w:rPr>
      </w:pPr>
    </w:p>
    <w:p>
      <w:pPr>
        <w:ind w:left="380" w:hanging="187"/>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420" w:firstLine="413"/>
        <w:spacing w:after="0" w:line="342" w:lineRule="auto"/>
        <w:tabs>
          <w:tab w:leader="none" w:pos="610" w:val="left"/>
        </w:tabs>
        <w:numPr>
          <w:ilvl w:val="1"/>
          <w:numId w:val="7"/>
        </w:numPr>
        <w:rPr>
          <w:rFonts w:ascii="Arial" w:cs="Arial" w:eastAsia="Arial" w:hAnsi="Arial"/>
          <w:sz w:val="16"/>
          <w:szCs w:val="16"/>
          <w:color w:val="auto"/>
        </w:rPr>
      </w:pPr>
      <w:r>
        <w:rPr>
          <w:rFonts w:ascii="Arial" w:cs="Arial" w:eastAsia="Arial" w:hAnsi="Arial"/>
          <w:sz w:val="16"/>
          <w:szCs w:val="16"/>
          <w:color w:val="auto"/>
        </w:rPr>
        <w:t>If your Service with the Company ceases for any reason other than death, the portion of the stock option, if any, that is then unexercisable, after giving effect to any acceleration by the Committee pursuant to paragraph 2(c), will terminate immediately upon such cessation.</w:t>
      </w:r>
    </w:p>
    <w:p>
      <w:pPr>
        <w:spacing w:after="0" w:line="15" w:lineRule="exact"/>
        <w:rPr>
          <w:rFonts w:ascii="Arial" w:cs="Arial" w:eastAsia="Arial" w:hAnsi="Arial"/>
          <w:sz w:val="16"/>
          <w:szCs w:val="16"/>
          <w:color w:val="auto"/>
        </w:rPr>
      </w:pPr>
    </w:p>
    <w:p>
      <w:pPr>
        <w:ind w:left="-40" w:right="100" w:firstLine="413"/>
        <w:spacing w:after="0" w:line="277" w:lineRule="auto"/>
        <w:tabs>
          <w:tab w:leader="none" w:pos="617"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stock option, to the extent not earlier exercised or terminated, will terminate and be of no force or effect upon the first occurrence of any one of the following events:</w:t>
      </w:r>
    </w:p>
    <w:p>
      <w:pPr>
        <w:spacing w:after="0" w:line="62" w:lineRule="exact"/>
        <w:rPr>
          <w:rFonts w:ascii="Arial" w:cs="Arial" w:eastAsia="Arial" w:hAnsi="Arial"/>
          <w:sz w:val="18"/>
          <w:szCs w:val="18"/>
          <w:color w:val="auto"/>
        </w:rPr>
      </w:pPr>
    </w:p>
    <w:p>
      <w:pPr>
        <w:ind w:left="820" w:hanging="219"/>
        <w:spacing w:after="0"/>
        <w:tabs>
          <w:tab w:leader="none" w:pos="82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expiration date set forth in the Notice;</w:t>
      </w:r>
    </w:p>
    <w:p>
      <w:pPr>
        <w:spacing w:after="0" w:line="117" w:lineRule="exact"/>
        <w:rPr>
          <w:rFonts w:ascii="Arial" w:cs="Arial" w:eastAsia="Arial" w:hAnsi="Arial"/>
          <w:sz w:val="18"/>
          <w:szCs w:val="18"/>
          <w:color w:val="auto"/>
        </w:rPr>
      </w:pPr>
    </w:p>
    <w:p>
      <w:pPr>
        <w:ind w:left="200" w:right="100" w:firstLine="401"/>
        <w:spacing w:after="0" w:line="264" w:lineRule="auto"/>
        <w:tabs>
          <w:tab w:leader="none" w:pos="87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expiration of 30 days after termination of your Service with the Company, except in the case of your death or retirement with the consent of the Company. During such 30-day period, you will have the right to exercise the stock option only to the extent exercisable on the date of termination of your Service;</w:t>
      </w:r>
    </w:p>
    <w:p>
      <w:pPr>
        <w:spacing w:after="0" w:line="73" w:lineRule="exact"/>
        <w:rPr>
          <w:rFonts w:ascii="Arial" w:cs="Arial" w:eastAsia="Arial" w:hAnsi="Arial"/>
          <w:sz w:val="18"/>
          <w:szCs w:val="18"/>
          <w:color w:val="auto"/>
        </w:rPr>
      </w:pPr>
    </w:p>
    <w:p>
      <w:pPr>
        <w:ind w:left="200" w:right="120" w:firstLine="401"/>
        <w:spacing w:after="0" w:line="264" w:lineRule="auto"/>
        <w:tabs>
          <w:tab w:leader="none" w:pos="92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expiration of 13 months after the date of your retirement with the consent of the Company. During such 13-month period you will have the right to exercise the stock option to the extent the right to exercise it has accrued prior to your retirement but has not been exercised prior to such retirement, subject, in addition, however, to acceleration by the Committee pursuant to paragraph 2(c); or</w:t>
      </w:r>
    </w:p>
    <w:p>
      <w:pPr>
        <w:spacing w:after="0" w:line="73" w:lineRule="exact"/>
        <w:rPr>
          <w:rFonts w:ascii="Arial" w:cs="Arial" w:eastAsia="Arial" w:hAnsi="Arial"/>
          <w:sz w:val="18"/>
          <w:szCs w:val="18"/>
          <w:color w:val="auto"/>
        </w:rPr>
      </w:pPr>
    </w:p>
    <w:p>
      <w:pPr>
        <w:ind w:left="200" w:right="60" w:firstLine="401"/>
        <w:spacing w:after="0" w:line="276" w:lineRule="auto"/>
        <w:tabs>
          <w:tab w:leader="none" w:pos="910" w:val="left"/>
        </w:tabs>
        <w:numPr>
          <w:ilvl w:val="2"/>
          <w:numId w:val="7"/>
        </w:numPr>
        <w:rPr>
          <w:rFonts w:ascii="Arial" w:cs="Arial" w:eastAsia="Arial" w:hAnsi="Arial"/>
          <w:sz w:val="17"/>
          <w:szCs w:val="17"/>
          <w:color w:val="auto"/>
        </w:rPr>
      </w:pPr>
      <w:r>
        <w:rPr>
          <w:rFonts w:ascii="Arial" w:cs="Arial" w:eastAsia="Arial" w:hAnsi="Arial"/>
          <w:sz w:val="17"/>
          <w:szCs w:val="17"/>
          <w:color w:val="auto"/>
        </w:rPr>
        <w:t>The expiration of 13 months after your date of death if you die (i) while you are in the Service of the Company or (ii) within the period of time after your termination of Service due to retirement or otherwise during which you were entitled to exercise the stock option. During such 13-month period your estate, personal representative or beneficiary will have the right to exercise the stock option in full if you died while in the Service of the Company; otherwise your estate, personal representative or beneficiary will have the right to exercise the stock option during such 13-month period to the extent that the right to exercise had accrued prior to your termination of Service but had not been exercised prior to your death.</w:t>
      </w:r>
    </w:p>
    <w:p>
      <w:pPr>
        <w:spacing w:after="0" w:line="64" w:lineRule="exact"/>
        <w:rPr>
          <w:rFonts w:ascii="Arial" w:cs="Arial" w:eastAsia="Arial" w:hAnsi="Arial"/>
          <w:sz w:val="17"/>
          <w:szCs w:val="17"/>
          <w:color w:val="auto"/>
        </w:rPr>
      </w:pPr>
    </w:p>
    <w:p>
      <w:pPr>
        <w:ind w:left="-40" w:right="40" w:firstLine="413"/>
        <w:spacing w:after="0" w:line="289" w:lineRule="auto"/>
        <w:tabs>
          <w:tab w:leader="none" w:pos="610" w:val="left"/>
        </w:tabs>
        <w:numPr>
          <w:ilvl w:val="1"/>
          <w:numId w:val="7"/>
        </w:numPr>
        <w:rPr>
          <w:rFonts w:ascii="Arial" w:cs="Arial" w:eastAsia="Arial" w:hAnsi="Arial"/>
          <w:sz w:val="16"/>
          <w:szCs w:val="16"/>
          <w:color w:val="auto"/>
        </w:rPr>
      </w:pPr>
      <w:r>
        <w:rPr>
          <w:rFonts w:ascii="Arial" w:cs="Arial" w:eastAsia="Arial" w:hAnsi="Arial"/>
          <w:sz w:val="16"/>
          <w:szCs w:val="16"/>
          <w:color w:val="auto"/>
        </w:rPr>
        <w:t>Retirement at your normal retirement date or at an optional retirement date in accordance with the provisions of a retirement plan of the Company under which you are then covered will constitute a retirement with the consent of the Company for the purposes of this Agreement. The Committee has absolute and uncontrolled discretion to determine whether any other termination of your employment is to be considered as retirement with the consent of the Company for the purposes of this Agreement and whether an authorized leave of absence or absence on military or government service or otherwise shall constitute a termination of employment for the purposes of this Agreement. Employment by the Company will be deemed to include employment of you by, and to continue during any period in which you are in the employ of, an Affiliate of the Company. Unless determined otherwise by the Committee, if the Affiliate with which you are employed ceases to be an entity in which the Company maintains a proprietary interest by reason of stock ownership or otherwise, you will be considered to have had a termination of employment for purposes of this Agreement upon such cessation. Any determination made by the Committee with respect to any matter referred to in this paragraph 5 will be final and conclusive on all persons affected thereby.</w:t>
      </w:r>
    </w:p>
    <w:p>
      <w:pPr>
        <w:spacing w:after="0" w:line="58" w:lineRule="exact"/>
        <w:rPr>
          <w:rFonts w:ascii="Arial" w:cs="Arial" w:eastAsia="Arial" w:hAnsi="Arial"/>
          <w:sz w:val="16"/>
          <w:szCs w:val="16"/>
          <w:color w:val="auto"/>
        </w:rPr>
      </w:pPr>
    </w:p>
    <w:p>
      <w:pPr>
        <w:ind w:left="-40" w:right="160" w:firstLine="233"/>
        <w:spacing w:after="0" w:line="279" w:lineRule="auto"/>
        <w:tabs>
          <w:tab w:leader="none" w:pos="365"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Non-Guarantee of Employment</w:t>
      </w:r>
      <w:r>
        <w:rPr>
          <w:rFonts w:ascii="Arial" w:cs="Arial" w:eastAsia="Arial" w:hAnsi="Arial"/>
          <w:sz w:val="17"/>
          <w:szCs w:val="17"/>
          <w:color w:val="auto"/>
        </w:rPr>
        <w:t>. Nothing in the Plan or this Agreement shall alter your at-will or other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portion of the stock option or any other adverse effect on your interests under the Plan.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44" w:name="page45"/>
    <w:bookmarkEnd w:id="44"/>
    <w:p>
      <w:pPr>
        <w:ind w:left="-20" w:firstLine="233"/>
        <w:spacing w:after="0" w:line="279" w:lineRule="auto"/>
        <w:tabs>
          <w:tab w:leader="none" w:pos="38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Assignability</w:t>
      </w:r>
      <w:r>
        <w:rPr>
          <w:rFonts w:ascii="Arial" w:cs="Arial" w:eastAsia="Arial" w:hAnsi="Arial"/>
          <w:sz w:val="17"/>
          <w:szCs w:val="17"/>
          <w:color w:val="auto"/>
        </w:rPr>
        <w:t>. This stock option is not transferable by you otherwise than by will or the laws of descent and distribution and is exercisable during your lifetime only by you. No assignment or transfer of this stock option, or of the rights represented thereby, whether voluntary or involuntary, by operation of law or otherwise, except by will or the laws of descent and distribution, will vest in the assignee or transferee any interest or right herein whatsoever, but immediately upon any attempt to assign or transfer this stock option the same will terminate and be of no force or effect.</w:t>
      </w:r>
    </w:p>
    <w:p>
      <w:pPr>
        <w:spacing w:after="0" w:line="63" w:lineRule="exact"/>
        <w:rPr>
          <w:rFonts w:ascii="Arial" w:cs="Arial" w:eastAsia="Arial" w:hAnsi="Arial"/>
          <w:sz w:val="17"/>
          <w:szCs w:val="17"/>
          <w:color w:val="auto"/>
        </w:rPr>
      </w:pPr>
    </w:p>
    <w:p>
      <w:pPr>
        <w:ind w:left="-20" w:right="40" w:firstLine="233"/>
        <w:spacing w:after="0" w:line="276" w:lineRule="auto"/>
        <w:tabs>
          <w:tab w:leader="none" w:pos="38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The Company’s Rights</w:t>
      </w:r>
      <w:r>
        <w:rPr>
          <w:rFonts w:ascii="Arial" w:cs="Arial" w:eastAsia="Arial" w:hAnsi="Arial"/>
          <w:sz w:val="17"/>
          <w:szCs w:val="17"/>
          <w:color w:val="auto"/>
        </w:rPr>
        <w:t>. The existence of this stock option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64" w:lineRule="exact"/>
        <w:rPr>
          <w:rFonts w:ascii="Arial" w:cs="Arial" w:eastAsia="Arial" w:hAnsi="Arial"/>
          <w:sz w:val="17"/>
          <w:szCs w:val="17"/>
          <w:color w:val="auto"/>
        </w:rPr>
      </w:pPr>
    </w:p>
    <w:p>
      <w:pPr>
        <w:ind w:left="-20" w:right="20" w:firstLine="233"/>
        <w:spacing w:after="0" w:line="288" w:lineRule="auto"/>
        <w:tabs>
          <w:tab w:leader="none" w:pos="38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Recapitalization</w:t>
      </w:r>
      <w:r>
        <w:rPr>
          <w:rFonts w:ascii="Arial" w:cs="Arial" w:eastAsia="Arial" w:hAnsi="Arial"/>
          <w:sz w:val="16"/>
          <w:szCs w:val="16"/>
          <w:color w:val="auto"/>
        </w:rPr>
        <w:t>. The shares with respect to which this stock option is granted are shares of the T. Rowe Price Group common stock as constituted on the date of this Agreement, but if, and whenever, prior to the delivery by the Company of all of the shares of T. Rowe Price Group common stock with respect to which this stock option is granted, the Company shall effect a subdivision or consolidation of shares, or other capital readjustment, or the payment of a stock dividend, or other increase or decrease in the number of shares of T. Rowe Price Group common stock outstanding, without receiving compensation therefor in money, services or property, then (a) in the event of any increase in the number of such shares outstanding, the number of shares of T. Rowe Price Group common stock then remaining subject to this stock option will be proportionately increased (except that any fraction of a share resulting from any such adjustment will be excluded from the operation of this Agreement), and the cash consideration payable per share will be proportionately reduced, and (b) in the event of a reduction in the number of such shares outstanding, the number of shares of T. Rowe Price Group common stock then remaining subject to this stock option will be proportionately reduced (except that any fractional share resulting from any such adjustment will be excluded from the operation of this Agreement), and the cash consideration payable per share will be proportionately increased.</w:t>
      </w:r>
    </w:p>
    <w:p>
      <w:pPr>
        <w:spacing w:after="0" w:line="61" w:lineRule="exact"/>
        <w:rPr>
          <w:rFonts w:ascii="Arial" w:cs="Arial" w:eastAsia="Arial" w:hAnsi="Arial"/>
          <w:sz w:val="16"/>
          <w:szCs w:val="16"/>
          <w:color w:val="auto"/>
        </w:rPr>
      </w:pPr>
    </w:p>
    <w:p>
      <w:pPr>
        <w:ind w:left="-20" w:right="20" w:firstLine="233"/>
        <w:spacing w:after="0" w:line="290" w:lineRule="auto"/>
        <w:tabs>
          <w:tab w:leader="none" w:pos="47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Merger and Consolidation</w:t>
      </w:r>
      <w:r>
        <w:rPr>
          <w:rFonts w:ascii="Arial" w:cs="Arial" w:eastAsia="Arial" w:hAnsi="Arial"/>
          <w:sz w:val="16"/>
          <w:szCs w:val="16"/>
          <w:color w:val="auto"/>
        </w:rPr>
        <w:t>. After a merger of one or more corporations into the Company, or after a consolidation of the Company and one or more corporations in which the Company is the surviving or resulting corporation, you will, at no additional cost, be entitled upon any exercise of this stock option, to receive (subject to any required action by stockholders) in lieu of the number of shares as to which this stock option shall then be so exercised, the number and class of shares of stock or other securities to which you would have been entitled pursuant to the terms of the agreement of merger or consolidation, if, immediately prior to such merger or consolidation, you had been the holder of record of a number of shares of T. Rowe Price Group common stock equal to the number of shares as to which such stock option shall be so exercised; provided, that anything herein contained to the contrary notwithstanding, upon the dissolution or liquidation of the Company, or upon any merger or consolidation, in which the Company is not the surviving or resulting corporation, this stock option will terminate and be of no force or effect, except to the extent that such surviving or resulting corporation may issue a substituted option.</w:t>
      </w:r>
    </w:p>
    <w:p>
      <w:pPr>
        <w:spacing w:after="0" w:line="58" w:lineRule="exact"/>
        <w:rPr>
          <w:rFonts w:ascii="Arial" w:cs="Arial" w:eastAsia="Arial" w:hAnsi="Arial"/>
          <w:sz w:val="16"/>
          <w:szCs w:val="16"/>
          <w:color w:val="auto"/>
        </w:rPr>
      </w:pPr>
    </w:p>
    <w:p>
      <w:pPr>
        <w:ind w:left="-20" w:right="60" w:firstLine="233"/>
        <w:spacing w:after="0" w:line="312" w:lineRule="auto"/>
        <w:tabs>
          <w:tab w:leader="none" w:pos="468"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Preemption of Applicable Laws or Regulations</w:t>
      </w:r>
      <w:r>
        <w:rPr>
          <w:rFonts w:ascii="Arial" w:cs="Arial" w:eastAsia="Arial" w:hAnsi="Arial"/>
          <w:sz w:val="16"/>
          <w:szCs w:val="16"/>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38" w:lineRule="exact"/>
        <w:rPr>
          <w:rFonts w:ascii="Arial" w:cs="Arial" w:eastAsia="Arial" w:hAnsi="Arial"/>
          <w:sz w:val="16"/>
          <w:szCs w:val="16"/>
          <w:color w:val="auto"/>
        </w:rPr>
      </w:pPr>
    </w:p>
    <w:p>
      <w:pPr>
        <w:ind w:left="-20" w:right="200" w:firstLine="233"/>
        <w:spacing w:after="0" w:line="286" w:lineRule="auto"/>
        <w:tabs>
          <w:tab w:leader="none" w:pos="47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No Rights as a Stockholder</w:t>
      </w:r>
      <w:r>
        <w:rPr>
          <w:rFonts w:ascii="Arial" w:cs="Arial" w:eastAsia="Arial" w:hAnsi="Arial"/>
          <w:sz w:val="17"/>
          <w:szCs w:val="17"/>
          <w:color w:val="auto"/>
        </w:rPr>
        <w:t>. You shall not have any of the rights of a stockholder with respect to the shares of T. Rowe Price Group common stock subject to the stock option until such shares have been issued to you upon the due exercise of the stock option. No adjustment will be made for dividends or distributions or other rights for which the record date is prior to the date such shares are issued to you.</w:t>
      </w:r>
    </w:p>
    <w:p>
      <w:pPr>
        <w:spacing w:after="0" w:line="57" w:lineRule="exact"/>
        <w:rPr>
          <w:rFonts w:ascii="Arial" w:cs="Arial" w:eastAsia="Arial" w:hAnsi="Arial"/>
          <w:sz w:val="17"/>
          <w:szCs w:val="17"/>
          <w:color w:val="auto"/>
        </w:rPr>
      </w:pPr>
    </w:p>
    <w:p>
      <w:pPr>
        <w:ind w:left="-20" w:right="20" w:firstLine="233"/>
        <w:spacing w:after="0" w:line="271" w:lineRule="auto"/>
        <w:tabs>
          <w:tab w:leader="none" w:pos="47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The Committee shall have the right, in its absolute and uncontrolled discretion, to alter or amend this Agreement, from time to time in any manner for the purpose of promoting the objectives of the Plan but only if all agreements granting options to purchase shares of T. Rowe Price Group common stock pursuant to the Plan which are in effect and not wholly exercised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will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45" w:name="page46"/>
    <w:bookmarkEnd w:id="45"/>
    <w:p>
      <w:pPr>
        <w:ind w:right="20" w:firstLine="233"/>
        <w:spacing w:after="0" w:line="25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80" w:lineRule="exact"/>
        <w:rPr>
          <w:rFonts w:ascii="Arial" w:cs="Arial" w:eastAsia="Arial" w:hAnsi="Arial"/>
          <w:sz w:val="18"/>
          <w:szCs w:val="18"/>
          <w:color w:val="auto"/>
        </w:rPr>
      </w:pPr>
    </w:p>
    <w:p>
      <w:pPr>
        <w:ind w:right="260" w:firstLine="233"/>
        <w:spacing w:after="0" w:line="302" w:lineRule="auto"/>
        <w:tabs>
          <w:tab w:leader="none" w:pos="49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Electronic Delivery of Documents</w:t>
      </w:r>
      <w:r>
        <w:rPr>
          <w:rFonts w:ascii="Arial" w:cs="Arial" w:eastAsia="Arial" w:hAnsi="Arial"/>
          <w:sz w:val="16"/>
          <w:szCs w:val="16"/>
          <w:color w:val="auto"/>
        </w:rPr>
        <w:t>. The Company may electronically deliver, via e-mail or posting on the Company’s website, these Terms, information with respect to the Plan or the stock option,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46" w:lineRule="exact"/>
        <w:rPr>
          <w:rFonts w:ascii="Arial" w:cs="Arial" w:eastAsia="Arial" w:hAnsi="Arial"/>
          <w:sz w:val="16"/>
          <w:szCs w:val="16"/>
          <w:color w:val="auto"/>
        </w:rPr>
      </w:pPr>
    </w:p>
    <w:p>
      <w:pPr>
        <w:ind w:right="100" w:firstLine="233"/>
        <w:spacing w:after="0" w:line="286" w:lineRule="auto"/>
        <w:tabs>
          <w:tab w:leader="none" w:pos="495"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between the parties with respect to the stock option granted hereunder. Any oral or written agreements, representations, warranties, written inducements, or other communications made prior to the execution of the Notice correlating to these Terms with respect to the stock option granted hereunder shall be void and ineffective for all purposes.</w:t>
      </w:r>
    </w:p>
    <w:p>
      <w:pPr>
        <w:spacing w:after="0" w:line="57" w:lineRule="exact"/>
        <w:rPr>
          <w:rFonts w:ascii="Arial" w:cs="Arial" w:eastAsia="Arial" w:hAnsi="Arial"/>
          <w:sz w:val="17"/>
          <w:szCs w:val="17"/>
          <w:color w:val="auto"/>
        </w:rPr>
      </w:pPr>
    </w:p>
    <w:p>
      <w:pPr>
        <w:ind w:left="500" w:hanging="267"/>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Provisions Concerning Incentive Stock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503"/>
        <w:spacing w:after="0" w:line="269" w:lineRule="auto"/>
        <w:tabs>
          <w:tab w:leader="none" w:pos="740"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Qualified Nature of the Option</w:t>
      </w:r>
      <w:r>
        <w:rPr>
          <w:rFonts w:ascii="Arial" w:cs="Arial" w:eastAsia="Arial" w:hAnsi="Arial"/>
          <w:sz w:val="17"/>
          <w:szCs w:val="17"/>
          <w:color w:val="auto"/>
        </w:rPr>
        <w:t>. This stock option is intended to qualify as an incentive stock option within the meaning of Internal Revenue Code section 422 (“</w:t>
      </w:r>
      <w:r>
        <w:rPr>
          <w:rFonts w:ascii="Arial" w:cs="Arial" w:eastAsia="Arial" w:hAnsi="Arial"/>
          <w:sz w:val="17"/>
          <w:szCs w:val="17"/>
          <w:i w:val="1"/>
          <w:iCs w:val="1"/>
          <w:color w:val="auto"/>
        </w:rPr>
        <w:t>Incentive Stock Option</w:t>
      </w:r>
      <w:r>
        <w:rPr>
          <w:rFonts w:ascii="Arial" w:cs="Arial" w:eastAsia="Arial" w:hAnsi="Arial"/>
          <w:sz w:val="17"/>
          <w:szCs w:val="17"/>
          <w:color w:val="auto"/>
        </w:rPr>
        <w:t>”), to the fullest extent permitted under Internal Revenue Code section 422, and this Agreement shall be so construed. The Company, however, does not warrant any particular tax consequences of the stock option. The aggregate fair market value (determined as of the effective date of this grant) of shares of stock with respect to which all Incentive Stock Options first become exercisable by you in any calendar year under the Plan or any other plan of the Company (and its parent and subsidiary corporations, as may exist from time to time) may not exceed $100,000 or such other amount as may be permitted from time to time under Internal Revenue Code section 422. To the extent that such aggregate fair market value shall exceed $100,000 or other applicable amount in any calendar year, such stock options shall be treated as nonstatutory stock options with respect to the amount of aggregate fair market value thereof that exceeds the Internal Revenue Code section 422 limit. For this purpose, the Incentive Stock Options will be taken into account in the order in which they were granted. In such case, the Company may designate the shares of stock that are to be treated as stock acquired pursuant to the exercise of an Incentive Stock Option and the shares of stock that are to be treated as stock acquired pursuant to a nonstatutory stock option by issuing separate certificates for such shares and identifying the certificates as such in the stock transfer records of the Company or by any other appropriate notation in the records of the Company.</w:t>
      </w:r>
    </w:p>
    <w:p>
      <w:pPr>
        <w:spacing w:after="0" w:line="72"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Except with respect to exercise after your death or disability, at all times during the period beginning with the date of the granting of an Incentive Stock Option and ending on the day three months before the date of such exercise, you must be an employee of the Company or a subsidiary, as that term is defined in Internal Revenue Code section 424(f), in order for such option to qualify as an Incentive Stock Option. Therefore, in the event that you retire with the consent of the Company, as provided in paragraph 5 hereof, any part of the Incentive Stock Option which is not exercised within three months of such termination will be exercisable as a nonstatutory stock option for the remainder of the thirteen-month exercise period. Similarly, if the entity with which you are employed ceases to be a subsidiary of the Company, as that term is defined in Internal Revenue Code section 424(f), then the stock option will be treated as a nonstatutory stock option unless exercised within three months of such cessation.</w:t>
      </w:r>
    </w:p>
    <w:p>
      <w:pPr>
        <w:spacing w:after="0" w:line="70" w:lineRule="exact"/>
        <w:rPr>
          <w:sz w:val="20"/>
          <w:szCs w:val="20"/>
          <w:color w:val="auto"/>
        </w:rPr>
      </w:pPr>
    </w:p>
    <w:p>
      <w:pPr>
        <w:ind w:right="220" w:firstLine="503"/>
        <w:spacing w:after="0" w:line="264" w:lineRule="auto"/>
        <w:tabs>
          <w:tab w:leader="none" w:pos="75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Notice of Disqualifying Disposition</w:t>
      </w:r>
      <w:r>
        <w:rPr>
          <w:rFonts w:ascii="Arial" w:cs="Arial" w:eastAsia="Arial" w:hAnsi="Arial"/>
          <w:sz w:val="18"/>
          <w:szCs w:val="18"/>
          <w:color w:val="auto"/>
        </w:rPr>
        <w:t>. If you make a disposition (as that term is defined in Internal Revenue Code section 424(c)) of any shares of stock acquired pursuant to this stock option within two years of the date of grant or within one year after the shares are issued to you, you must notify the Company of such disposition in writing within 30 days of the disposition.</w:t>
      </w:r>
    </w:p>
    <w:p>
      <w:pPr>
        <w:spacing w:after="0" w:line="73" w:lineRule="exact"/>
        <w:rPr>
          <w:rFonts w:ascii="Arial" w:cs="Arial" w:eastAsia="Arial" w:hAnsi="Arial"/>
          <w:sz w:val="18"/>
          <w:szCs w:val="18"/>
          <w:color w:val="auto"/>
        </w:rPr>
      </w:pPr>
    </w:p>
    <w:p>
      <w:pPr>
        <w:ind w:left="500" w:hanging="267"/>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40" w:hanging="237"/>
        <w:spacing w:after="0"/>
        <w:tabs>
          <w:tab w:leader="none" w:pos="7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At the time the stock option is exercised, in whole or in part, or at any time thereafter as requested by the Company, you hereby authorize</w:t>
      </w:r>
    </w:p>
    <w:p>
      <w:pPr>
        <w:spacing w:after="0" w:line="34" w:lineRule="exact"/>
        <w:rPr>
          <w:rFonts w:ascii="Arial" w:cs="Arial" w:eastAsia="Arial" w:hAnsi="Arial"/>
          <w:sz w:val="17"/>
          <w:szCs w:val="17"/>
          <w:color w:val="auto"/>
        </w:rPr>
      </w:pPr>
    </w:p>
    <w:p>
      <w:pPr>
        <w:ind w:right="40"/>
        <w:spacing w:after="0" w:line="273" w:lineRule="auto"/>
        <w:rPr>
          <w:rFonts w:ascii="Arial" w:cs="Arial" w:eastAsia="Arial" w:hAnsi="Arial"/>
          <w:sz w:val="17"/>
          <w:szCs w:val="17"/>
          <w:color w:val="auto"/>
        </w:rPr>
      </w:pPr>
      <w:r>
        <w:rPr>
          <w:rFonts w:ascii="Arial" w:cs="Arial" w:eastAsia="Arial" w:hAnsi="Arial"/>
          <w:sz w:val="17"/>
          <w:szCs w:val="17"/>
          <w:color w:val="auto"/>
        </w:rPr>
        <w:t>withholding from payroll or any other payment of any kind due you and otherwise agree to make adequate provision for foreign, federal, state and local taxes required by law to be withheld, if any, which arise in connection with the stock option. The Company may require you to make a cash payment to cover any withholding tax obligation as a condition of exercise of the stock option. If you do not make such payment when requested, the Company may refuse to issue any stock or stock certificate under the Plan until arrangements satisfactory to the Company for such payment have been made.</w:t>
      </w:r>
    </w:p>
    <w:p>
      <w:pPr>
        <w:spacing w:after="0" w:line="68" w:lineRule="exact"/>
        <w:rPr>
          <w:rFonts w:ascii="Arial" w:cs="Arial" w:eastAsia="Arial" w:hAnsi="Arial"/>
          <w:sz w:val="17"/>
          <w:szCs w:val="17"/>
          <w:color w:val="auto"/>
        </w:rPr>
      </w:pPr>
    </w:p>
    <w:p>
      <w:pPr>
        <w:ind w:right="200" w:firstLine="503"/>
        <w:spacing w:after="0" w:line="259" w:lineRule="auto"/>
        <w:tabs>
          <w:tab w:leader="none" w:pos="74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Company may, in its sole discretion, permit you to satisfy, in whole or in part, any withholding tax obligation which may arise in connection with the stock option either by electing to have the Company withhold from the shares to be issued upon exercise that number of shares, or by electing to deliver to the Company already-owned shares, in either case having a fair market value equal to no more than the amount necessary to satisfy the statutory minimum withholding amount due.</w:t>
      </w:r>
    </w:p>
    <w:p>
      <w:pPr>
        <w:spacing w:after="0" w:line="78" w:lineRule="exact"/>
        <w:rPr>
          <w:rFonts w:ascii="Arial" w:cs="Arial" w:eastAsia="Arial" w:hAnsi="Arial"/>
          <w:sz w:val="18"/>
          <w:szCs w:val="18"/>
          <w:color w:val="auto"/>
        </w:rPr>
      </w:pPr>
    </w:p>
    <w:p>
      <w:pPr>
        <w:ind w:right="120" w:firstLine="233"/>
        <w:spacing w:after="0" w:line="297" w:lineRule="auto"/>
        <w:tabs>
          <w:tab w:leader="none" w:pos="49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Conformity with Plan</w:t>
      </w:r>
      <w:r>
        <w:rPr>
          <w:rFonts w:ascii="Arial" w:cs="Arial" w:eastAsia="Arial" w:hAnsi="Arial"/>
          <w:sz w:val="16"/>
          <w:szCs w:val="16"/>
          <w:color w:val="auto"/>
        </w:rPr>
        <w:t>. These Terms are intended to conform in all respects with, and are subject to all applicable provisions of, the Plan. Except as may be necessary to give effect to the amendment provisions of paragraph 13 of these Terms, any inconsistencies between these Terms and the Plan shall be resolved in accordance with the terms of the Plan. In the event of any ambiguity in these Terms or any matters as to which these Terms are silent, the Plan shall govern. A copy of the Plan is available at https://www2.troweprice.com/options or in hard copy upon request to the Company’s Payroll and Stock Transaction Group in the CFO-Finance Department at BA-0372 in the Baltimore office or by telephone, at extension 7716.</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6" w:name="page47"/>
    <w:bookmarkEnd w:id="46"/>
    <w:p>
      <w:pPr>
        <w:ind w:left="-8" w:right="20" w:firstLine="233"/>
        <w:spacing w:after="0" w:line="257" w:lineRule="auto"/>
        <w:tabs>
          <w:tab w:leader="none" w:pos="487"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 hereto will be brought in the federal or state courts in the districts which include Baltimore, Maryland, and you hereby agree and submit to the personal jurisdiction and venue thereof.</w:t>
      </w:r>
    </w:p>
    <w:p>
      <w:pPr>
        <w:spacing w:after="0" w:line="80" w:lineRule="exact"/>
        <w:rPr>
          <w:rFonts w:ascii="Arial" w:cs="Arial" w:eastAsia="Arial" w:hAnsi="Arial"/>
          <w:sz w:val="18"/>
          <w:szCs w:val="18"/>
          <w:color w:val="auto"/>
        </w:rPr>
      </w:pPr>
    </w:p>
    <w:p>
      <w:pPr>
        <w:ind w:left="-8" w:right="120" w:firstLine="233"/>
        <w:spacing w:after="0" w:line="312" w:lineRule="auto"/>
        <w:tabs>
          <w:tab w:leader="none" w:pos="487"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disagreement which shall arise under, or as a result of, or pursuant to, this Agreement shall be determined by the Committee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w:t>
      </w:r>
    </w:p>
    <w:p>
      <w:pPr>
        <w:spacing w:after="0" w:line="38" w:lineRule="exact"/>
        <w:rPr>
          <w:rFonts w:ascii="Arial" w:cs="Arial" w:eastAsia="Arial" w:hAnsi="Arial"/>
          <w:sz w:val="16"/>
          <w:szCs w:val="16"/>
          <w:color w:val="auto"/>
        </w:rPr>
      </w:pPr>
    </w:p>
    <w:p>
      <w:pPr>
        <w:ind w:left="-8" w:firstLine="233"/>
        <w:spacing w:after="0" w:line="285" w:lineRule="auto"/>
        <w:tabs>
          <w:tab w:leader="none" w:pos="487"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No Future Entitlement</w:t>
      </w:r>
      <w:r>
        <w:rPr>
          <w:rFonts w:ascii="Arial" w:cs="Arial" w:eastAsia="Arial" w:hAnsi="Arial"/>
          <w:sz w:val="16"/>
          <w:szCs w:val="16"/>
          <w:color w:val="auto"/>
        </w:rPr>
        <w:t>. By execution of the Notice, you acknowledge and agree that: (i) the grant of a stock option is a one-time benefit which does not create any contractual or other right to receive future grants of stock options, or compensation in lieu of stock options, even if stock options have been granted repeatedly in the past; (ii) all determinations with respect to any such future grants, including, but not limited to, the times when stock options shall be granted or shall become exercisable, the maximum number of shares subject to each stock option, and the purchase price, will be at the sole discretion of the Committee; (iii) the value of the stock option is an extraordinary item of compensation which is outside the scope of your employment contract, if any;</w:t>
      </w:r>
    </w:p>
    <w:p>
      <w:pPr>
        <w:spacing w:after="0" w:line="2" w:lineRule="exact"/>
        <w:rPr>
          <w:rFonts w:ascii="Arial" w:cs="Arial" w:eastAsia="Arial" w:hAnsi="Arial"/>
          <w:sz w:val="16"/>
          <w:szCs w:val="16"/>
          <w:color w:val="auto"/>
        </w:rPr>
      </w:pPr>
    </w:p>
    <w:p>
      <w:pPr>
        <w:ind w:left="-8" w:right="40" w:firstLine="8"/>
        <w:spacing w:after="0" w:line="270" w:lineRule="auto"/>
        <w:tabs>
          <w:tab w:leader="none" w:pos="29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value of the stock option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stock option ceases upon termination of Service with the Company or transfer of employment from the Company, or other cessation of eligibility for any reason, except as may otherwise be explicitly provided this Agreement; (vi) if the underlying stock does not increase in value, this stock option will have no value, nor does the Company guarantee any future value; and (vii) no claim or entitlement to compensation or damages arises if the stock option does not increase in value and you irrevocably release the Company from any such claim that does arise.</w:t>
      </w:r>
    </w:p>
    <w:p>
      <w:pPr>
        <w:spacing w:after="0" w:line="70" w:lineRule="exact"/>
        <w:rPr>
          <w:rFonts w:ascii="Arial" w:cs="Arial" w:eastAsia="Arial" w:hAnsi="Arial"/>
          <w:sz w:val="17"/>
          <w:szCs w:val="17"/>
          <w:color w:val="auto"/>
        </w:rPr>
      </w:pPr>
    </w:p>
    <w:p>
      <w:pPr>
        <w:ind w:left="-8" w:right="20" w:firstLine="233"/>
        <w:spacing w:after="0" w:line="287" w:lineRule="auto"/>
        <w:tabs>
          <w:tab w:leader="none" w:pos="487"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Personal Data</w:t>
      </w:r>
      <w:r>
        <w:rPr>
          <w:rFonts w:ascii="Arial" w:cs="Arial" w:eastAsia="Arial" w:hAnsi="Arial"/>
          <w:sz w:val="16"/>
          <w:szCs w:val="16"/>
          <w:color w:val="auto"/>
        </w:rPr>
        <w:t>. For the exclusive purpose of implementing, administering and managing the stock option, you, by execution of the Notice, consent to the collection, receipt, use, retention and transfer, in electronic or other form, of your personal data by and among the Company and its third party vendors.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exercised, vested and unvested) may be transferred to third parties assisting in the implementation, administration and management of the stock option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stock option.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at BA-0372 in the Baltimore office. You understand, however, that refusing or withdrawing your consent may affect your ability to accept a stock option.</w:t>
      </w:r>
    </w:p>
    <w:p>
      <w:pPr>
        <w:spacing w:after="0" w:line="60" w:lineRule="exact"/>
        <w:rPr>
          <w:rFonts w:ascii="Arial" w:cs="Arial" w:eastAsia="Arial" w:hAnsi="Arial"/>
          <w:sz w:val="16"/>
          <w:szCs w:val="16"/>
          <w:color w:val="auto"/>
        </w:rPr>
      </w:pPr>
    </w:p>
    <w:p>
      <w:pPr>
        <w:ind w:left="492" w:hanging="267"/>
        <w:spacing w:after="0"/>
        <w:tabs>
          <w:tab w:leader="none" w:pos="492"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Agreement are for reference purposes only and shall not affect the meaning or interpretation of this Agreement.</w:t>
      </w:r>
    </w:p>
    <w:p>
      <w:pPr>
        <w:spacing w:after="0" w:line="34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6"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GLOSSARY</w:t>
      </w:r>
    </w:p>
    <w:p>
      <w:pPr>
        <w:spacing w:after="0" w:line="117" w:lineRule="exact"/>
        <w:rPr>
          <w:sz w:val="20"/>
          <w:szCs w:val="20"/>
          <w:color w:val="auto"/>
        </w:rPr>
      </w:pPr>
    </w:p>
    <w:p>
      <w:pPr>
        <w:ind w:right="80" w:firstLine="233"/>
        <w:spacing w:after="0" w:line="264" w:lineRule="auto"/>
        <w:tabs>
          <w:tab w:leader="none" w:pos="47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in which the Company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17" w:lineRule="exact"/>
        <w:rPr>
          <w:rFonts w:ascii="Arial" w:cs="Arial" w:eastAsia="Arial" w:hAnsi="Arial"/>
          <w:sz w:val="18"/>
          <w:szCs w:val="18"/>
          <w:color w:val="auto"/>
        </w:rPr>
      </w:pPr>
    </w:p>
    <w:p>
      <w:pPr>
        <w:ind w:right="220" w:firstLine="233"/>
        <w:spacing w:after="0" w:line="297" w:lineRule="auto"/>
        <w:tabs>
          <w:tab w:leader="none" w:pos="470" w:val="left"/>
        </w:tabs>
        <w:numPr>
          <w:ilvl w:val="1"/>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Approval Date</w:t>
      </w:r>
      <w:r>
        <w:rPr>
          <w:rFonts w:ascii="Arial" w:cs="Arial" w:eastAsia="Arial" w:hAnsi="Arial"/>
          <w:sz w:val="16"/>
          <w:szCs w:val="16"/>
          <w:color w:val="auto"/>
        </w:rPr>
        <w:t>” means the date of the approval of the Company’s Board of Directors of an agreement providing for an exchange offer, merger, consolidation or other business combination, sale or disposition of all or substantially all of the assets of the Company, or any combination of the foregoing transactions as a result of the consummation of which the persons who were directors of the Company immediately before the transaction shall cease to constitute a majority of the Board of Directors of the Company or any successor to the Company or the persons who were stockholders of the Company immediately before the Approval Date will own less than a majority of the outstanding voting stock of the Company or any successor to the Company.</w:t>
      </w:r>
    </w:p>
    <w:p>
      <w:pPr>
        <w:spacing w:after="0" w:line="50" w:lineRule="exact"/>
        <w:rPr>
          <w:rFonts w:ascii="Arial" w:cs="Arial" w:eastAsia="Arial" w:hAnsi="Arial"/>
          <w:sz w:val="16"/>
          <w:szCs w:val="16"/>
          <w:color w:val="auto"/>
        </w:rPr>
      </w:pPr>
    </w:p>
    <w:p>
      <w:pPr>
        <w:ind w:left="480" w:hanging="247"/>
        <w:spacing w:after="0"/>
        <w:tabs>
          <w:tab w:leader="none" w:pos="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A “Change of Control” shall be deemed to have taken place on the date of the earlier to occur of either of the following events:</w:t>
      </w:r>
    </w:p>
    <w:p>
      <w:pPr>
        <w:spacing w:after="0" w:line="46" w:lineRule="exact"/>
        <w:rPr>
          <w:rFonts w:ascii="Arial" w:cs="Arial" w:eastAsia="Arial" w:hAnsi="Arial"/>
          <w:sz w:val="16"/>
          <w:szCs w:val="16"/>
          <w:color w:val="auto"/>
        </w:rPr>
      </w:pPr>
    </w:p>
    <w:p>
      <w:pPr>
        <w:ind w:right="80" w:firstLine="8"/>
        <w:spacing w:after="0" w:line="290" w:lineRule="auto"/>
        <w:tabs>
          <w:tab w:leader="none" w:pos="2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third party, including a “group” as defined in Section 13(d)(3) of the Securities Exchange Act of 1934, becomes the beneficial owner of 25% or more of the Company’s outstanding common stock, or (ii) as the result of, or in connection with, any cash tender or exchange offer, merger, consolidation or other business combination, sale or disposition of all or substantially all of the Company’s assets, or contested election, or any combination of the foregoing transactions (a “</w:t>
      </w:r>
      <w:r>
        <w:rPr>
          <w:rFonts w:ascii="Arial" w:cs="Arial" w:eastAsia="Arial" w:hAnsi="Arial"/>
          <w:sz w:val="16"/>
          <w:szCs w:val="16"/>
          <w:b w:val="1"/>
          <w:bCs w:val="1"/>
          <w:i w:val="1"/>
          <w:iCs w:val="1"/>
          <w:color w:val="auto"/>
        </w:rPr>
        <w:t>Transaction</w:t>
      </w:r>
      <w:r>
        <w:rPr>
          <w:rFonts w:ascii="Arial" w:cs="Arial" w:eastAsia="Arial" w:hAnsi="Arial"/>
          <w:sz w:val="16"/>
          <w:szCs w:val="16"/>
          <w:color w:val="auto"/>
        </w:rPr>
        <w:t>”), the persons who were directors of the Company immediately before the Transaction shall cease to constitute a majority of the Board of Directors of the Company or any successor to the Company or the persons who were stockholders of the Company immediately before the Transaction shall cease to own at least a majority of the outstanding voting stock of the Company or any successor to the Company.</w:t>
      </w:r>
    </w:p>
    <w:p>
      <w:pPr>
        <w:spacing w:after="0" w:line="56" w:lineRule="exact"/>
        <w:rPr>
          <w:rFonts w:ascii="Arial" w:cs="Arial" w:eastAsia="Arial" w:hAnsi="Arial"/>
          <w:sz w:val="16"/>
          <w:szCs w:val="16"/>
          <w:color w:val="auto"/>
        </w:rPr>
      </w:pPr>
    </w:p>
    <w:p>
      <w:pPr>
        <w:ind w:right="100" w:firstLine="233"/>
        <w:spacing w:after="0" w:line="277" w:lineRule="auto"/>
        <w:tabs>
          <w:tab w:leader="none" w:pos="47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Executive Compensation Committee of the Board of Directors of T. Rowe Price Group, Inc. or such committee or committees appointed by the Board to administer the Plan.</w:t>
      </w:r>
    </w:p>
    <w:p>
      <w:pPr>
        <w:spacing w:after="0" w:line="62" w:lineRule="exact"/>
        <w:rPr>
          <w:rFonts w:ascii="Arial" w:cs="Arial" w:eastAsia="Arial" w:hAnsi="Arial"/>
          <w:sz w:val="18"/>
          <w:szCs w:val="18"/>
          <w:color w:val="auto"/>
        </w:rPr>
      </w:pPr>
    </w:p>
    <w:p>
      <w:pPr>
        <w:ind w:right="280" w:firstLine="233"/>
        <w:spacing w:after="0" w:line="277" w:lineRule="auto"/>
        <w:tabs>
          <w:tab w:leader="none" w:pos="45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except where the context otherwise requires. For purposes of determining whether a Change of Control has occurred, Company shall mean only T. Rowe Price Group, Inc.</w:t>
      </w:r>
    </w:p>
    <w:p>
      <w:pPr>
        <w:spacing w:after="0" w:line="62" w:lineRule="exact"/>
        <w:rPr>
          <w:rFonts w:ascii="Arial" w:cs="Arial" w:eastAsia="Arial" w:hAnsi="Arial"/>
          <w:sz w:val="18"/>
          <w:szCs w:val="18"/>
          <w:color w:val="auto"/>
        </w:rPr>
      </w:pPr>
    </w:p>
    <w:p>
      <w:pPr>
        <w:ind w:right="40" w:firstLine="233"/>
        <w:spacing w:after="0" w:line="257" w:lineRule="auto"/>
        <w:tabs>
          <w:tab w:leader="none" w:pos="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on which a Change of Control occurs. Anything in this Agreement to the contrary notwithstanding, if a Change of Control occurs, and if your Service had terminated prior to the date on which the Change of Control occurred, and if it is reasonably demonstrated by you that such termination of Service either was at the request of a third party who had taken steps reasonably calculated to effect the Change of Control or otherwise arose in connection with or in anticipation of the Change of Control, then, for all purposes of this Agreement, the term “Effective Date” shall mean the date immediately prior to the date of such termination of Service.</w:t>
      </w:r>
    </w:p>
    <w:p>
      <w:pPr>
        <w:spacing w:after="0" w:line="80" w:lineRule="exact"/>
        <w:rPr>
          <w:rFonts w:ascii="Arial" w:cs="Arial" w:eastAsia="Arial" w:hAnsi="Arial"/>
          <w:sz w:val="18"/>
          <w:szCs w:val="18"/>
          <w:color w:val="auto"/>
        </w:rPr>
      </w:pPr>
    </w:p>
    <w:p>
      <w:pPr>
        <w:ind w:right="100" w:firstLine="233"/>
        <w:spacing w:after="0" w:line="342" w:lineRule="auto"/>
        <w:tabs>
          <w:tab w:leader="none" w:pos="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Exercise Date</w:t>
      </w:r>
      <w:r>
        <w:rPr>
          <w:rFonts w:ascii="Arial" w:cs="Arial" w:eastAsia="Arial" w:hAnsi="Arial"/>
          <w:sz w:val="16"/>
          <w:szCs w:val="16"/>
          <w:color w:val="auto"/>
        </w:rPr>
        <w:t>” means the business day upon which you deliver to the Company the Exercise Notice and payment of the aggregate purchase price for the shares specified therein in accordance with the requirements of paragraph 3(a); provided that all of the conditions of the Agreement are satisfied.</w:t>
      </w:r>
    </w:p>
    <w:p>
      <w:pPr>
        <w:spacing w:after="0" w:line="15" w:lineRule="exact"/>
        <w:rPr>
          <w:rFonts w:ascii="Arial" w:cs="Arial" w:eastAsia="Arial" w:hAnsi="Arial"/>
          <w:sz w:val="16"/>
          <w:szCs w:val="16"/>
          <w:color w:val="auto"/>
        </w:rPr>
      </w:pPr>
    </w:p>
    <w:p>
      <w:pPr>
        <w:ind w:right="80" w:firstLine="233"/>
        <w:spacing w:after="0" w:line="277" w:lineRule="auto"/>
        <w:tabs>
          <w:tab w:leader="none" w:pos="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Notice</w:t>
      </w:r>
      <w:r>
        <w:rPr>
          <w:rFonts w:ascii="Arial" w:cs="Arial" w:eastAsia="Arial" w:hAnsi="Arial"/>
          <w:sz w:val="18"/>
          <w:szCs w:val="18"/>
          <w:color w:val="auto"/>
        </w:rPr>
        <w:t>” means the written notice, in such form as may be required from time to time by the Committee, specifying the number of shares you desire to purchase under the stock option.</w:t>
      </w:r>
    </w:p>
    <w:p>
      <w:pPr>
        <w:spacing w:after="0" w:line="62" w:lineRule="exact"/>
        <w:rPr>
          <w:rFonts w:ascii="Arial" w:cs="Arial" w:eastAsia="Arial" w:hAnsi="Arial"/>
          <w:sz w:val="18"/>
          <w:szCs w:val="18"/>
          <w:color w:val="auto"/>
        </w:rPr>
      </w:pPr>
    </w:p>
    <w:p>
      <w:pPr>
        <w:ind w:right="520" w:firstLine="233"/>
        <w:spacing w:after="0" w:line="277" w:lineRule="auto"/>
        <w:tabs>
          <w:tab w:leader="none" w:pos="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Grant of Stock Options and Option Agreement which correlates with these Terms and sets forth the specifics of the applicable stock option grant.</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2004 Stock Incentive Plan.</w:t>
      </w:r>
    </w:p>
    <w:p>
      <w:pPr>
        <w:spacing w:after="0" w:line="113" w:lineRule="exact"/>
        <w:rPr>
          <w:rFonts w:ascii="Arial" w:cs="Arial" w:eastAsia="Arial" w:hAnsi="Arial"/>
          <w:sz w:val="18"/>
          <w:szCs w:val="18"/>
          <w:color w:val="auto"/>
        </w:rPr>
      </w:pPr>
    </w:p>
    <w:p>
      <w:pPr>
        <w:ind w:right="40" w:firstLine="233"/>
        <w:spacing w:after="0" w:line="266" w:lineRule="auto"/>
        <w:tabs>
          <w:tab w:leader="none" w:pos="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employment with the Company or any of its Affiliates. Your Service will be considered to have ceased with the Company and its Affiliates if, immediately after a sale, merger or other corporate transaction, the trade, business or entity with which you are employed is not T. Rowe Price Group, Inc. or an Affiliate of T. Rowe Price Group, Inc.</w:t>
      </w:r>
    </w:p>
    <w:p>
      <w:pPr>
        <w:spacing w:after="0" w:line="72" w:lineRule="exact"/>
        <w:rPr>
          <w:rFonts w:ascii="Arial" w:cs="Arial" w:eastAsia="Arial" w:hAnsi="Arial"/>
          <w:sz w:val="18"/>
          <w:szCs w:val="18"/>
          <w:color w:val="auto"/>
        </w:rPr>
      </w:pPr>
    </w:p>
    <w:p>
      <w:pPr>
        <w:ind w:right="120" w:firstLine="233"/>
        <w:spacing w:after="0" w:line="259" w:lineRule="auto"/>
        <w:tabs>
          <w:tab w:leader="none" w:pos="5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stock option as reflected in the Notice. Whenever the word “you” or “your” is used in any provision of this Agreement under circumstances where the provision should logically be construed, as determined by the Committee, to apply to the estate, personal representative, or beneficiary to whom the stock option may be transferred by will or by the laws of descent and distribution or otherwise pursuant to the terms of this Agreement, the words “you” and “your” shall be deemed to include such person.</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color w:val="auto"/>
        </w:rPr>
        <w:t>T. ROWE PRICE GROUP, INC.</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[2001] [2004] STOCK INCENTIVE PLAN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 OF ADDITIONAL TERMS AND CONDITIONS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REGARDING OPTION GRANTS (NON-QUALIFIED OPTIONS)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Effective: September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203835</wp:posOffset>
            </wp:positionV>
            <wp:extent cx="18783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This Statement of Additional Terms and Conditions Regarding the Option Grants (the “</w:t>
      </w:r>
      <w:r>
        <w:rPr>
          <w:rFonts w:ascii="Arial" w:cs="Arial" w:eastAsia="Arial" w:hAnsi="Arial"/>
          <w:sz w:val="17"/>
          <w:szCs w:val="17"/>
          <w:b w:val="1"/>
          <w:bCs w:val="1"/>
          <w:i w:val="1"/>
          <w:iCs w:val="1"/>
          <w:color w:val="auto"/>
        </w:rPr>
        <w:t>Terms</w:t>
      </w:r>
      <w:r>
        <w:rPr>
          <w:rFonts w:ascii="Arial" w:cs="Arial" w:eastAsia="Arial" w:hAnsi="Arial"/>
          <w:sz w:val="17"/>
          <w:szCs w:val="17"/>
          <w:color w:val="auto"/>
        </w:rPr>
        <w:t>”) and all of the provisions of the T. Rowe Price Group, Inc. 2004 Stock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are incorporated into your grant of a non-qualified stock option, the specifics of which are described on the “Notice of Grant of Stock Options and Option Agreement”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that you received. Once the Notice has been executed by you and by an authorized officer or agent of T. Rowe Price Group, Inc., the Terms, the Plan, and the Notice, together, constitute a binding and enforceable contract respecting your grant of a non-qualified stock option. That contract is referred to in this document as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p>
    <w:p>
      <w:pPr>
        <w:spacing w:after="0" w:line="64" w:lineRule="exact"/>
        <w:rPr>
          <w:sz w:val="20"/>
          <w:szCs w:val="20"/>
          <w:color w:val="auto"/>
        </w:rPr>
      </w:pPr>
    </w:p>
    <w:p>
      <w:pPr>
        <w:ind w:left="420" w:hanging="187"/>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this document are defined in the Glossary at the end of this document.</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16"/>
        </w:numPr>
        <w:rPr>
          <w:rFonts w:ascii="Arial" w:cs="Arial" w:eastAsia="Arial" w:hAnsi="Arial"/>
          <w:sz w:val="18"/>
          <w:szCs w:val="18"/>
          <w:i w:val="1"/>
          <w:iCs w:val="1"/>
          <w:color w:val="auto"/>
        </w:rPr>
      </w:pPr>
      <w:r>
        <w:rPr>
          <w:rFonts w:ascii="Arial" w:cs="Arial" w:eastAsia="Arial" w:hAnsi="Arial"/>
          <w:sz w:val="18"/>
          <w:szCs w:val="18"/>
          <w:u w:val="single" w:color="auto"/>
          <w:color w:val="auto"/>
        </w:rPr>
        <w:t>Stock Option Exercise Rights</w:t>
      </w:r>
      <w:r>
        <w:rPr>
          <w:rFonts w:ascii="Arial" w:cs="Arial" w:eastAsia="Arial" w:hAnsi="Arial"/>
          <w:sz w:val="18"/>
          <w:szCs w:val="18"/>
          <w:color w:val="auto"/>
        </w:rPr>
        <w:t>.</w:t>
      </w:r>
    </w:p>
    <w:p>
      <w:pPr>
        <w:spacing w:after="0" w:line="117" w:lineRule="exact"/>
        <w:rPr>
          <w:rFonts w:ascii="Arial" w:cs="Arial" w:eastAsia="Arial" w:hAnsi="Arial"/>
          <w:sz w:val="18"/>
          <w:szCs w:val="18"/>
          <w:i w:val="1"/>
          <w:iCs w:val="1"/>
          <w:color w:val="auto"/>
        </w:rPr>
      </w:pPr>
    </w:p>
    <w:p>
      <w:pPr>
        <w:ind w:right="80" w:firstLine="413"/>
        <w:spacing w:after="0" w:line="308" w:lineRule="auto"/>
        <w:tabs>
          <w:tab w:leader="none" w:pos="650" w:val="left"/>
        </w:tabs>
        <w:numPr>
          <w:ilvl w:val="1"/>
          <w:numId w:val="16"/>
        </w:numPr>
        <w:rPr>
          <w:rFonts w:ascii="Arial" w:cs="Arial" w:eastAsia="Arial" w:hAnsi="Arial"/>
          <w:sz w:val="17"/>
          <w:szCs w:val="17"/>
          <w:color w:val="auto"/>
        </w:rPr>
      </w:pPr>
      <w:r>
        <w:rPr>
          <w:rFonts w:ascii="Arial" w:cs="Arial" w:eastAsia="Arial" w:hAnsi="Arial"/>
          <w:sz w:val="17"/>
          <w:szCs w:val="17"/>
          <w:color w:val="auto"/>
        </w:rPr>
        <w:t>So long as your Service is continuous from the date of grant through the applicable date upon which vesting is scheduled to occur, your stock option will become exercisable in installments, for the number of shares so specified, on the vesting dates set forth in the correlating Notice.</w:t>
      </w:r>
    </w:p>
    <w:p>
      <w:pPr>
        <w:spacing w:after="0" w:line="38" w:lineRule="exact"/>
        <w:rPr>
          <w:rFonts w:ascii="Arial" w:cs="Arial" w:eastAsia="Arial" w:hAnsi="Arial"/>
          <w:sz w:val="17"/>
          <w:szCs w:val="17"/>
          <w:color w:val="auto"/>
        </w:rPr>
      </w:pPr>
    </w:p>
    <w:p>
      <w:pPr>
        <w:ind w:left="660" w:hanging="247"/>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Committee may in its discretion accelerate the time at which the stock option may be exercised.</w:t>
      </w:r>
    </w:p>
    <w:p>
      <w:pPr>
        <w:spacing w:after="0" w:line="117" w:lineRule="exact"/>
        <w:rPr>
          <w:rFonts w:ascii="Arial" w:cs="Arial" w:eastAsia="Arial" w:hAnsi="Arial"/>
          <w:sz w:val="18"/>
          <w:szCs w:val="18"/>
          <w:color w:val="auto"/>
        </w:rPr>
      </w:pPr>
    </w:p>
    <w:p>
      <w:pPr>
        <w:ind w:right="200" w:firstLine="413"/>
        <w:spacing w:after="0" w:line="277" w:lineRule="auto"/>
        <w:tabs>
          <w:tab w:leader="none" w:pos="6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the extent not exercised, installments will accumulate and be exercisable by you, in whole or in part, at any time before the stock option expires or is otherwise terminated.</w:t>
      </w:r>
    </w:p>
    <w:p>
      <w:pPr>
        <w:spacing w:after="0" w:line="62" w:lineRule="exact"/>
        <w:rPr>
          <w:rFonts w:ascii="Arial" w:cs="Arial" w:eastAsia="Arial" w:hAnsi="Arial"/>
          <w:sz w:val="18"/>
          <w:szCs w:val="18"/>
          <w:color w:val="auto"/>
        </w:rPr>
      </w:pPr>
    </w:p>
    <w:p>
      <w:pPr>
        <w:ind w:right="260" w:firstLine="413"/>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 less than 100 shares of T. Rowe Price Group common stock may be purchased upon any one exercise of the stock option unless the number of shares purchased at such time is the total number of shares in respect of which the stock option is then exercisable.</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no event will the stock option be exercisable for a fractional share.</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 and Payment of Purchase Price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60" w:firstLine="413"/>
        <w:spacing w:after="0" w:line="264" w:lineRule="auto"/>
        <w:tabs>
          <w:tab w:leader="none" w:pos="6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exercise the stock option, you must deliver to the Company, from time to time, on any business day after the stock option has become exercisable and before it expires or otherwise terminates, an Exercise Notice specifying the number of shares you then desire to purchase and pay the aggregate purchase price for the shares specified in the Exercise Notice. The purchase price may be paid:</w:t>
      </w:r>
    </w:p>
    <w:p>
      <w:pPr>
        <w:spacing w:after="0" w:line="73" w:lineRule="exact"/>
        <w:rPr>
          <w:rFonts w:ascii="Arial" w:cs="Arial" w:eastAsia="Arial" w:hAnsi="Arial"/>
          <w:sz w:val="18"/>
          <w:szCs w:val="18"/>
          <w:color w:val="auto"/>
        </w:rPr>
      </w:pPr>
    </w:p>
    <w:p>
      <w:pPr>
        <w:ind w:left="240" w:right="300" w:firstLine="401"/>
        <w:spacing w:after="0" w:line="342" w:lineRule="auto"/>
        <w:tabs>
          <w:tab w:leader="none" w:pos="860" w:val="left"/>
        </w:tabs>
        <w:numPr>
          <w:ilvl w:val="2"/>
          <w:numId w:val="16"/>
        </w:numPr>
        <w:rPr>
          <w:rFonts w:ascii="Arial" w:cs="Arial" w:eastAsia="Arial" w:hAnsi="Arial"/>
          <w:sz w:val="16"/>
          <w:szCs w:val="16"/>
          <w:color w:val="auto"/>
        </w:rPr>
      </w:pPr>
      <w:r>
        <w:rPr>
          <w:rFonts w:ascii="Arial" w:cs="Arial" w:eastAsia="Arial" w:hAnsi="Arial"/>
          <w:sz w:val="16"/>
          <w:szCs w:val="16"/>
          <w:color w:val="auto"/>
        </w:rPr>
        <w:t>by cash, check, wire transfer, bank draft or postal or express money order to the order of the Company for an amount in United States dollars equal to the aggregate purchase price for the number of shares specified in the Exercise Notice, such payment to be delivered with the Exercise Notice;</w:t>
      </w:r>
    </w:p>
    <w:p>
      <w:pPr>
        <w:spacing w:after="0" w:line="15" w:lineRule="exact"/>
        <w:rPr>
          <w:rFonts w:ascii="Arial" w:cs="Arial" w:eastAsia="Arial" w:hAnsi="Arial"/>
          <w:sz w:val="16"/>
          <w:szCs w:val="16"/>
          <w:color w:val="auto"/>
        </w:rPr>
      </w:pPr>
    </w:p>
    <w:p>
      <w:pPr>
        <w:ind w:left="240" w:right="40" w:firstLine="401"/>
        <w:spacing w:after="0" w:line="279" w:lineRule="auto"/>
        <w:tabs>
          <w:tab w:leader="none" w:pos="910" w:val="left"/>
        </w:tabs>
        <w:numPr>
          <w:ilvl w:val="2"/>
          <w:numId w:val="16"/>
        </w:numPr>
        <w:rPr>
          <w:rFonts w:ascii="Arial" w:cs="Arial" w:eastAsia="Arial" w:hAnsi="Arial"/>
          <w:sz w:val="17"/>
          <w:szCs w:val="17"/>
          <w:color w:val="auto"/>
        </w:rPr>
      </w:pPr>
      <w:r>
        <w:rPr>
          <w:rFonts w:ascii="Arial" w:cs="Arial" w:eastAsia="Arial" w:hAnsi="Arial"/>
          <w:sz w:val="17"/>
          <w:szCs w:val="17"/>
          <w:color w:val="auto"/>
        </w:rPr>
        <w:t>unless limited by the Committee, by tender of shares of T. Rowe Price Group common stock with a value (determined in accordance with paragraph 3(c)) equal to or less than the aggregate purchase price plus cash, check, wire transfer, bank draft or postal or express money order to the order of the Company for an amount in United States dollars equal to the amount, if any, by which the aggregate purchase price exceeds the value of such shares of T. Rowe Price Group common stock (determined in accordance with paragraph 3(c));</w:t>
      </w:r>
    </w:p>
    <w:p>
      <w:pPr>
        <w:spacing w:after="0" w:line="63" w:lineRule="exact"/>
        <w:rPr>
          <w:rFonts w:ascii="Arial" w:cs="Arial" w:eastAsia="Arial" w:hAnsi="Arial"/>
          <w:sz w:val="17"/>
          <w:szCs w:val="17"/>
          <w:color w:val="auto"/>
        </w:rPr>
      </w:pPr>
    </w:p>
    <w:p>
      <w:pPr>
        <w:ind w:left="960" w:hanging="319"/>
        <w:spacing w:after="0"/>
        <w:tabs>
          <w:tab w:leader="none" w:pos="9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by broker-assisted cashless exercise in accordance with procedures satisfactory to the Committee; or</w:t>
      </w:r>
    </w:p>
    <w:p>
      <w:pPr>
        <w:spacing w:after="0" w:line="117" w:lineRule="exact"/>
        <w:rPr>
          <w:rFonts w:ascii="Arial" w:cs="Arial" w:eastAsia="Arial" w:hAnsi="Arial"/>
          <w:sz w:val="18"/>
          <w:szCs w:val="18"/>
          <w:color w:val="auto"/>
        </w:rPr>
      </w:pPr>
    </w:p>
    <w:p>
      <w:pPr>
        <w:ind w:left="940" w:hanging="299"/>
        <w:spacing w:after="0"/>
        <w:tabs>
          <w:tab w:leader="none" w:pos="9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by a combination of these methods.</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the case of payment in shares of T. Rowe Price Group common stock, such payment must be made by no later than the end of the first business day after the Exercise Date, by delivery of the necessary share certificates, with executed stock powers attached, or transfer instructions, in the case of shares held in street name by a bank, broker, or other nominee, to the Company or by attestation of ownership in a form satisfactory to the Company, and in each case coupled with payment of any additional amount in cash or in one of the specified forms of acceptable cash equivalents for the balance of the aggregate purchase price.</w:t>
      </w:r>
    </w:p>
    <w:p>
      <w:pPr>
        <w:spacing w:after="0" w:line="80" w:lineRule="exact"/>
        <w:rPr>
          <w:sz w:val="20"/>
          <w:szCs w:val="20"/>
          <w:color w:val="auto"/>
        </w:rPr>
      </w:pPr>
    </w:p>
    <w:p>
      <w:pPr>
        <w:ind w:right="100" w:firstLine="413"/>
        <w:spacing w:after="0" w:line="257" w:lineRule="auto"/>
        <w:tabs>
          <w:tab w:leader="none" w:pos="6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Within three business days after the Exercise Date and subject to the receipt of the aggregate purchase price and withholding taxes, to the extent required by the Company, the Company will issue to you the number of shares of T. Rowe Price Group common stock with respect to which the stock option shall be so exercised. Unless and until you request the Company to deliver a share certificate to you, or deliver shares electronically or in certificate form to your designated broker, bank or nominee on your behalf, the Company will retain the shares that you purchased through exercise of the stock option in uncertificated book entry form.</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49" w:name="page50"/>
    <w:bookmarkEnd w:id="49"/>
    <w:p>
      <w:pPr>
        <w:ind w:left="-40" w:right="80" w:firstLine="413"/>
        <w:spacing w:after="0" w:line="259" w:lineRule="auto"/>
        <w:tabs>
          <w:tab w:leader="none" w:pos="61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For purposes of paragraph 3(a), unless determined otherwise by the Committee in accordance with the Plan, the value of shares of T. Rowe Price Group common stock tendered to exercise the stock option will be the last-reported sale price of such shares on The NASDAQ Stock Market on the Exercise Date, or, if the T. Rowe Price Group common stock is not quoted on The NASDAQ Stock Market on the Exercise Date, as otherwise determined by the Committee in accordance with the Plan.</w:t>
      </w:r>
    </w:p>
    <w:p>
      <w:pPr>
        <w:spacing w:after="0" w:line="78" w:lineRule="exact"/>
        <w:rPr>
          <w:rFonts w:ascii="Arial" w:cs="Arial" w:eastAsia="Arial" w:hAnsi="Arial"/>
          <w:sz w:val="18"/>
          <w:szCs w:val="18"/>
          <w:color w:val="auto"/>
        </w:rPr>
      </w:pPr>
    </w:p>
    <w:p>
      <w:pPr>
        <w:jc w:val="both"/>
        <w:ind w:left="-40" w:right="20" w:firstLine="413"/>
        <w:spacing w:after="0" w:line="286" w:lineRule="auto"/>
        <w:tabs>
          <w:tab w:leader="none" w:pos="617"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Committee may in its discretion place limitations on the extent to which shares of T. Rowe Price Group common stock may be tendered by you as payment of the purchase price pursuant to paragraph 3(a) hereof. There are no provisions in this Agreement for the granting of a replenishment option with respect to any shares of T. Rowe Price Group common stock tendered upon the exercise of the stock option.</w:t>
      </w:r>
    </w:p>
    <w:p>
      <w:pPr>
        <w:spacing w:after="0" w:line="57" w:lineRule="exact"/>
        <w:rPr>
          <w:rFonts w:ascii="Arial" w:cs="Arial" w:eastAsia="Arial" w:hAnsi="Arial"/>
          <w:sz w:val="17"/>
          <w:szCs w:val="17"/>
          <w:color w:val="auto"/>
        </w:rPr>
      </w:pPr>
    </w:p>
    <w:p>
      <w:pPr>
        <w:ind w:left="-40" w:right="180" w:firstLine="413"/>
        <w:spacing w:after="0" w:line="264" w:lineRule="auto"/>
        <w:tabs>
          <w:tab w:leader="none" w:pos="61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the sole discretion of the Committee, the Company may in lieu of requiring the exercise of the stock option and the payment of the aggregate purchase price, authorize the payment of cash to you in an amount equal to the market value of shares of T. Rowe Price Group common stock subject to the stock option less the aggregate purchase price in exchange for the cancellation of the stock option.</w:t>
      </w:r>
    </w:p>
    <w:p>
      <w:pPr>
        <w:spacing w:after="0" w:line="73" w:lineRule="exact"/>
        <w:rPr>
          <w:rFonts w:ascii="Arial" w:cs="Arial" w:eastAsia="Arial" w:hAnsi="Arial"/>
          <w:sz w:val="18"/>
          <w:szCs w:val="18"/>
          <w:color w:val="auto"/>
        </w:rPr>
      </w:pPr>
    </w:p>
    <w:p>
      <w:pPr>
        <w:ind w:left="-40" w:firstLine="233"/>
        <w:spacing w:after="0" w:line="269" w:lineRule="auto"/>
        <w:tabs>
          <w:tab w:leader="none" w:pos="365"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Exercisability Upon the Occurrence of Certain Events</w:t>
      </w:r>
      <w:r>
        <w:rPr>
          <w:rFonts w:ascii="Arial" w:cs="Arial" w:eastAsia="Arial" w:hAnsi="Arial"/>
          <w:sz w:val="17"/>
          <w:szCs w:val="17"/>
          <w:color w:val="auto"/>
        </w:rPr>
        <w:t xml:space="preserve">. Notwithstanding any provisions limiting exercisability in whole or in part, and unless the Committee shall have otherwise determined (within the limits specified in this paragraph) to revoke or to limit, in its sole and conclusive discretion, the acceleration provided for herein, the stock option will become exercisable in full immediately following the date on which the Committee no longer may revoke or modify the acceleration contemplated by this paragraph and shall remain exercisable for a one-year period thereafter. After the expiration of any such one-year period, the stock option shall remain exercisable only to the extent, if any, provided in this Agreement without taking into consideration the effect of this paragraph. The Committee’s discretion to revoke or limit the acceleration contemplated by this paragraph may be exercised at any time before or within 20 business days after the Effective Date or the Approval Date,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discretion to revoke or limit the acceleration may not be exercised after the persons who were directors of the Company immediately before the Transaction shall cease to constitute a majority of the Board of Directors of the Company or any successor to the Company. In the event the Approval Date and an Effective Date arise from substantially identical facts and circumstances (as determined by the Committee in its sole discretion) and unless the Committee shall have determined to limit the effect of this sentence, such one-year period (and the 20-day period referred to in the immediately preceding sentence) shall commence only once and upon the first to occur of the Approval Date or the Effective Date.</w:t>
      </w:r>
    </w:p>
    <w:p>
      <w:pPr>
        <w:spacing w:after="0" w:line="71" w:lineRule="exact"/>
        <w:rPr>
          <w:rFonts w:ascii="Arial" w:cs="Arial" w:eastAsia="Arial" w:hAnsi="Arial"/>
          <w:sz w:val="17"/>
          <w:szCs w:val="17"/>
          <w:color w:val="auto"/>
        </w:rPr>
      </w:pPr>
    </w:p>
    <w:p>
      <w:pPr>
        <w:ind w:left="380" w:hanging="187"/>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420" w:firstLine="413"/>
        <w:spacing w:after="0" w:line="342" w:lineRule="auto"/>
        <w:tabs>
          <w:tab w:leader="none" w:pos="61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If your Service with the Company ceases for any reason other than death, the portion of the stock option, if any, that is then unexercisable, after giving effect to any acceleration by the Committee pursuant to paragraph 2(c), will terminate immediately upon such cessation.</w:t>
      </w:r>
    </w:p>
    <w:p>
      <w:pPr>
        <w:spacing w:after="0" w:line="15" w:lineRule="exact"/>
        <w:rPr>
          <w:rFonts w:ascii="Arial" w:cs="Arial" w:eastAsia="Arial" w:hAnsi="Arial"/>
          <w:sz w:val="16"/>
          <w:szCs w:val="16"/>
          <w:color w:val="auto"/>
        </w:rPr>
      </w:pPr>
    </w:p>
    <w:p>
      <w:pPr>
        <w:ind w:left="-40" w:right="100" w:firstLine="413"/>
        <w:spacing w:after="0" w:line="277" w:lineRule="auto"/>
        <w:tabs>
          <w:tab w:leader="none" w:pos="617"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stock option, to the extent not earlier exercised or terminated, will terminate and be of no force or effect upon the first occurrence of any one of the following events:</w:t>
      </w:r>
    </w:p>
    <w:p>
      <w:pPr>
        <w:spacing w:after="0" w:line="62" w:lineRule="exact"/>
        <w:rPr>
          <w:rFonts w:ascii="Arial" w:cs="Arial" w:eastAsia="Arial" w:hAnsi="Arial"/>
          <w:sz w:val="18"/>
          <w:szCs w:val="18"/>
          <w:color w:val="auto"/>
        </w:rPr>
      </w:pPr>
    </w:p>
    <w:p>
      <w:pPr>
        <w:ind w:left="820" w:hanging="219"/>
        <w:spacing w:after="0"/>
        <w:tabs>
          <w:tab w:leader="none" w:pos="8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expiration date set forth in the Notice;</w:t>
      </w:r>
    </w:p>
    <w:p>
      <w:pPr>
        <w:spacing w:after="0" w:line="117" w:lineRule="exact"/>
        <w:rPr>
          <w:rFonts w:ascii="Arial" w:cs="Arial" w:eastAsia="Arial" w:hAnsi="Arial"/>
          <w:sz w:val="18"/>
          <w:szCs w:val="18"/>
          <w:color w:val="auto"/>
        </w:rPr>
      </w:pPr>
    </w:p>
    <w:p>
      <w:pPr>
        <w:ind w:left="200" w:right="100" w:firstLine="401"/>
        <w:spacing w:after="0" w:line="264" w:lineRule="auto"/>
        <w:tabs>
          <w:tab w:leader="none" w:pos="87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expiration of 30 days after termination of your Service with the Company, except in the case of your death or retirement with the consent of the Company. During such 30-day period, you will have the right to exercise the stock option only to the extent exercisable on the date of termination of your Service;</w:t>
      </w:r>
    </w:p>
    <w:p>
      <w:pPr>
        <w:spacing w:after="0" w:line="73" w:lineRule="exact"/>
        <w:rPr>
          <w:rFonts w:ascii="Arial" w:cs="Arial" w:eastAsia="Arial" w:hAnsi="Arial"/>
          <w:sz w:val="18"/>
          <w:szCs w:val="18"/>
          <w:color w:val="auto"/>
        </w:rPr>
      </w:pPr>
    </w:p>
    <w:p>
      <w:pPr>
        <w:ind w:left="200" w:right="120" w:firstLine="401"/>
        <w:spacing w:after="0" w:line="264" w:lineRule="auto"/>
        <w:tabs>
          <w:tab w:leader="none" w:pos="9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expiration of 13 months after the date of your retirement with the consent of the Company. During such 13-month period you will have the right to exercise the stock option to the extent the right to exercise it has accrued prior to your retirement but has not been exercised prior to such retirement, subject, in addition, however, to acceleration by the Committee pursuant to paragraph 2(c); or</w:t>
      </w:r>
    </w:p>
    <w:p>
      <w:pPr>
        <w:spacing w:after="0" w:line="73" w:lineRule="exact"/>
        <w:rPr>
          <w:rFonts w:ascii="Arial" w:cs="Arial" w:eastAsia="Arial" w:hAnsi="Arial"/>
          <w:sz w:val="18"/>
          <w:szCs w:val="18"/>
          <w:color w:val="auto"/>
        </w:rPr>
      </w:pPr>
    </w:p>
    <w:p>
      <w:pPr>
        <w:ind w:left="200" w:right="60" w:firstLine="401"/>
        <w:spacing w:after="0" w:line="276" w:lineRule="auto"/>
        <w:tabs>
          <w:tab w:leader="none" w:pos="910" w:val="left"/>
        </w:tabs>
        <w:numPr>
          <w:ilvl w:val="2"/>
          <w:numId w:val="19"/>
        </w:numPr>
        <w:rPr>
          <w:rFonts w:ascii="Arial" w:cs="Arial" w:eastAsia="Arial" w:hAnsi="Arial"/>
          <w:sz w:val="17"/>
          <w:szCs w:val="17"/>
          <w:color w:val="auto"/>
        </w:rPr>
      </w:pPr>
      <w:r>
        <w:rPr>
          <w:rFonts w:ascii="Arial" w:cs="Arial" w:eastAsia="Arial" w:hAnsi="Arial"/>
          <w:sz w:val="17"/>
          <w:szCs w:val="17"/>
          <w:color w:val="auto"/>
        </w:rPr>
        <w:t>The expiration of 13 months after your date of death if you die (i) while you are in the Service of the Company or (ii) within the period of time after your termination of Service due to retirement or otherwise during which you were entitled to exercise the stock option. During such 13-month period your estate, personal representative or beneficiary will have the right to exercise the stock option in full if you died while in the Service of the Company; otherwise your estate, personal representative or beneficiary will have the right to exercise the stock option during such 13-month period to the extent that the right to exercise had accrued prior to your termination of Service but had not been exercised prior to your death.</w:t>
      </w:r>
    </w:p>
    <w:p>
      <w:pPr>
        <w:spacing w:after="0" w:line="64" w:lineRule="exact"/>
        <w:rPr>
          <w:rFonts w:ascii="Arial" w:cs="Arial" w:eastAsia="Arial" w:hAnsi="Arial"/>
          <w:sz w:val="17"/>
          <w:szCs w:val="17"/>
          <w:color w:val="auto"/>
        </w:rPr>
      </w:pPr>
    </w:p>
    <w:p>
      <w:pPr>
        <w:ind w:left="-40" w:right="40" w:firstLine="413"/>
        <w:spacing w:after="0" w:line="289" w:lineRule="auto"/>
        <w:tabs>
          <w:tab w:leader="none" w:pos="610" w:val="left"/>
        </w:tabs>
        <w:numPr>
          <w:ilvl w:val="1"/>
          <w:numId w:val="19"/>
        </w:numPr>
        <w:rPr>
          <w:rFonts w:ascii="Arial" w:cs="Arial" w:eastAsia="Arial" w:hAnsi="Arial"/>
          <w:sz w:val="16"/>
          <w:szCs w:val="16"/>
          <w:color w:val="auto"/>
        </w:rPr>
      </w:pPr>
      <w:r>
        <w:rPr>
          <w:rFonts w:ascii="Arial" w:cs="Arial" w:eastAsia="Arial" w:hAnsi="Arial"/>
          <w:sz w:val="16"/>
          <w:szCs w:val="16"/>
          <w:color w:val="auto"/>
        </w:rPr>
        <w:t>Retirement at your normal retirement date or at an optional retirement date in accordance with the provisions of a retirement plan of the Company under which you are then covered will constitute a retirement with the consent of the Company for the purposes of this Agreement. The Committee has absolute and uncontrolled discretion to determine whether any other termination of your employment is to be considered as retirement with the consent of the Company for the purposes of this Agreement and whether an authorized leave of absence or absence on military or government service or otherwise shall constitute a termination of employment for the purposes of this Agreement. Employment by the Company will be deemed to include employment of you by, and to continue during any period in which you are in the employ of, an Affiliate of the Company. Unless determined otherwise by the Committee, if the Affiliate with which you are employed ceases to be an entity in which the Company maintains a proprietary interest by reason of stock ownership or otherwise, you will be considered to have had a termination of employment for purposes of this Agreement upon such cessation. Any determination made by the Committee with respect to any matter referred to in this paragraph 5 will be final and conclusive on all persons affected thereby.</w:t>
      </w:r>
    </w:p>
    <w:p>
      <w:pPr>
        <w:spacing w:after="0" w:line="58" w:lineRule="exact"/>
        <w:rPr>
          <w:rFonts w:ascii="Arial" w:cs="Arial" w:eastAsia="Arial" w:hAnsi="Arial"/>
          <w:sz w:val="16"/>
          <w:szCs w:val="16"/>
          <w:color w:val="auto"/>
        </w:rPr>
      </w:pPr>
    </w:p>
    <w:p>
      <w:pPr>
        <w:ind w:left="-40" w:right="160" w:firstLine="233"/>
        <w:spacing w:after="0" w:line="279" w:lineRule="auto"/>
        <w:tabs>
          <w:tab w:leader="none" w:pos="365"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Non-Guarantee of Employment</w:t>
      </w:r>
      <w:r>
        <w:rPr>
          <w:rFonts w:ascii="Arial" w:cs="Arial" w:eastAsia="Arial" w:hAnsi="Arial"/>
          <w:sz w:val="17"/>
          <w:szCs w:val="17"/>
          <w:color w:val="auto"/>
        </w:rPr>
        <w:t>. Nothing in the Plan or this Agreement shall alter your at-will or other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portion of the stock option or any other adverse effect on your interests under the Plan.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50" w:name="page51"/>
    <w:bookmarkEnd w:id="50"/>
    <w:p>
      <w:pPr>
        <w:ind w:left="-20" w:right="20" w:firstLine="233"/>
        <w:spacing w:after="0" w:line="276" w:lineRule="auto"/>
        <w:tabs>
          <w:tab w:leader="none" w:pos="38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Assignability</w:t>
      </w:r>
      <w:r>
        <w:rPr>
          <w:rFonts w:ascii="Arial" w:cs="Arial" w:eastAsia="Arial" w:hAnsi="Arial"/>
          <w:sz w:val="17"/>
          <w:szCs w:val="17"/>
          <w:color w:val="auto"/>
        </w:rPr>
        <w:t>. Unless the Committee determines otherwise, you may not transfer this stock option except by will or under the laws of descent and distribution, and only you or your legal representative may exercise this stock option during your lifetime. With the exception of a transfer by will, by the laws of descent and distribution or with express advance consent of the Committee, no assignment or transfer of this stock option, or the rights represented thereby, whether voluntary or involuntary, by operation of law or otherwise, shall vest in the assignee or transferee any interest or right herein whatsoever, but immediately upon any attempt to assign or transfer this stock option the same shall terminate and be of no force or effect.</w:t>
      </w:r>
    </w:p>
    <w:p>
      <w:pPr>
        <w:spacing w:after="0" w:line="64" w:lineRule="exact"/>
        <w:rPr>
          <w:rFonts w:ascii="Arial" w:cs="Arial" w:eastAsia="Arial" w:hAnsi="Arial"/>
          <w:sz w:val="17"/>
          <w:szCs w:val="17"/>
          <w:color w:val="auto"/>
        </w:rPr>
      </w:pPr>
    </w:p>
    <w:p>
      <w:pPr>
        <w:ind w:left="-20" w:right="20" w:firstLine="233"/>
        <w:spacing w:after="0" w:line="276" w:lineRule="auto"/>
        <w:tabs>
          <w:tab w:leader="none" w:pos="38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The Company’s Rights</w:t>
      </w:r>
      <w:r>
        <w:rPr>
          <w:rFonts w:ascii="Arial" w:cs="Arial" w:eastAsia="Arial" w:hAnsi="Arial"/>
          <w:sz w:val="17"/>
          <w:szCs w:val="17"/>
          <w:color w:val="auto"/>
        </w:rPr>
        <w:t>. The existence of this stock option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64" w:lineRule="exact"/>
        <w:rPr>
          <w:rFonts w:ascii="Arial" w:cs="Arial" w:eastAsia="Arial" w:hAnsi="Arial"/>
          <w:sz w:val="17"/>
          <w:szCs w:val="17"/>
          <w:color w:val="auto"/>
        </w:rPr>
      </w:pPr>
    </w:p>
    <w:p>
      <w:pPr>
        <w:ind w:left="-20" w:firstLine="233"/>
        <w:spacing w:after="0" w:line="288" w:lineRule="auto"/>
        <w:tabs>
          <w:tab w:leader="none" w:pos="38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Recapitalization</w:t>
      </w:r>
      <w:r>
        <w:rPr>
          <w:rFonts w:ascii="Arial" w:cs="Arial" w:eastAsia="Arial" w:hAnsi="Arial"/>
          <w:sz w:val="16"/>
          <w:szCs w:val="16"/>
          <w:color w:val="auto"/>
        </w:rPr>
        <w:t>. The shares with respect to which this stock option is granted are shares of the T. Rowe Price Group common stock as constituted on the date of this Agreement, but if, and whenever, prior to the delivery by the Company of all of the shares of T. Rowe Price Group common stock with respect to which this stock option is granted, the Company shall effect a subdivision or consolidation of shares, or other capital readjustment, or the payment of a stock dividend, or other increase or decrease in the number of shares of T. Rowe Price Group common stock outstanding, without receiving compensation therefor in money, services or property, then (a) in the event of any increase in the number of such shares outstanding, the number of shares of T. Rowe Price Group common stock then remaining subject to this stock option will be proportionately increased (except that any fraction of a share resulting from any such adjustment will be excluded from the operation of this Agreement), and the cash consideration payable per share will be proportionately reduced, and (b) in the event of a reduction in the number of such shares outstanding, the number of shares of T. Rowe Price Group common stock then remaining subject to this stock option will be proportionately reduced (except that any fractional share resulting from any such adjustment will be excluded from the operation of this Agreement), and the cash consideration payable per share will be proportionately increased.</w:t>
      </w:r>
    </w:p>
    <w:p>
      <w:pPr>
        <w:spacing w:after="0" w:line="61" w:lineRule="exact"/>
        <w:rPr>
          <w:rFonts w:ascii="Arial" w:cs="Arial" w:eastAsia="Arial" w:hAnsi="Arial"/>
          <w:sz w:val="16"/>
          <w:szCs w:val="16"/>
          <w:color w:val="auto"/>
        </w:rPr>
      </w:pPr>
    </w:p>
    <w:p>
      <w:pPr>
        <w:ind w:left="-20" w:firstLine="233"/>
        <w:spacing w:after="0" w:line="290" w:lineRule="auto"/>
        <w:tabs>
          <w:tab w:leader="none" w:pos="47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Merger and Consolidation</w:t>
      </w:r>
      <w:r>
        <w:rPr>
          <w:rFonts w:ascii="Arial" w:cs="Arial" w:eastAsia="Arial" w:hAnsi="Arial"/>
          <w:sz w:val="16"/>
          <w:szCs w:val="16"/>
          <w:color w:val="auto"/>
        </w:rPr>
        <w:t>. After a merger of one or more corporations into the Company, or after a consolidation of the Company and one or more corporations in which the Company is the surviving or resulting corporation, you will, at no additional cost, be entitled upon any exercise of this stock option, to receive (subject to any required action by stockholders) in lieu of the number of shares as to which this stock option shall then be so exercised, the number and class of shares of stock or other securities to which you would have been entitled pursuant to the terms of the agreement of merger or consolidation, if, immediately prior to such merger or consolidation, you had been the holder of record of a number of shares of T. Rowe Price Group common stock equal to the number of shares as to which such stock option shall be so exercised; provided, that anything herein contained to the contrary notwithstanding, upon the dissolution or liquidation of the Company, or upon any merger or consolidation, in which the Company is not the surviving or resulting corporation, this stock option will terminate and be of no force or effect, except to the extent that such surviving or resulting corporation may issue a substituted option.</w:t>
      </w:r>
    </w:p>
    <w:p>
      <w:pPr>
        <w:spacing w:after="0" w:line="58" w:lineRule="exact"/>
        <w:rPr>
          <w:rFonts w:ascii="Arial" w:cs="Arial" w:eastAsia="Arial" w:hAnsi="Arial"/>
          <w:sz w:val="16"/>
          <w:szCs w:val="16"/>
          <w:color w:val="auto"/>
        </w:rPr>
      </w:pPr>
    </w:p>
    <w:p>
      <w:pPr>
        <w:ind w:left="-20" w:right="40" w:firstLine="233"/>
        <w:spacing w:after="0" w:line="312" w:lineRule="auto"/>
        <w:tabs>
          <w:tab w:leader="none" w:pos="46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Preemption of Applicable Laws or Regulations</w:t>
      </w:r>
      <w:r>
        <w:rPr>
          <w:rFonts w:ascii="Arial" w:cs="Arial" w:eastAsia="Arial" w:hAnsi="Arial"/>
          <w:sz w:val="16"/>
          <w:szCs w:val="16"/>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38" w:lineRule="exact"/>
        <w:rPr>
          <w:rFonts w:ascii="Arial" w:cs="Arial" w:eastAsia="Arial" w:hAnsi="Arial"/>
          <w:sz w:val="16"/>
          <w:szCs w:val="16"/>
          <w:color w:val="auto"/>
        </w:rPr>
      </w:pPr>
    </w:p>
    <w:p>
      <w:pPr>
        <w:ind w:left="-20" w:right="180" w:firstLine="233"/>
        <w:spacing w:after="0" w:line="286" w:lineRule="auto"/>
        <w:tabs>
          <w:tab w:leader="none" w:pos="47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 Rights as a Stockholder</w:t>
      </w:r>
      <w:r>
        <w:rPr>
          <w:rFonts w:ascii="Arial" w:cs="Arial" w:eastAsia="Arial" w:hAnsi="Arial"/>
          <w:sz w:val="17"/>
          <w:szCs w:val="17"/>
          <w:color w:val="auto"/>
        </w:rPr>
        <w:t>. You shall not have any of the rights of a stockholder with respect to the shares of T. Rowe Price Group common stock subject to the stock option until such shares have been issued to you upon the due exercise of the stock option. No adjustment will be made for dividends or distributions or other rights for which the record date is prior to the date such shares are issued to you.</w:t>
      </w:r>
    </w:p>
    <w:p>
      <w:pPr>
        <w:spacing w:after="0" w:line="57" w:lineRule="exact"/>
        <w:rPr>
          <w:rFonts w:ascii="Arial" w:cs="Arial" w:eastAsia="Arial" w:hAnsi="Arial"/>
          <w:sz w:val="17"/>
          <w:szCs w:val="17"/>
          <w:color w:val="auto"/>
        </w:rPr>
      </w:pPr>
    </w:p>
    <w:p>
      <w:pPr>
        <w:ind w:left="-20" w:firstLine="233"/>
        <w:spacing w:after="0" w:line="271" w:lineRule="auto"/>
        <w:tabs>
          <w:tab w:leader="none" w:pos="47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The Committee shall have the right, in its absolute and uncontrolled discretion, to alter or amend this Agreement, from time to time in any manner for the purpose of promoting the objectives of the Plan but only if all agreements granting options to purchase shares of T. Rowe Price Group common stock pursuant to the Plan which are in effect and not wholly exercised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will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70" w:lineRule="exact"/>
        <w:rPr>
          <w:rFonts w:ascii="Arial" w:cs="Arial" w:eastAsia="Arial" w:hAnsi="Arial"/>
          <w:sz w:val="17"/>
          <w:szCs w:val="17"/>
          <w:color w:val="auto"/>
        </w:rPr>
      </w:pPr>
    </w:p>
    <w:p>
      <w:pPr>
        <w:ind w:left="-20" w:right="40" w:firstLine="233"/>
        <w:spacing w:after="0" w:line="257" w:lineRule="auto"/>
        <w:tabs>
          <w:tab w:leader="none" w:pos="47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80" w:lineRule="exact"/>
        <w:rPr>
          <w:rFonts w:ascii="Arial" w:cs="Arial" w:eastAsia="Arial" w:hAnsi="Arial"/>
          <w:sz w:val="18"/>
          <w:szCs w:val="18"/>
          <w:color w:val="auto"/>
        </w:rPr>
      </w:pPr>
    </w:p>
    <w:p>
      <w:pPr>
        <w:ind w:left="-20" w:right="280" w:firstLine="233"/>
        <w:spacing w:after="0" w:line="302" w:lineRule="auto"/>
        <w:tabs>
          <w:tab w:leader="none" w:pos="47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Electronic Delivery of Documents</w:t>
      </w:r>
      <w:r>
        <w:rPr>
          <w:rFonts w:ascii="Arial" w:cs="Arial" w:eastAsia="Arial" w:hAnsi="Arial"/>
          <w:sz w:val="16"/>
          <w:szCs w:val="16"/>
          <w:color w:val="auto"/>
        </w:rPr>
        <w:t>. The Company may electronically deliver, via e-mail or posting on the Company’s website, these Terms, information with respect to the Plan or the stock option,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51" w:name="page52"/>
    <w:bookmarkEnd w:id="51"/>
    <w:p>
      <w:pPr>
        <w:ind w:right="140" w:firstLine="233"/>
        <w:spacing w:after="0" w:line="286" w:lineRule="auto"/>
        <w:tabs>
          <w:tab w:leader="none" w:pos="49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between the parties with respect to the stock option granted hereunder. Any oral or written agreements, representations, warranties, written inducements, or other communications made prior to the execution of the Notice correlating to these Terms with respect to the stock option granted hereunder shall be void and ineffective for all purposes.</w:t>
      </w:r>
    </w:p>
    <w:p>
      <w:pPr>
        <w:spacing w:after="0" w:line="57" w:lineRule="exact"/>
        <w:rPr>
          <w:rFonts w:ascii="Arial" w:cs="Arial" w:eastAsia="Arial" w:hAnsi="Arial"/>
          <w:sz w:val="17"/>
          <w:szCs w:val="17"/>
          <w:color w:val="auto"/>
        </w:rPr>
      </w:pPr>
    </w:p>
    <w:p>
      <w:pPr>
        <w:ind w:left="500" w:hanging="267"/>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Non-Qualified Nature of the Option</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stock option granted under this Agreement shall not be treated as an incentive stock option within the meaning of Internal Revenue Code section 422.</w:t>
      </w:r>
    </w:p>
    <w:p>
      <w:pPr>
        <w:spacing w:after="0" w:line="140" w:lineRule="exact"/>
        <w:rPr>
          <w:sz w:val="20"/>
          <w:szCs w:val="20"/>
          <w:color w:val="auto"/>
        </w:rPr>
      </w:pPr>
    </w:p>
    <w:p>
      <w:pPr>
        <w:ind w:left="500" w:hanging="267"/>
        <w:spacing w:after="0"/>
        <w:tabs>
          <w:tab w:leader="none" w:pos="50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40" w:hanging="237"/>
        <w:spacing w:after="0"/>
        <w:tabs>
          <w:tab w:leader="none" w:pos="740" w:val="left"/>
        </w:tabs>
        <w:numPr>
          <w:ilvl w:val="2"/>
          <w:numId w:val="22"/>
        </w:numPr>
        <w:rPr>
          <w:rFonts w:ascii="Arial" w:cs="Arial" w:eastAsia="Arial" w:hAnsi="Arial"/>
          <w:sz w:val="17"/>
          <w:szCs w:val="17"/>
          <w:color w:val="auto"/>
        </w:rPr>
      </w:pPr>
      <w:r>
        <w:rPr>
          <w:rFonts w:ascii="Arial" w:cs="Arial" w:eastAsia="Arial" w:hAnsi="Arial"/>
          <w:sz w:val="17"/>
          <w:szCs w:val="17"/>
          <w:color w:val="auto"/>
        </w:rPr>
        <w:t>At the time the stock option is exercised, in whole or in part, or at any time thereafter as requested by the Company, you hereby authorize</w:t>
      </w:r>
    </w:p>
    <w:p>
      <w:pPr>
        <w:spacing w:after="0" w:line="34" w:lineRule="exact"/>
        <w:rPr>
          <w:rFonts w:ascii="Arial" w:cs="Arial" w:eastAsia="Arial" w:hAnsi="Arial"/>
          <w:sz w:val="17"/>
          <w:szCs w:val="17"/>
          <w:color w:val="auto"/>
        </w:rPr>
      </w:pPr>
    </w:p>
    <w:p>
      <w:pPr>
        <w:ind w:right="80"/>
        <w:spacing w:after="0" w:line="273" w:lineRule="auto"/>
        <w:rPr>
          <w:rFonts w:ascii="Arial" w:cs="Arial" w:eastAsia="Arial" w:hAnsi="Arial"/>
          <w:sz w:val="17"/>
          <w:szCs w:val="17"/>
          <w:color w:val="auto"/>
        </w:rPr>
      </w:pPr>
      <w:r>
        <w:rPr>
          <w:rFonts w:ascii="Arial" w:cs="Arial" w:eastAsia="Arial" w:hAnsi="Arial"/>
          <w:sz w:val="17"/>
          <w:szCs w:val="17"/>
          <w:color w:val="auto"/>
        </w:rPr>
        <w:t>withholding from payroll or any other payment of any kind due you and otherwise agree to make adequate provision for foreign, federal, state and local taxes required by law to be withheld, if any, which arise in connection with the stock option. The Company may require you to make a cash payment to cover any withholding tax obligation as a condition of exercise of the stock option. If you do not make such payment when requested, the Company may refuse to issue any stock or stock certificate under the Plan until arrangements satisfactory to the Company for such payment have been made.</w:t>
      </w:r>
    </w:p>
    <w:p>
      <w:pPr>
        <w:spacing w:after="0" w:line="68" w:lineRule="exact"/>
        <w:rPr>
          <w:rFonts w:ascii="Arial" w:cs="Arial" w:eastAsia="Arial" w:hAnsi="Arial"/>
          <w:sz w:val="17"/>
          <w:szCs w:val="17"/>
          <w:color w:val="auto"/>
        </w:rPr>
      </w:pPr>
    </w:p>
    <w:p>
      <w:pPr>
        <w:ind w:right="240" w:firstLine="503"/>
        <w:spacing w:after="0" w:line="259" w:lineRule="auto"/>
        <w:tabs>
          <w:tab w:leader="none" w:pos="747"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Company may, in its sole discretion, permit you to satisfy, in whole or in part, any withholding tax obligation which may arise in connection with the stock option either by electing to have the Company withhold from the shares to be issued upon exercise that number of shares, or by electing to deliver to the Company already-owned shares, in either case having a fair market value equal to no more than the amount necessary to satisfy the statutory minimum withholding amount due.</w:t>
      </w:r>
    </w:p>
    <w:p>
      <w:pPr>
        <w:spacing w:after="0" w:line="78" w:lineRule="exact"/>
        <w:rPr>
          <w:rFonts w:ascii="Arial" w:cs="Arial" w:eastAsia="Arial" w:hAnsi="Arial"/>
          <w:sz w:val="18"/>
          <w:szCs w:val="18"/>
          <w:color w:val="auto"/>
        </w:rPr>
      </w:pPr>
    </w:p>
    <w:p>
      <w:pPr>
        <w:ind w:right="160" w:firstLine="233"/>
        <w:spacing w:after="0" w:line="297" w:lineRule="auto"/>
        <w:tabs>
          <w:tab w:leader="none" w:pos="495"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Conformity with Plan</w:t>
      </w:r>
      <w:r>
        <w:rPr>
          <w:rFonts w:ascii="Arial" w:cs="Arial" w:eastAsia="Arial" w:hAnsi="Arial"/>
          <w:sz w:val="16"/>
          <w:szCs w:val="16"/>
          <w:color w:val="auto"/>
        </w:rPr>
        <w:t>. These Terms are intended to conform in all respects with, and are subject to all applicable provisions of, the Plan. Except as may be necessary to give effect to the amendment provisions of paragraph 13 of these Terms, any inconsistencies between these Terms and the Plan shall be resolved in accordance with the terms of the Plan. In the event of any ambiguity in these Terms or any matters as to which these Terms are silent, the Plan shall govern. A copy of the Plan is available at https://www2.troweprice.com/options or in hard copy upon request to the Company’s Payroll and Stock Transaction Group in the CFO-Finance Department at BA-0372 in the Baltimore office or by telephone, at extension 7716.</w:t>
      </w:r>
    </w:p>
    <w:p>
      <w:pPr>
        <w:spacing w:after="0" w:line="50" w:lineRule="exact"/>
        <w:rPr>
          <w:rFonts w:ascii="Arial" w:cs="Arial" w:eastAsia="Arial" w:hAnsi="Arial"/>
          <w:sz w:val="16"/>
          <w:szCs w:val="16"/>
          <w:color w:val="auto"/>
        </w:rPr>
      </w:pPr>
    </w:p>
    <w:p>
      <w:pPr>
        <w:ind w:right="20" w:firstLine="233"/>
        <w:spacing w:after="0" w:line="257" w:lineRule="auto"/>
        <w:tabs>
          <w:tab w:leader="none" w:pos="495"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 hereto will be brought in the federal or state courts in the districts which include Baltimore, Maryland, and you hereby agree and submit to the personal jurisdiction and venue thereof.</w:t>
      </w:r>
    </w:p>
    <w:p>
      <w:pPr>
        <w:spacing w:after="0" w:line="80" w:lineRule="exact"/>
        <w:rPr>
          <w:rFonts w:ascii="Arial" w:cs="Arial" w:eastAsia="Arial" w:hAnsi="Arial"/>
          <w:sz w:val="18"/>
          <w:szCs w:val="18"/>
          <w:color w:val="auto"/>
        </w:rPr>
      </w:pPr>
    </w:p>
    <w:p>
      <w:pPr>
        <w:ind w:right="120" w:firstLine="233"/>
        <w:spacing w:after="0" w:line="312" w:lineRule="auto"/>
        <w:tabs>
          <w:tab w:leader="none" w:pos="495"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disagreement which shall arise under, or as a result of, or pursuant to, this Agreement shall be determined by the Committee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w:t>
      </w:r>
    </w:p>
    <w:p>
      <w:pPr>
        <w:spacing w:after="0" w:line="38" w:lineRule="exact"/>
        <w:rPr>
          <w:rFonts w:ascii="Arial" w:cs="Arial" w:eastAsia="Arial" w:hAnsi="Arial"/>
          <w:sz w:val="16"/>
          <w:szCs w:val="16"/>
          <w:color w:val="auto"/>
        </w:rPr>
      </w:pPr>
    </w:p>
    <w:p>
      <w:pPr>
        <w:ind w:firstLine="233"/>
        <w:spacing w:after="0" w:line="285" w:lineRule="auto"/>
        <w:tabs>
          <w:tab w:leader="none" w:pos="495"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No Future Entitlement</w:t>
      </w:r>
      <w:r>
        <w:rPr>
          <w:rFonts w:ascii="Arial" w:cs="Arial" w:eastAsia="Arial" w:hAnsi="Arial"/>
          <w:sz w:val="16"/>
          <w:szCs w:val="16"/>
          <w:color w:val="auto"/>
        </w:rPr>
        <w:t>. By execution of the Notice, you acknowledge and agree that: (i) the grant of a stock option is a one-time benefit which does not create any contractual or other right to receive future grants of stock options, or compensation in lieu of stock options, even if stock options have been granted repeatedly in the past; (ii) all determinations with respect to any such future grants, including, but not limited to, the times when stock options shall be granted or shall become exercisable, the maximum number of shares subject to each stock option, and the purchase price, will be at the sole discretion of the Committee; (iii) the value of the stock option is an extraordinary item of compensation which is outside the scope of your employment contract, if any;</w:t>
      </w:r>
    </w:p>
    <w:p>
      <w:pPr>
        <w:spacing w:after="0" w:line="2" w:lineRule="exact"/>
        <w:rPr>
          <w:rFonts w:ascii="Arial" w:cs="Arial" w:eastAsia="Arial" w:hAnsi="Arial"/>
          <w:sz w:val="16"/>
          <w:szCs w:val="16"/>
          <w:color w:val="auto"/>
        </w:rPr>
      </w:pPr>
    </w:p>
    <w:p>
      <w:pPr>
        <w:ind w:right="40" w:firstLine="8"/>
        <w:spacing w:after="0" w:line="270" w:lineRule="auto"/>
        <w:tabs>
          <w:tab w:leader="none" w:pos="30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value of the stock option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stock option ceases upon termination of Service with the Company or transfer of employment from the Company, or other cessation of eligibility for any reason, except as may otherwise be explicitly provided this Agreement; (vi) if the underlying stock does not increase in value, this stock option will have no value, nor does the Company guarantee any future value; and (vii) no claim or entitlement to compensation or damages arises if the stock option does not increase in value and you irrevocably release the Company from any such claim that does arise.</w:t>
      </w:r>
    </w:p>
    <w:p>
      <w:pPr>
        <w:spacing w:after="0" w:line="70" w:lineRule="exact"/>
        <w:rPr>
          <w:rFonts w:ascii="Arial" w:cs="Arial" w:eastAsia="Arial" w:hAnsi="Arial"/>
          <w:sz w:val="17"/>
          <w:szCs w:val="17"/>
          <w:color w:val="auto"/>
        </w:rPr>
      </w:pPr>
    </w:p>
    <w:p>
      <w:pPr>
        <w:ind w:right="20" w:firstLine="233"/>
        <w:spacing w:after="0" w:line="287" w:lineRule="auto"/>
        <w:tabs>
          <w:tab w:leader="none" w:pos="495"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Personal Data</w:t>
      </w:r>
      <w:r>
        <w:rPr>
          <w:rFonts w:ascii="Arial" w:cs="Arial" w:eastAsia="Arial" w:hAnsi="Arial"/>
          <w:sz w:val="16"/>
          <w:szCs w:val="16"/>
          <w:color w:val="auto"/>
        </w:rPr>
        <w:t>. For the exclusive purpose of implementing, administering and managing the stock option, you, by execution of the Notice, consent to the collection, receipt, use, retention and transfer, in electronic or other form, of your personal data by and among the Company and its third party vendors.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exercised, vested and unvested) may be transferred to third parties assisting in the implementation, administration and management of the stock option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stock option.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at BA-0372 in the Baltimore office. You understand, however, that refusing or withdrawing your consent may affect your ability to accept a stock option.</w:t>
      </w:r>
    </w:p>
    <w:p>
      <w:pPr>
        <w:spacing w:after="0" w:line="60" w:lineRule="exact"/>
        <w:rPr>
          <w:rFonts w:ascii="Arial" w:cs="Arial" w:eastAsia="Arial" w:hAnsi="Arial"/>
          <w:sz w:val="16"/>
          <w:szCs w:val="16"/>
          <w:color w:val="auto"/>
        </w:rPr>
      </w:pPr>
    </w:p>
    <w:p>
      <w:pPr>
        <w:ind w:left="500" w:hanging="267"/>
        <w:spacing w:after="0"/>
        <w:tabs>
          <w:tab w:leader="none" w:pos="500"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Agreement are for reference purposes only and shall not affect the meaning or interpretation of this Agreement.</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jc w:val="center"/>
        <w:ind w:right="-31"/>
        <w:spacing w:after="0"/>
        <w:rPr>
          <w:sz w:val="20"/>
          <w:szCs w:val="20"/>
          <w:color w:val="auto"/>
        </w:rPr>
      </w:pPr>
      <w:r>
        <w:rPr>
          <w:rFonts w:ascii="Arial" w:cs="Arial" w:eastAsia="Arial" w:hAnsi="Arial"/>
          <w:sz w:val="18"/>
          <w:szCs w:val="18"/>
          <w:color w:val="auto"/>
        </w:rPr>
        <w:t>GLOSSARY</w:t>
      </w:r>
    </w:p>
    <w:p>
      <w:pPr>
        <w:spacing w:after="0" w:line="117" w:lineRule="exact"/>
        <w:rPr>
          <w:sz w:val="20"/>
          <w:szCs w:val="20"/>
          <w:color w:val="auto"/>
        </w:rPr>
      </w:pPr>
    </w:p>
    <w:p>
      <w:pPr>
        <w:ind w:left="-8" w:right="40" w:firstLine="233"/>
        <w:spacing w:after="0" w:line="264" w:lineRule="auto"/>
        <w:tabs>
          <w:tab w:leader="none" w:pos="462"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in which the Company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73" w:lineRule="exact"/>
        <w:rPr>
          <w:rFonts w:ascii="Arial" w:cs="Arial" w:eastAsia="Arial" w:hAnsi="Arial"/>
          <w:sz w:val="18"/>
          <w:szCs w:val="18"/>
          <w:color w:val="auto"/>
        </w:rPr>
      </w:pPr>
    </w:p>
    <w:p>
      <w:pPr>
        <w:ind w:left="472" w:hanging="247"/>
        <w:spacing w:after="0"/>
        <w:tabs>
          <w:tab w:leader="none" w:pos="472"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17" w:lineRule="exact"/>
        <w:rPr>
          <w:rFonts w:ascii="Arial" w:cs="Arial" w:eastAsia="Arial" w:hAnsi="Arial"/>
          <w:sz w:val="18"/>
          <w:szCs w:val="18"/>
          <w:color w:val="auto"/>
        </w:rPr>
      </w:pPr>
    </w:p>
    <w:p>
      <w:pPr>
        <w:ind w:left="-8" w:right="180" w:firstLine="233"/>
        <w:spacing w:after="0" w:line="297" w:lineRule="auto"/>
        <w:tabs>
          <w:tab w:leader="none" w:pos="462" w:val="left"/>
        </w:tabs>
        <w:numPr>
          <w:ilvl w:val="1"/>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Approval Date</w:t>
      </w:r>
      <w:r>
        <w:rPr>
          <w:rFonts w:ascii="Arial" w:cs="Arial" w:eastAsia="Arial" w:hAnsi="Arial"/>
          <w:sz w:val="16"/>
          <w:szCs w:val="16"/>
          <w:color w:val="auto"/>
        </w:rPr>
        <w:t>” means the date of the approval of the Company’s Board of Directors of an agreement providing for an exchange offer, merger, consolidation or other business combination, sale or disposition of all or substantially all of the assets of the Company, or any combination of the foregoing transactions as a result of the consummation of which the persons who were directors of the Company immediately before the transaction shall cease to constitute a majority of the Board of Directors of the Company or any successor to the Company or the persons who were stockholders of the Company immediately before the Approval Date will own less than a majority of the outstanding voting stock of the Company or any successor to the Company.</w:t>
      </w:r>
    </w:p>
    <w:p>
      <w:pPr>
        <w:spacing w:after="0" w:line="50" w:lineRule="exact"/>
        <w:rPr>
          <w:rFonts w:ascii="Arial" w:cs="Arial" w:eastAsia="Arial" w:hAnsi="Arial"/>
          <w:sz w:val="16"/>
          <w:szCs w:val="16"/>
          <w:color w:val="auto"/>
        </w:rPr>
      </w:pPr>
    </w:p>
    <w:p>
      <w:pPr>
        <w:ind w:left="472" w:hanging="247"/>
        <w:spacing w:after="0"/>
        <w:tabs>
          <w:tab w:leader="none" w:pos="472" w:val="left"/>
        </w:tabs>
        <w:numPr>
          <w:ilvl w:val="1"/>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A “Change of Control” shall be deemed to have taken place on the date of the earlier to occur of either of the following events:</w:t>
      </w:r>
    </w:p>
    <w:p>
      <w:pPr>
        <w:spacing w:after="0" w:line="46" w:lineRule="exact"/>
        <w:rPr>
          <w:rFonts w:ascii="Arial" w:cs="Arial" w:eastAsia="Arial" w:hAnsi="Arial"/>
          <w:sz w:val="16"/>
          <w:szCs w:val="16"/>
          <w:color w:val="auto"/>
        </w:rPr>
      </w:pPr>
    </w:p>
    <w:p>
      <w:pPr>
        <w:ind w:left="-8" w:right="40" w:firstLine="8"/>
        <w:spacing w:after="0" w:line="290" w:lineRule="auto"/>
        <w:tabs>
          <w:tab w:leader="none" w:pos="207"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third party, including a “group” as defined in Section 13(d)(3) of the Securities Exchange Act of 1934, becomes the beneficial owner of 25% or more of the Company’s outstanding common stock, or (ii) as the result of, or in connection with, any cash tender or exchange offer, merger, consolidation or other business combination, sale or disposition of all or substantially all of the Company’s assets, or contested election, or any combination of the foregoing transactions (a “</w:t>
      </w:r>
      <w:r>
        <w:rPr>
          <w:rFonts w:ascii="Arial" w:cs="Arial" w:eastAsia="Arial" w:hAnsi="Arial"/>
          <w:sz w:val="16"/>
          <w:szCs w:val="16"/>
          <w:b w:val="1"/>
          <w:bCs w:val="1"/>
          <w:i w:val="1"/>
          <w:iCs w:val="1"/>
          <w:color w:val="auto"/>
        </w:rPr>
        <w:t>Transaction</w:t>
      </w:r>
      <w:r>
        <w:rPr>
          <w:rFonts w:ascii="Arial" w:cs="Arial" w:eastAsia="Arial" w:hAnsi="Arial"/>
          <w:sz w:val="16"/>
          <w:szCs w:val="16"/>
          <w:color w:val="auto"/>
        </w:rPr>
        <w:t>”), the persons who were directors of the Company immediately before the Transaction shall cease to constitute a majority of the Board of Directors of the Company or any successor to the Company or the persons who were stockholders of the Company immediately before the Transaction shall cease to own at least a majority of the outstanding voting stock of the Company or any successor to the Company.</w:t>
      </w:r>
    </w:p>
    <w:p>
      <w:pPr>
        <w:spacing w:after="0" w:line="56" w:lineRule="exact"/>
        <w:rPr>
          <w:rFonts w:ascii="Arial" w:cs="Arial" w:eastAsia="Arial" w:hAnsi="Arial"/>
          <w:sz w:val="16"/>
          <w:szCs w:val="16"/>
          <w:color w:val="auto"/>
        </w:rPr>
      </w:pPr>
    </w:p>
    <w:p>
      <w:pPr>
        <w:ind w:left="-8" w:right="60" w:firstLine="233"/>
        <w:spacing w:after="0" w:line="277" w:lineRule="auto"/>
        <w:tabs>
          <w:tab w:leader="none" w:pos="462"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Executive Compensation Committee of the Board of Directors of T. Rowe Price Group, Inc. or such committee or committees appointed by the Board to administer the Plan.</w:t>
      </w:r>
    </w:p>
    <w:p>
      <w:pPr>
        <w:spacing w:after="0" w:line="62" w:lineRule="exact"/>
        <w:rPr>
          <w:rFonts w:ascii="Arial" w:cs="Arial" w:eastAsia="Arial" w:hAnsi="Arial"/>
          <w:sz w:val="18"/>
          <w:szCs w:val="18"/>
          <w:color w:val="auto"/>
        </w:rPr>
      </w:pPr>
    </w:p>
    <w:p>
      <w:pPr>
        <w:ind w:left="-8" w:right="240" w:firstLine="233"/>
        <w:spacing w:after="0" w:line="277" w:lineRule="auto"/>
        <w:tabs>
          <w:tab w:leader="none" w:pos="442"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except where the context otherwise requires. For purposes of determining whether a Change of Control has occurred, Company shall mean only T. Rowe Price Group, Inc.</w:t>
      </w:r>
    </w:p>
    <w:p>
      <w:pPr>
        <w:spacing w:after="0" w:line="62" w:lineRule="exact"/>
        <w:rPr>
          <w:rFonts w:ascii="Arial" w:cs="Arial" w:eastAsia="Arial" w:hAnsi="Arial"/>
          <w:sz w:val="18"/>
          <w:szCs w:val="18"/>
          <w:color w:val="auto"/>
        </w:rPr>
      </w:pPr>
    </w:p>
    <w:p>
      <w:pPr>
        <w:ind w:left="-8" w:firstLine="233"/>
        <w:spacing w:after="0" w:line="257" w:lineRule="auto"/>
        <w:tabs>
          <w:tab w:leader="none" w:pos="472"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on which a Change of Control occurs. Anything in this Agreement to the contrary notwithstanding, if a Change of Control occurs, and if your Service had terminated prior to the date on which the Change of Control occurred, and if it is reasonably demonstrated by you that such termination of Service either was at the request of a third party who had taken steps reasonably calculated to effect the Change of Control or otherwise arose in connection with or in anticipation of the Change of Control, then, for all purposes of this Agreement, the term “Effective Date” shall mean the date immediately prior to the date of such termination of Service.</w:t>
      </w:r>
    </w:p>
    <w:p>
      <w:pPr>
        <w:spacing w:after="0" w:line="80" w:lineRule="exact"/>
        <w:rPr>
          <w:rFonts w:ascii="Arial" w:cs="Arial" w:eastAsia="Arial" w:hAnsi="Arial"/>
          <w:sz w:val="18"/>
          <w:szCs w:val="18"/>
          <w:color w:val="auto"/>
        </w:rPr>
      </w:pPr>
    </w:p>
    <w:p>
      <w:pPr>
        <w:ind w:left="-8" w:right="60" w:firstLine="233"/>
        <w:spacing w:after="0" w:line="342" w:lineRule="auto"/>
        <w:tabs>
          <w:tab w:leader="none" w:pos="472"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Exercise Date</w:t>
      </w:r>
      <w:r>
        <w:rPr>
          <w:rFonts w:ascii="Arial" w:cs="Arial" w:eastAsia="Arial" w:hAnsi="Arial"/>
          <w:sz w:val="16"/>
          <w:szCs w:val="16"/>
          <w:color w:val="auto"/>
        </w:rPr>
        <w:t>” means the business day upon which you deliver to the Company the Exercise Notice and payment of the aggregate purchase price for the shares specified therein in accordance with the requirements of paragraph 3(a); provided that all of the conditions of the Agreement are satisfied.</w:t>
      </w:r>
    </w:p>
    <w:p>
      <w:pPr>
        <w:spacing w:after="0" w:line="15" w:lineRule="exact"/>
        <w:rPr>
          <w:rFonts w:ascii="Arial" w:cs="Arial" w:eastAsia="Arial" w:hAnsi="Arial"/>
          <w:sz w:val="16"/>
          <w:szCs w:val="16"/>
          <w:color w:val="auto"/>
        </w:rPr>
      </w:pPr>
    </w:p>
    <w:p>
      <w:pPr>
        <w:ind w:left="-8" w:right="40" w:firstLine="233"/>
        <w:spacing w:after="0" w:line="277" w:lineRule="auto"/>
        <w:tabs>
          <w:tab w:leader="none" w:pos="4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Notice</w:t>
      </w:r>
      <w:r>
        <w:rPr>
          <w:rFonts w:ascii="Arial" w:cs="Arial" w:eastAsia="Arial" w:hAnsi="Arial"/>
          <w:sz w:val="18"/>
          <w:szCs w:val="18"/>
          <w:color w:val="auto"/>
        </w:rPr>
        <w:t>” means the written notice, in such form as may be required from time to time by the Committee, specifying the number of shares you desire to purchase under the stock option.</w:t>
      </w:r>
    </w:p>
    <w:p>
      <w:pPr>
        <w:spacing w:after="0" w:line="62" w:lineRule="exact"/>
        <w:rPr>
          <w:rFonts w:ascii="Arial" w:cs="Arial" w:eastAsia="Arial" w:hAnsi="Arial"/>
          <w:sz w:val="18"/>
          <w:szCs w:val="18"/>
          <w:color w:val="auto"/>
        </w:rPr>
      </w:pPr>
    </w:p>
    <w:p>
      <w:pPr>
        <w:ind w:left="-8" w:right="480" w:firstLine="233"/>
        <w:spacing w:after="0" w:line="277" w:lineRule="auto"/>
        <w:tabs>
          <w:tab w:leader="none" w:pos="4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Grant of Stock Options and Option Agreement which correlates with these Terms and sets forth the specifics of the applicable stock option grant.</w:t>
      </w:r>
    </w:p>
    <w:p>
      <w:pPr>
        <w:spacing w:after="0" w:line="62" w:lineRule="exact"/>
        <w:rPr>
          <w:rFonts w:ascii="Arial" w:cs="Arial" w:eastAsia="Arial" w:hAnsi="Arial"/>
          <w:sz w:val="18"/>
          <w:szCs w:val="18"/>
          <w:color w:val="auto"/>
        </w:rPr>
      </w:pPr>
    </w:p>
    <w:p>
      <w:pPr>
        <w:ind w:left="472" w:hanging="247"/>
        <w:spacing w:after="0"/>
        <w:tabs>
          <w:tab w:leader="none" w:pos="472"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2004 Stock Incentive Plan.</w:t>
      </w:r>
    </w:p>
    <w:p>
      <w:pPr>
        <w:spacing w:after="0" w:line="113" w:lineRule="exact"/>
        <w:rPr>
          <w:rFonts w:ascii="Arial" w:cs="Arial" w:eastAsia="Arial" w:hAnsi="Arial"/>
          <w:sz w:val="18"/>
          <w:szCs w:val="18"/>
          <w:color w:val="auto"/>
        </w:rPr>
      </w:pPr>
    </w:p>
    <w:p>
      <w:pPr>
        <w:ind w:left="-8" w:firstLine="233"/>
        <w:spacing w:after="0" w:line="266" w:lineRule="auto"/>
        <w:tabs>
          <w:tab w:leader="none" w:pos="4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employment with the Company or any of its Affiliates. Your Service will be considered to have ceased with the Company and its Affiliates if, immediately after a sale, merger or other corporate transaction, the trade, business or entity with which you are employed is not T. Rowe Price Group, Inc. or an Affiliate of T. Rowe Price Group, Inc.</w:t>
      </w:r>
    </w:p>
    <w:p>
      <w:pPr>
        <w:spacing w:after="0" w:line="72" w:lineRule="exact"/>
        <w:rPr>
          <w:rFonts w:ascii="Arial" w:cs="Arial" w:eastAsia="Arial" w:hAnsi="Arial"/>
          <w:sz w:val="18"/>
          <w:szCs w:val="18"/>
          <w:color w:val="auto"/>
        </w:rPr>
      </w:pPr>
    </w:p>
    <w:p>
      <w:pPr>
        <w:ind w:left="-8" w:right="80" w:firstLine="233"/>
        <w:spacing w:after="0" w:line="259" w:lineRule="auto"/>
        <w:tabs>
          <w:tab w:leader="none" w:pos="522"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stock option as reflected in the Notice. Whenever the word “you” or “your” is used in any provision of this Agreement under circumstances where the provision should logically be construed, as determined by the Committee, to apply to the estate, personal representative, or beneficiary to whom the stock option may be transferred by will or by the laws of descent and distribution or otherwise pursuant to the terms of this Agreement, the words “you” and “your” shall be deemed to include such person.</w:t>
      </w:r>
    </w:p>
    <w:p>
      <w:pPr>
        <w:spacing w:after="0" w:line="29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{end of document}</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63" w:right="27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color w:val="auto"/>
        </w:rPr>
        <w:t>T. ROWE PRICE GROUP, INC.</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[2004] STOCK INCENTIVE PLAN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 OF ADDITIONAL TERMS AND CONDITIONS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REGARDING REPLENISHMENT OPTION GRANTS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(EMPLOYEES)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Effective: September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203835</wp:posOffset>
            </wp:positionV>
            <wp:extent cx="18783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This Statement of Additional Terms and Conditions Regarding Replenishment Option Grants (the "</w:t>
      </w:r>
      <w:r>
        <w:rPr>
          <w:rFonts w:ascii="Arial" w:cs="Arial" w:eastAsia="Arial" w:hAnsi="Arial"/>
          <w:sz w:val="17"/>
          <w:szCs w:val="17"/>
          <w:b w:val="1"/>
          <w:bCs w:val="1"/>
          <w:i w:val="1"/>
          <w:iCs w:val="1"/>
          <w:color w:val="auto"/>
        </w:rPr>
        <w:t>Terms</w:t>
      </w:r>
      <w:r>
        <w:rPr>
          <w:rFonts w:ascii="Arial" w:cs="Arial" w:eastAsia="Arial" w:hAnsi="Arial"/>
          <w:sz w:val="17"/>
          <w:szCs w:val="17"/>
          <w:color w:val="auto"/>
        </w:rPr>
        <w:t>”) and all of the provisions of the T. Rowe Price Group, Inc. 2004 Stock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are incorporated into your grant of a non-qualified stock option, the specifics of which are described on the “Notice of Grant of Replenishment Stock Options and Option Agreement”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that you received. Once the Notice has been executed by you and by an authorized officer or agent of T. Rowe Price Group, Inc., the Terms, the Plan, and the Notice, together, constitute a binding and enforceable contract respecting your grant of a non-qualified stock option. That contract is referred to in this document as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p>
    <w:p>
      <w:pPr>
        <w:spacing w:after="0" w:line="64" w:lineRule="exact"/>
        <w:rPr>
          <w:sz w:val="20"/>
          <w:szCs w:val="20"/>
          <w:color w:val="auto"/>
        </w:rPr>
      </w:pPr>
    </w:p>
    <w:p>
      <w:pPr>
        <w:ind w:left="420" w:hanging="187"/>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this document are defined in the Glossary at the end of this document.</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26"/>
        </w:numPr>
        <w:rPr>
          <w:rFonts w:ascii="Arial" w:cs="Arial" w:eastAsia="Arial" w:hAnsi="Arial"/>
          <w:sz w:val="18"/>
          <w:szCs w:val="18"/>
          <w:i w:val="1"/>
          <w:iCs w:val="1"/>
          <w:color w:val="auto"/>
        </w:rPr>
      </w:pPr>
      <w:r>
        <w:rPr>
          <w:rFonts w:ascii="Arial" w:cs="Arial" w:eastAsia="Arial" w:hAnsi="Arial"/>
          <w:sz w:val="18"/>
          <w:szCs w:val="18"/>
          <w:u w:val="single" w:color="auto"/>
          <w:color w:val="auto"/>
        </w:rPr>
        <w:t>Stock Option Exercise Rights</w:t>
      </w:r>
      <w:r>
        <w:rPr>
          <w:rFonts w:ascii="Arial" w:cs="Arial" w:eastAsia="Arial" w:hAnsi="Arial"/>
          <w:sz w:val="18"/>
          <w:szCs w:val="18"/>
          <w:color w:val="auto"/>
        </w:rPr>
        <w:t>.</w:t>
      </w:r>
    </w:p>
    <w:p>
      <w:pPr>
        <w:spacing w:after="0" w:line="117" w:lineRule="exact"/>
        <w:rPr>
          <w:rFonts w:ascii="Arial" w:cs="Arial" w:eastAsia="Arial" w:hAnsi="Arial"/>
          <w:sz w:val="18"/>
          <w:szCs w:val="18"/>
          <w:i w:val="1"/>
          <w:iCs w:val="1"/>
          <w:color w:val="auto"/>
        </w:rPr>
      </w:pPr>
    </w:p>
    <w:p>
      <w:pPr>
        <w:ind w:right="140" w:firstLine="413"/>
        <w:spacing w:after="0" w:line="277" w:lineRule="auto"/>
        <w:tabs>
          <w:tab w:leader="none" w:pos="64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This stock option is immediately exercisable in full and may be exercised by you, in whole or in part, at any time before the stock option expires or is otherwise terminated.</w:t>
      </w:r>
    </w:p>
    <w:p>
      <w:pPr>
        <w:spacing w:after="0" w:line="62" w:lineRule="exact"/>
        <w:rPr>
          <w:rFonts w:ascii="Arial" w:cs="Arial" w:eastAsia="Arial" w:hAnsi="Arial"/>
          <w:sz w:val="18"/>
          <w:szCs w:val="18"/>
          <w:color w:val="auto"/>
        </w:rPr>
      </w:pPr>
    </w:p>
    <w:p>
      <w:pPr>
        <w:ind w:right="240" w:firstLine="413"/>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 less than 100 shares of T. Rowe Price Group common stock may be purchased upon any one exercise of the stock option unless the number of shares purchased at such time is the total number of shares in respect of which the stock option is then exercisable.</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no event will the stock option be exercisable for a fractional share.</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no event will any additional replenishment options be granted upon the exercise of this stock option.</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 and Payment of Purchase Price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40" w:firstLine="413"/>
        <w:spacing w:after="0" w:line="264" w:lineRule="auto"/>
        <w:tabs>
          <w:tab w:leader="none" w:pos="64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exercise the stock option, you must deliver to the Company, from time to time, on any business day after the stock option has become exercisable and before it expires or otherwise terminates, an Exercise Notice specifying the number of shares you then desire to purchase and pay the aggregate purchase price for the shares specified in the Exercise Notice. The purchase price may be paid:</w:t>
      </w:r>
    </w:p>
    <w:p>
      <w:pPr>
        <w:spacing w:after="0" w:line="73" w:lineRule="exact"/>
        <w:rPr>
          <w:rFonts w:ascii="Arial" w:cs="Arial" w:eastAsia="Arial" w:hAnsi="Arial"/>
          <w:sz w:val="18"/>
          <w:szCs w:val="18"/>
          <w:color w:val="auto"/>
        </w:rPr>
      </w:pPr>
    </w:p>
    <w:p>
      <w:pPr>
        <w:ind w:left="240" w:right="280" w:firstLine="401"/>
        <w:spacing w:after="0" w:line="342" w:lineRule="auto"/>
        <w:tabs>
          <w:tab w:leader="none" w:pos="860" w:val="left"/>
        </w:tabs>
        <w:numPr>
          <w:ilvl w:val="2"/>
          <w:numId w:val="26"/>
        </w:numPr>
        <w:rPr>
          <w:rFonts w:ascii="Arial" w:cs="Arial" w:eastAsia="Arial" w:hAnsi="Arial"/>
          <w:sz w:val="16"/>
          <w:szCs w:val="16"/>
          <w:color w:val="auto"/>
        </w:rPr>
      </w:pPr>
      <w:r>
        <w:rPr>
          <w:rFonts w:ascii="Arial" w:cs="Arial" w:eastAsia="Arial" w:hAnsi="Arial"/>
          <w:sz w:val="16"/>
          <w:szCs w:val="16"/>
          <w:color w:val="auto"/>
        </w:rPr>
        <w:t>by cash, check, wire transfer, bank draft or postal or express money order to the order of the Company for an amount in United States dollars equal to the aggregate purchase price for the number of shares specified in the Exercise Notice, such payment to be delivered with the Exercise Notice;</w:t>
      </w:r>
    </w:p>
    <w:p>
      <w:pPr>
        <w:spacing w:after="0" w:line="15" w:lineRule="exact"/>
        <w:rPr>
          <w:rFonts w:ascii="Arial" w:cs="Arial" w:eastAsia="Arial" w:hAnsi="Arial"/>
          <w:sz w:val="16"/>
          <w:szCs w:val="16"/>
          <w:color w:val="auto"/>
        </w:rPr>
      </w:pPr>
    </w:p>
    <w:p>
      <w:pPr>
        <w:ind w:left="240" w:right="20" w:firstLine="401"/>
        <w:spacing w:after="0" w:line="279" w:lineRule="auto"/>
        <w:tabs>
          <w:tab w:leader="none" w:pos="910" w:val="left"/>
        </w:tabs>
        <w:numPr>
          <w:ilvl w:val="2"/>
          <w:numId w:val="26"/>
        </w:numPr>
        <w:rPr>
          <w:rFonts w:ascii="Arial" w:cs="Arial" w:eastAsia="Arial" w:hAnsi="Arial"/>
          <w:sz w:val="17"/>
          <w:szCs w:val="17"/>
          <w:color w:val="auto"/>
        </w:rPr>
      </w:pPr>
      <w:r>
        <w:rPr>
          <w:rFonts w:ascii="Arial" w:cs="Arial" w:eastAsia="Arial" w:hAnsi="Arial"/>
          <w:sz w:val="17"/>
          <w:szCs w:val="17"/>
          <w:color w:val="auto"/>
        </w:rPr>
        <w:t>unless limited by the Committee, by tender of shares of T. Rowe Price Group common stock with a value (determined in accordance with paragraph 3(c)) equal to or less than the aggregate purchase price plus cash, check, wire transfer, bank draft or postal or express money order to the order of the Company for an amount in United States dollars equal to the amount, if any, by which the aggregate purchase price exceeds the value of such shares of T. Rowe Price Group common stock (determined in accordance with paragraph 3(c));</w:t>
      </w:r>
    </w:p>
    <w:p>
      <w:pPr>
        <w:spacing w:after="0" w:line="63" w:lineRule="exact"/>
        <w:rPr>
          <w:rFonts w:ascii="Arial" w:cs="Arial" w:eastAsia="Arial" w:hAnsi="Arial"/>
          <w:sz w:val="17"/>
          <w:szCs w:val="17"/>
          <w:color w:val="auto"/>
        </w:rPr>
      </w:pPr>
    </w:p>
    <w:p>
      <w:pPr>
        <w:ind w:left="960" w:hanging="319"/>
        <w:spacing w:after="0"/>
        <w:tabs>
          <w:tab w:leader="none" w:pos="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by broker-assisted cashless exercise in accordance with procedures satisfactory to the Committee; or</w:t>
      </w:r>
    </w:p>
    <w:p>
      <w:pPr>
        <w:spacing w:after="0" w:line="117" w:lineRule="exact"/>
        <w:rPr>
          <w:rFonts w:ascii="Arial" w:cs="Arial" w:eastAsia="Arial" w:hAnsi="Arial"/>
          <w:sz w:val="18"/>
          <w:szCs w:val="18"/>
          <w:color w:val="auto"/>
        </w:rPr>
      </w:pPr>
    </w:p>
    <w:p>
      <w:pPr>
        <w:ind w:left="940" w:hanging="299"/>
        <w:spacing w:after="0"/>
        <w:tabs>
          <w:tab w:leader="none" w:pos="940" w:val="left"/>
        </w:tabs>
        <w:numPr>
          <w:ilvl w:val="2"/>
          <w:numId w:val="26"/>
        </w:numPr>
        <w:rPr>
          <w:rFonts w:ascii="Arial" w:cs="Arial" w:eastAsia="Arial" w:hAnsi="Arial"/>
          <w:sz w:val="18"/>
          <w:szCs w:val="18"/>
          <w:color w:val="auto"/>
        </w:rPr>
      </w:pPr>
      <w:r>
        <w:rPr>
          <w:rFonts w:ascii="Arial" w:cs="Arial" w:eastAsia="Arial" w:hAnsi="Arial"/>
          <w:sz w:val="18"/>
          <w:szCs w:val="18"/>
          <w:color w:val="auto"/>
        </w:rPr>
        <w:t>by a combination of these methods.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the case of payment in shares of T. Rowe Price Group common stock, such payment must be made by no later than the end of the first business day after the Exercise Date, by delivery of the necessary share certificates, with executed stock powers attached, or transfer instructions, in the case of shares held in street name by a bank, broker, or other nominee, to the Company or by attestation of ownership in a form satisfactory to the Company, and in each case coupled with payment of any additional amount in cash or in one of the specified forms of acceptable cash equivalents for the balance of the aggregate purchase price.</w:t>
      </w:r>
    </w:p>
    <w:p>
      <w:pPr>
        <w:spacing w:after="0" w:line="80" w:lineRule="exact"/>
        <w:rPr>
          <w:sz w:val="20"/>
          <w:szCs w:val="20"/>
          <w:color w:val="auto"/>
        </w:rPr>
      </w:pPr>
    </w:p>
    <w:p>
      <w:pPr>
        <w:ind w:right="80" w:firstLine="413"/>
        <w:spacing w:after="0" w:line="257" w:lineRule="auto"/>
        <w:tabs>
          <w:tab w:leader="none" w:pos="657"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Within three business days after the Exercise Date and subject to the receipt of the aggregate purchase price and withholding taxes, to the extent required by the Company, the Company will issue to you the number of shares of T. Rowe Price Group common stock with respect to which the stock option shall be so exercised. Unless and until you request the Company to deliver a share certificate to you, or deliver shares electronically or in certificate form to your designated broker, bank or nominee on your behalf, the Company will retain the shares that you purchased through exercise of the stock option in uncertificated book entry form.</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54" w:name="page55"/>
    <w:bookmarkEnd w:id="54"/>
    <w:p>
      <w:pPr>
        <w:ind w:left="-20" w:right="80" w:firstLine="413"/>
        <w:spacing w:after="0" w:line="259" w:lineRule="auto"/>
        <w:tabs>
          <w:tab w:leader="none" w:pos="63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For purposes of paragraph 3(a), unless determined otherwise by the Committee in accordance with the Plan, the value of shares of T. Rowe Price Group common stock tendered to exercise the stock option will be the last-reported sale price of such shares on The NASDAQ Stock Market on the Exercise Date, or, if the T. Rowe Price Group common stock is not quoted on The NASDAQ Stock Market on the Exercise Date, as otherwise determined by the Committee in accordance with the Plan.</w:t>
      </w:r>
    </w:p>
    <w:p>
      <w:pPr>
        <w:spacing w:after="0" w:line="78" w:lineRule="exact"/>
        <w:rPr>
          <w:rFonts w:ascii="Arial" w:cs="Arial" w:eastAsia="Arial" w:hAnsi="Arial"/>
          <w:sz w:val="18"/>
          <w:szCs w:val="18"/>
          <w:color w:val="auto"/>
        </w:rPr>
      </w:pPr>
    </w:p>
    <w:p>
      <w:pPr>
        <w:jc w:val="both"/>
        <w:ind w:left="-20" w:right="20" w:firstLine="413"/>
        <w:spacing w:after="0" w:line="286" w:lineRule="auto"/>
        <w:tabs>
          <w:tab w:leader="none" w:pos="637"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Committee may in its discretion place limitations on the extent to which shares of T. Rowe Price Group common stock may be tendered by you as payment of the purchase price pursuant to paragraph 3(a) hereof. There are no provisions in this Agreement for the granting of a replenishment option with respect to any shares of T. Rowe Price Group common stock tendered upon the exercise of the stock option.</w:t>
      </w:r>
    </w:p>
    <w:p>
      <w:pPr>
        <w:spacing w:after="0" w:line="57" w:lineRule="exact"/>
        <w:rPr>
          <w:rFonts w:ascii="Arial" w:cs="Arial" w:eastAsia="Arial" w:hAnsi="Arial"/>
          <w:sz w:val="17"/>
          <w:szCs w:val="17"/>
          <w:color w:val="auto"/>
        </w:rPr>
      </w:pPr>
    </w:p>
    <w:p>
      <w:pPr>
        <w:ind w:left="-20" w:right="180" w:firstLine="413"/>
        <w:spacing w:after="0" w:line="264" w:lineRule="auto"/>
        <w:tabs>
          <w:tab w:leader="none" w:pos="63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the sole discretion of the Committee, the Company may in lieu of requiring the exercise of the stock option and the payment of the aggregate purchase price, authorize the payment of cash to you in an amount equal to the market value of shares of T. Rowe Price Group common stock subject to the stock option less the aggregate purchase price in exchange for the cancellation of the stock option.</w:t>
      </w:r>
    </w:p>
    <w:p>
      <w:pPr>
        <w:spacing w:after="0" w:line="73" w:lineRule="exact"/>
        <w:rPr>
          <w:rFonts w:ascii="Arial" w:cs="Arial" w:eastAsia="Arial" w:hAnsi="Arial"/>
          <w:sz w:val="18"/>
          <w:szCs w:val="18"/>
          <w:color w:val="auto"/>
        </w:rPr>
      </w:pPr>
    </w:p>
    <w:p>
      <w:pPr>
        <w:ind w:left="400" w:hanging="18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100" w:firstLine="413"/>
        <w:spacing w:after="0" w:line="277" w:lineRule="auto"/>
        <w:tabs>
          <w:tab w:leader="none" w:pos="627"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stock option, to the extent not earlier exercised or terminated, will terminate and be of no force or effect upon the first occurrence of any one of the following events:</w:t>
      </w:r>
    </w:p>
    <w:p>
      <w:pPr>
        <w:spacing w:after="0" w:line="62" w:lineRule="exact"/>
        <w:rPr>
          <w:rFonts w:ascii="Arial" w:cs="Arial" w:eastAsia="Arial" w:hAnsi="Arial"/>
          <w:sz w:val="18"/>
          <w:szCs w:val="18"/>
          <w:color w:val="auto"/>
        </w:rPr>
      </w:pPr>
    </w:p>
    <w:p>
      <w:pPr>
        <w:ind w:left="840" w:hanging="219"/>
        <w:spacing w:after="0"/>
        <w:tabs>
          <w:tab w:leader="none" w:pos="84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expiration date set forth in the Notice;</w:t>
      </w:r>
    </w:p>
    <w:p>
      <w:pPr>
        <w:spacing w:after="0" w:line="117" w:lineRule="exact"/>
        <w:rPr>
          <w:rFonts w:ascii="Arial" w:cs="Arial" w:eastAsia="Arial" w:hAnsi="Arial"/>
          <w:sz w:val="18"/>
          <w:szCs w:val="18"/>
          <w:color w:val="auto"/>
        </w:rPr>
      </w:pPr>
    </w:p>
    <w:p>
      <w:pPr>
        <w:ind w:left="220" w:right="100" w:firstLine="401"/>
        <w:spacing w:after="0" w:line="277" w:lineRule="auto"/>
        <w:tabs>
          <w:tab w:leader="none" w:pos="89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expiration of 30 days after termination of your Service with the Company, except in the case of your death or retirement with the consent of the Company;</w:t>
      </w:r>
    </w:p>
    <w:p>
      <w:pPr>
        <w:spacing w:after="0" w:line="62" w:lineRule="exact"/>
        <w:rPr>
          <w:rFonts w:ascii="Arial" w:cs="Arial" w:eastAsia="Arial" w:hAnsi="Arial"/>
          <w:sz w:val="18"/>
          <w:szCs w:val="18"/>
          <w:color w:val="auto"/>
        </w:rPr>
      </w:pPr>
    </w:p>
    <w:p>
      <w:pPr>
        <w:ind w:left="940" w:hanging="319"/>
        <w:spacing w:after="0"/>
        <w:tabs>
          <w:tab w:leader="none" w:pos="94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expiration of 13 months after the date of your retirement with the consent of the Company; or</w:t>
      </w:r>
    </w:p>
    <w:p>
      <w:pPr>
        <w:spacing w:after="0" w:line="117" w:lineRule="exact"/>
        <w:rPr>
          <w:rFonts w:ascii="Arial" w:cs="Arial" w:eastAsia="Arial" w:hAnsi="Arial"/>
          <w:sz w:val="18"/>
          <w:szCs w:val="18"/>
          <w:color w:val="auto"/>
        </w:rPr>
      </w:pPr>
    </w:p>
    <w:p>
      <w:pPr>
        <w:ind w:left="220" w:right="180" w:firstLine="401"/>
        <w:spacing w:after="0" w:line="277" w:lineRule="auto"/>
        <w:tabs>
          <w:tab w:leader="none" w:pos="93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expiration of 13 months after your date of death if you die (i) while you are in the Service of the Company or (ii) within the period of time after your termination of Service due to retirement or otherwise during which you were entitled to exercise the stock option.</w:t>
      </w:r>
    </w:p>
    <w:p>
      <w:pPr>
        <w:spacing w:after="0" w:line="62" w:lineRule="exact"/>
        <w:rPr>
          <w:rFonts w:ascii="Arial" w:cs="Arial" w:eastAsia="Arial" w:hAnsi="Arial"/>
          <w:sz w:val="18"/>
          <w:szCs w:val="18"/>
          <w:color w:val="auto"/>
        </w:rPr>
      </w:pPr>
    </w:p>
    <w:p>
      <w:pPr>
        <w:ind w:left="-20" w:right="40" w:firstLine="413"/>
        <w:spacing w:after="0" w:line="289" w:lineRule="auto"/>
        <w:tabs>
          <w:tab w:leader="none" w:pos="6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Retirement at your normal retirement date or at an optional retirement date in accordance with the provisions of a retirement plan of the Company under which you are then covered will constitute a retirement with the consent of the Company for the purposes of this Agreement. The Committee has absolute and uncontrolled discretion to determine whether any other termination of your employment is to be considered as retirement with the consent of the Company for the purposes of this Agreement and whether an authorized leave of absence or absence on military or government service or otherwise shall constitute a termination of employment for the purposes of this Agreement. Employment by the Company will be deemed to include employment of you by, and to continue during any period in which you are in the employ of, an Affiliate of the Company. Unless determined otherwise by the Committee, if the Affiliate with which you are employed ceases to be an entity in which the Company maintains a proprietary interest by reason of stock ownership or otherwise, you will be considered to have had a termination of employment for purposes of this Agreement upon such cessation. Any determination made by the Committee with respect to any matter referred to in this paragraph 4 will be final and conclusive on all persons affected thereby.</w:t>
      </w:r>
    </w:p>
    <w:p>
      <w:pPr>
        <w:spacing w:after="0" w:line="58" w:lineRule="exact"/>
        <w:rPr>
          <w:rFonts w:ascii="Arial" w:cs="Arial" w:eastAsia="Arial" w:hAnsi="Arial"/>
          <w:sz w:val="16"/>
          <w:szCs w:val="16"/>
          <w:color w:val="auto"/>
        </w:rPr>
      </w:pPr>
    </w:p>
    <w:p>
      <w:pPr>
        <w:ind w:left="-20" w:right="160" w:firstLine="233"/>
        <w:spacing w:after="0" w:line="279" w:lineRule="auto"/>
        <w:tabs>
          <w:tab w:leader="none" w:pos="385"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Non-Guarantee of Employment</w:t>
      </w:r>
      <w:r>
        <w:rPr>
          <w:rFonts w:ascii="Arial" w:cs="Arial" w:eastAsia="Arial" w:hAnsi="Arial"/>
          <w:sz w:val="17"/>
          <w:szCs w:val="17"/>
          <w:color w:val="auto"/>
        </w:rPr>
        <w:t>. Nothing in the Plan or this Agreement shall alter your at-will or other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portion of the stock option or any other adverse effect on your interests under the Plan.</w:t>
      </w:r>
    </w:p>
    <w:p>
      <w:pPr>
        <w:spacing w:after="0" w:line="63" w:lineRule="exact"/>
        <w:rPr>
          <w:rFonts w:ascii="Arial" w:cs="Arial" w:eastAsia="Arial" w:hAnsi="Arial"/>
          <w:sz w:val="17"/>
          <w:szCs w:val="17"/>
          <w:color w:val="auto"/>
        </w:rPr>
      </w:pPr>
    </w:p>
    <w:p>
      <w:pPr>
        <w:ind w:left="-20" w:right="20" w:firstLine="233"/>
        <w:spacing w:after="0" w:line="276" w:lineRule="auto"/>
        <w:tabs>
          <w:tab w:leader="none" w:pos="385"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Assignability</w:t>
      </w:r>
      <w:r>
        <w:rPr>
          <w:rFonts w:ascii="Arial" w:cs="Arial" w:eastAsia="Arial" w:hAnsi="Arial"/>
          <w:sz w:val="17"/>
          <w:szCs w:val="17"/>
          <w:color w:val="auto"/>
        </w:rPr>
        <w:t>. Unless the Committee determines otherwise, you may not transfer this stock option except by will or under the laws of descent and distribution, and only you or your legal representative may exercise this stock option during your lifetime. With the exception of a transfer by will, by the laws of descent and distribution or with express advance consent of the Committee, no assignment or transfer of this stock option, or the rights represented thereby, whether voluntary or involuntary, by operation of law or otherwise, shall vest in the assignee or transferee any interest or right herein whatsoever, but immediately upon any attempt to assign or transfer this stock option the same shall terminate and be of no force or effect.</w:t>
      </w:r>
    </w:p>
    <w:p>
      <w:pPr>
        <w:spacing w:after="0" w:line="64" w:lineRule="exact"/>
        <w:rPr>
          <w:rFonts w:ascii="Arial" w:cs="Arial" w:eastAsia="Arial" w:hAnsi="Arial"/>
          <w:sz w:val="17"/>
          <w:szCs w:val="17"/>
          <w:color w:val="auto"/>
        </w:rPr>
      </w:pPr>
    </w:p>
    <w:p>
      <w:pPr>
        <w:ind w:left="-20" w:right="20" w:firstLine="233"/>
        <w:spacing w:after="0" w:line="276" w:lineRule="auto"/>
        <w:tabs>
          <w:tab w:leader="none" w:pos="385"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The Company’s Rights</w:t>
      </w:r>
      <w:r>
        <w:rPr>
          <w:rFonts w:ascii="Arial" w:cs="Arial" w:eastAsia="Arial" w:hAnsi="Arial"/>
          <w:sz w:val="17"/>
          <w:szCs w:val="17"/>
          <w:color w:val="auto"/>
        </w:rPr>
        <w:t>. The existence of this stock option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64" w:lineRule="exact"/>
        <w:rPr>
          <w:rFonts w:ascii="Arial" w:cs="Arial" w:eastAsia="Arial" w:hAnsi="Arial"/>
          <w:sz w:val="17"/>
          <w:szCs w:val="17"/>
          <w:color w:val="auto"/>
        </w:rPr>
      </w:pPr>
    </w:p>
    <w:p>
      <w:pPr>
        <w:ind w:left="-20" w:firstLine="233"/>
        <w:spacing w:after="0" w:line="288" w:lineRule="auto"/>
        <w:tabs>
          <w:tab w:leader="none" w:pos="38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Recapitalization</w:t>
      </w:r>
      <w:r>
        <w:rPr>
          <w:rFonts w:ascii="Arial" w:cs="Arial" w:eastAsia="Arial" w:hAnsi="Arial"/>
          <w:sz w:val="16"/>
          <w:szCs w:val="16"/>
          <w:color w:val="auto"/>
        </w:rPr>
        <w:t>. The shares with respect to which this stock option is granted are shares of the T. Rowe Price Group common stock as constituted on the date of this Agreement, but if, and whenever, prior to the delivery by the Company of all of the shares of T. Rowe Price Group common stock with respect to which this stock option is granted, the Company shall effect a subdivision or consolidation of shares, or other capital readjustment, or the payment of a stock dividend, or other increase or decrease in the number of shares of T. Rowe Price Group common stock outstanding, without receiving compensation therefor in money, services or property, then (a) in the event of any increase in the number of such shares outstanding, the number of shares of T. Rowe Price Group common stock then remaining subject to this stock option will be proportionately increased (except that any fraction of a share resulting from any such adjustment will be excluded from the operation of this Agreement), and the cash consideration payable per share will be proportionately reduced, and (b) in the event of a reduction in the number of such shares outstanding, the number of shares of T. Rowe Price Group common stock then remaining subject to this stock option will be proportionately reduced (except that any fractional share resulting from any such adjustment will be excluded from the operation of this Agreement), and the cash consideration payable per share will be proportionately increased.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55" w:name="page56"/>
    <w:bookmarkEnd w:id="55"/>
    <w:p>
      <w:pPr>
        <w:ind w:firstLine="233"/>
        <w:spacing w:after="0" w:line="290" w:lineRule="auto"/>
        <w:tabs>
          <w:tab w:leader="none" w:pos="405"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Merger and Consolidation</w:t>
      </w:r>
      <w:r>
        <w:rPr>
          <w:rFonts w:ascii="Arial" w:cs="Arial" w:eastAsia="Arial" w:hAnsi="Arial"/>
          <w:sz w:val="16"/>
          <w:szCs w:val="16"/>
          <w:color w:val="auto"/>
        </w:rPr>
        <w:t>. After a merger of one or more corporations into the Company, or after a consolidation of the Company and one or more corporations in which the Company is the surviving or resulting corporation, you will, at no additional cost, be entitled upon any exercise of this stock option, to receive (subject to any required action by stockholders) in lieu of the number of shares as to which this stock option shall then be so exercised, the number and class of shares of stock or other securities to which you would have been entitled pursuant to the terms of the agreement of merger or consolidation, if, immediately prior to such merger or consolidation, you had been the holder of record of a number of shares of T. Rowe Price Group common stock equal to the number of shares as to which such stock option shall be so exercised; provided, that anything herein contained to the contrary notwithstanding, upon the dissolution or liquidation of the Company, or upon any merger or consolidation, in which the Company is not the surviving or resulting corporation, this stock option will terminate and be of no force or effect, except to the extent that such surviving or resulting corporation may issue a substituted option.</w:t>
      </w:r>
    </w:p>
    <w:p>
      <w:pPr>
        <w:spacing w:after="0" w:line="58" w:lineRule="exact"/>
        <w:rPr>
          <w:rFonts w:ascii="Arial" w:cs="Arial" w:eastAsia="Arial" w:hAnsi="Arial"/>
          <w:sz w:val="16"/>
          <w:szCs w:val="16"/>
          <w:color w:val="auto"/>
        </w:rPr>
      </w:pPr>
    </w:p>
    <w:p>
      <w:pPr>
        <w:ind w:right="40" w:firstLine="233"/>
        <w:spacing w:after="0" w:line="312" w:lineRule="auto"/>
        <w:tabs>
          <w:tab w:leader="none" w:pos="495"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Preemption of Applicable Laws or Regulations</w:t>
      </w:r>
      <w:r>
        <w:rPr>
          <w:rFonts w:ascii="Arial" w:cs="Arial" w:eastAsia="Arial" w:hAnsi="Arial"/>
          <w:sz w:val="16"/>
          <w:szCs w:val="16"/>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38" w:lineRule="exact"/>
        <w:rPr>
          <w:rFonts w:ascii="Arial" w:cs="Arial" w:eastAsia="Arial" w:hAnsi="Arial"/>
          <w:sz w:val="16"/>
          <w:szCs w:val="16"/>
          <w:color w:val="auto"/>
        </w:rPr>
      </w:pPr>
    </w:p>
    <w:p>
      <w:pPr>
        <w:ind w:right="180" w:firstLine="233"/>
        <w:spacing w:after="0" w:line="286" w:lineRule="auto"/>
        <w:tabs>
          <w:tab w:leader="none" w:pos="488"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No Rights as a Stockholder</w:t>
      </w:r>
      <w:r>
        <w:rPr>
          <w:rFonts w:ascii="Arial" w:cs="Arial" w:eastAsia="Arial" w:hAnsi="Arial"/>
          <w:sz w:val="17"/>
          <w:szCs w:val="17"/>
          <w:color w:val="auto"/>
        </w:rPr>
        <w:t>. You shall not have any of the rights of a stockholder with respect to the shares of T. Rowe Price Group common stock subject to the stock option until such shares have been issued to you upon the due exercise of the stock option. No adjustment will be made for dividends or distributions or other rights for which the record date is prior to the date such shares are issued to you.</w:t>
      </w:r>
    </w:p>
    <w:p>
      <w:pPr>
        <w:spacing w:after="0" w:line="57" w:lineRule="exact"/>
        <w:rPr>
          <w:rFonts w:ascii="Arial" w:cs="Arial" w:eastAsia="Arial" w:hAnsi="Arial"/>
          <w:sz w:val="17"/>
          <w:szCs w:val="17"/>
          <w:color w:val="auto"/>
        </w:rPr>
      </w:pPr>
    </w:p>
    <w:p>
      <w:pPr>
        <w:ind w:firstLine="233"/>
        <w:spacing w:after="0" w:line="271" w:lineRule="auto"/>
        <w:tabs>
          <w:tab w:leader="none" w:pos="495"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The Committee shall have the right, in its absolute and uncontrolled discretion, to alter or amend this Agreement, from time to time in any manner for the purpose of promoting the objectives of the Plan but only if all agreements granting options to purchase shares of T. Rowe Price Group common stock pursuant to the Plan which are in effect and not wholly exercised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will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70" w:lineRule="exact"/>
        <w:rPr>
          <w:rFonts w:ascii="Arial" w:cs="Arial" w:eastAsia="Arial" w:hAnsi="Arial"/>
          <w:sz w:val="17"/>
          <w:szCs w:val="17"/>
          <w:color w:val="auto"/>
        </w:rPr>
      </w:pPr>
    </w:p>
    <w:p>
      <w:pPr>
        <w:ind w:right="40" w:firstLine="233"/>
        <w:spacing w:after="0" w:line="25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80" w:lineRule="exact"/>
        <w:rPr>
          <w:rFonts w:ascii="Arial" w:cs="Arial" w:eastAsia="Arial" w:hAnsi="Arial"/>
          <w:sz w:val="18"/>
          <w:szCs w:val="18"/>
          <w:color w:val="auto"/>
        </w:rPr>
      </w:pPr>
    </w:p>
    <w:p>
      <w:pPr>
        <w:ind w:right="280" w:firstLine="233"/>
        <w:spacing w:after="0" w:line="302" w:lineRule="auto"/>
        <w:tabs>
          <w:tab w:leader="none" w:pos="495"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Electronic Delivery of Documents</w:t>
      </w:r>
      <w:r>
        <w:rPr>
          <w:rFonts w:ascii="Arial" w:cs="Arial" w:eastAsia="Arial" w:hAnsi="Arial"/>
          <w:sz w:val="16"/>
          <w:szCs w:val="16"/>
          <w:color w:val="auto"/>
        </w:rPr>
        <w:t>. The Company may electronically deliver, via e-mail or posting on the Company’s website, these Terms, information with respect to the Plan or the stock option,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46" w:lineRule="exact"/>
        <w:rPr>
          <w:rFonts w:ascii="Arial" w:cs="Arial" w:eastAsia="Arial" w:hAnsi="Arial"/>
          <w:sz w:val="16"/>
          <w:szCs w:val="16"/>
          <w:color w:val="auto"/>
        </w:rPr>
      </w:pPr>
    </w:p>
    <w:p>
      <w:pPr>
        <w:ind w:right="120" w:firstLine="233"/>
        <w:spacing w:after="0" w:line="286" w:lineRule="auto"/>
        <w:tabs>
          <w:tab w:leader="none" w:pos="495"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between the parties with respect to the stock option granted hereunder. Any oral or written agreements, representations, warranties, written inducements, or other communications made prior to the execution of the Notice correlating to these Terms with respect to the stock option granted hereunder shall be void and ineffective for all purposes.</w:t>
      </w:r>
    </w:p>
    <w:p>
      <w:pPr>
        <w:spacing w:after="0" w:line="57" w:lineRule="exact"/>
        <w:rPr>
          <w:rFonts w:ascii="Arial" w:cs="Arial" w:eastAsia="Arial" w:hAnsi="Arial"/>
          <w:sz w:val="17"/>
          <w:szCs w:val="17"/>
          <w:color w:val="auto"/>
        </w:rPr>
      </w:pPr>
    </w:p>
    <w:p>
      <w:pPr>
        <w:ind w:left="500" w:hanging="267"/>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Non-Qualified Nature of the Option</w:t>
      </w:r>
      <w:r>
        <w:rPr>
          <w:rFonts w:ascii="Arial" w:cs="Arial" w:eastAsia="Arial" w:hAnsi="Arial"/>
          <w:sz w:val="18"/>
          <w:szCs w:val="18"/>
          <w:color w:val="auto"/>
        </w:rPr>
        <w: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stock option granted under this Agreement shall not be treated as an incentive stock option within the meaning of Internal Revenue Code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422.</w:t>
      </w:r>
    </w:p>
    <w:p>
      <w:pPr>
        <w:spacing w:after="0" w:line="103" w:lineRule="exact"/>
        <w:rPr>
          <w:sz w:val="20"/>
          <w:szCs w:val="20"/>
          <w:color w:val="auto"/>
        </w:rPr>
      </w:pPr>
    </w:p>
    <w:p>
      <w:pPr>
        <w:ind w:left="500" w:hanging="267"/>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40" w:hanging="237"/>
        <w:spacing w:after="0"/>
        <w:tabs>
          <w:tab w:leader="none" w:pos="7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At the time the stock option is exercised, in whole or in part, or at any time thereafter as requested by the Company, you hereby authorize</w:t>
      </w:r>
    </w:p>
    <w:p>
      <w:pPr>
        <w:spacing w:after="0" w:line="34" w:lineRule="exact"/>
        <w:rPr>
          <w:rFonts w:ascii="Arial" w:cs="Arial" w:eastAsia="Arial" w:hAnsi="Arial"/>
          <w:sz w:val="17"/>
          <w:szCs w:val="17"/>
          <w:color w:val="auto"/>
        </w:rPr>
      </w:pPr>
    </w:p>
    <w:p>
      <w:pPr>
        <w:ind w:right="60"/>
        <w:spacing w:after="0" w:line="273" w:lineRule="auto"/>
        <w:rPr>
          <w:rFonts w:ascii="Arial" w:cs="Arial" w:eastAsia="Arial" w:hAnsi="Arial"/>
          <w:sz w:val="17"/>
          <w:szCs w:val="17"/>
          <w:color w:val="auto"/>
        </w:rPr>
      </w:pPr>
      <w:r>
        <w:rPr>
          <w:rFonts w:ascii="Arial" w:cs="Arial" w:eastAsia="Arial" w:hAnsi="Arial"/>
          <w:sz w:val="17"/>
          <w:szCs w:val="17"/>
          <w:color w:val="auto"/>
        </w:rPr>
        <w:t>withholding from payroll or any other payment of any kind due you and otherwise agree to make adequate provision for foreign, federal, state and local taxes required by law to be withheld, if any, which arise in connection with the stock option. The Company may require you to make a cash payment to cover any withholding tax obligation as a condition of exercise of the stock option. If you do not make such payment when requested, the Company may refuse to issue any stock or stock certificate under the Plan until arrangements satisfactory to the Company for such payment have been made.</w:t>
      </w:r>
    </w:p>
    <w:p>
      <w:pPr>
        <w:spacing w:after="0" w:line="68" w:lineRule="exact"/>
        <w:rPr>
          <w:rFonts w:ascii="Arial" w:cs="Arial" w:eastAsia="Arial" w:hAnsi="Arial"/>
          <w:sz w:val="17"/>
          <w:szCs w:val="17"/>
          <w:color w:val="auto"/>
        </w:rPr>
      </w:pPr>
    </w:p>
    <w:p>
      <w:pPr>
        <w:ind w:right="220" w:firstLine="503"/>
        <w:spacing w:after="0" w:line="259" w:lineRule="auto"/>
        <w:tabs>
          <w:tab w:leader="none" w:pos="7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may, in its sole discretion, permit you to satisfy, in whole or in part, any withholding tax obligation which may arise in connection with the stock option either by electing to have the Company withhold from the shares to be issued upon exercise that number of shares, or by electing to deliver to the Company already-owned shares, in either case having a fair market value equal to no more than the amount necessary to satisfy the statutory minimum withholding amount due.</w:t>
      </w:r>
    </w:p>
    <w:p>
      <w:pPr>
        <w:spacing w:after="0" w:line="78" w:lineRule="exact"/>
        <w:rPr>
          <w:rFonts w:ascii="Arial" w:cs="Arial" w:eastAsia="Arial" w:hAnsi="Arial"/>
          <w:sz w:val="18"/>
          <w:szCs w:val="18"/>
          <w:color w:val="auto"/>
        </w:rPr>
      </w:pPr>
    </w:p>
    <w:p>
      <w:pPr>
        <w:ind w:right="140" w:firstLine="233"/>
        <w:spacing w:after="0" w:line="297" w:lineRule="auto"/>
        <w:tabs>
          <w:tab w:leader="none" w:pos="49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Conformity with Plan</w:t>
      </w:r>
      <w:r>
        <w:rPr>
          <w:rFonts w:ascii="Arial" w:cs="Arial" w:eastAsia="Arial" w:hAnsi="Arial"/>
          <w:sz w:val="16"/>
          <w:szCs w:val="16"/>
          <w:color w:val="auto"/>
        </w:rPr>
        <w:t>. These Terms are intended to conform in all respects with, and are subject to all applicable provisions of, the Plan. Except as may be necessary to give effect to the amendment provisions of paragraph 12 of these Terms, any inconsistencies between these Terms and the Plan shall be resolved in accordance with the terms of the Plan. In the event of any ambiguity in these Terms or any matters as to which these Terms are silent, the Plan shall govern. A copy of the Plan is available at https://www2.troweprice.com/options or in hard copy upon request to the Company’s Payroll and Stock Transaction Group in the CFO-Finance Department at BA-0372 in the Baltimore office or by telephone, at extension 7716.</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6" w:name="page57"/>
    <w:bookmarkEnd w:id="56"/>
    <w:p>
      <w:pPr>
        <w:ind w:left="-8" w:right="20" w:firstLine="233"/>
        <w:spacing w:after="0" w:line="257" w:lineRule="auto"/>
        <w:tabs>
          <w:tab w:leader="none" w:pos="487"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 hereto will be brought in the federal or state courts in the districts which include Baltimore, Maryland, and you hereby agree and submit to the personal jurisdiction and venue thereof.</w:t>
      </w:r>
    </w:p>
    <w:p>
      <w:pPr>
        <w:spacing w:after="0" w:line="80" w:lineRule="exact"/>
        <w:rPr>
          <w:rFonts w:ascii="Arial" w:cs="Arial" w:eastAsia="Arial" w:hAnsi="Arial"/>
          <w:sz w:val="18"/>
          <w:szCs w:val="18"/>
          <w:color w:val="auto"/>
        </w:rPr>
      </w:pPr>
    </w:p>
    <w:p>
      <w:pPr>
        <w:ind w:left="-8" w:right="120" w:firstLine="233"/>
        <w:spacing w:after="0" w:line="312" w:lineRule="auto"/>
        <w:tabs>
          <w:tab w:leader="none" w:pos="487"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disagreement which shall arise under, or as a result of, or pursuant to, this Agreement shall be determined by the Committee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w:t>
      </w:r>
    </w:p>
    <w:p>
      <w:pPr>
        <w:spacing w:after="0" w:line="38" w:lineRule="exact"/>
        <w:rPr>
          <w:rFonts w:ascii="Arial" w:cs="Arial" w:eastAsia="Arial" w:hAnsi="Arial"/>
          <w:sz w:val="16"/>
          <w:szCs w:val="16"/>
          <w:color w:val="auto"/>
        </w:rPr>
      </w:pPr>
    </w:p>
    <w:p>
      <w:pPr>
        <w:ind w:left="-8" w:firstLine="233"/>
        <w:spacing w:after="0" w:line="285" w:lineRule="auto"/>
        <w:tabs>
          <w:tab w:leader="none" w:pos="487"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No Future Entitlement</w:t>
      </w:r>
      <w:r>
        <w:rPr>
          <w:rFonts w:ascii="Arial" w:cs="Arial" w:eastAsia="Arial" w:hAnsi="Arial"/>
          <w:sz w:val="16"/>
          <w:szCs w:val="16"/>
          <w:color w:val="auto"/>
        </w:rPr>
        <w:t>. By execution of the Notice, you acknowledge and agree that: (i) the grant of a stock option is a one-time benefit which does not create any contractual or other right to receive future grants of stock options, or compensation in lieu of stock options, even if stock options have been granted repeatedly in the past; (ii) all determinations with respect to any such future grants, including, but not limited to, the times when stock options shall be granted or shall become exercisable, the maximum number of shares subject to each stock option, and the purchase price, will be at the sole discretion of the Committee; (iii) the value of the stock option is an extraordinary item of compensation which is outside the scope of your employment contract, if any;</w:t>
      </w:r>
    </w:p>
    <w:p>
      <w:pPr>
        <w:spacing w:after="0" w:line="2" w:lineRule="exact"/>
        <w:rPr>
          <w:rFonts w:ascii="Arial" w:cs="Arial" w:eastAsia="Arial" w:hAnsi="Arial"/>
          <w:sz w:val="16"/>
          <w:szCs w:val="16"/>
          <w:color w:val="auto"/>
        </w:rPr>
      </w:pPr>
    </w:p>
    <w:p>
      <w:pPr>
        <w:ind w:left="-8" w:right="280" w:firstLine="8"/>
        <w:spacing w:after="0" w:line="281" w:lineRule="auto"/>
        <w:tabs>
          <w:tab w:leader="none" w:pos="29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value of the stock option is not part of normal or expected compensation or salary for any purpose, including, but not limited to, calculating any termination, severance, resignation, redundancy, end of service payments or similar payments, or bonuses, long-service awards, pension or retirement benefits; (v) if the underlying stock does not increase in value, this stock option will have no value, nor does the Company guarantee any future value; and</w:t>
      </w:r>
    </w:p>
    <w:p>
      <w:pPr>
        <w:spacing w:after="0" w:line="2" w:lineRule="exact"/>
        <w:rPr>
          <w:rFonts w:ascii="Arial" w:cs="Arial" w:eastAsia="Arial" w:hAnsi="Arial"/>
          <w:sz w:val="16"/>
          <w:szCs w:val="16"/>
          <w:color w:val="auto"/>
        </w:rPr>
      </w:pPr>
    </w:p>
    <w:p>
      <w:pPr>
        <w:ind w:left="-8" w:right="200" w:firstLine="8"/>
        <w:spacing w:after="0" w:line="261" w:lineRule="auto"/>
        <w:tabs>
          <w:tab w:leader="none" w:pos="2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arises if the stock option does not increase in value and you irrevocably release the Company from any such claim that does arise.</w:t>
      </w:r>
    </w:p>
    <w:p>
      <w:pPr>
        <w:spacing w:after="0" w:line="75" w:lineRule="exact"/>
        <w:rPr>
          <w:rFonts w:ascii="Arial" w:cs="Arial" w:eastAsia="Arial" w:hAnsi="Arial"/>
          <w:sz w:val="18"/>
          <w:szCs w:val="18"/>
          <w:color w:val="auto"/>
        </w:rPr>
      </w:pPr>
    </w:p>
    <w:p>
      <w:pPr>
        <w:ind w:left="-8" w:right="20" w:firstLine="233"/>
        <w:spacing w:after="0" w:line="287" w:lineRule="auto"/>
        <w:tabs>
          <w:tab w:leader="none" w:pos="487"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Personal Data</w:t>
      </w:r>
      <w:r>
        <w:rPr>
          <w:rFonts w:ascii="Arial" w:cs="Arial" w:eastAsia="Arial" w:hAnsi="Arial"/>
          <w:sz w:val="16"/>
          <w:szCs w:val="16"/>
          <w:color w:val="auto"/>
        </w:rPr>
        <w:t>. For the exclusive purpose of implementing, administering and managing the stock option, you, by execution of the Notice, consent to the collection, receipt, use, retention and transfer, in electronic or other form, of your personal data by and among the Company and its third party vendors.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exercised, vested and unvested) may be transferred to third parties assisting in the implementation, administration and management of the stock option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stock option.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at BA-0372 in the Baltimore office. You understand, however, that refusing or withdrawing your consent may affect your ability to accept a stock option.</w:t>
      </w:r>
    </w:p>
    <w:p>
      <w:pPr>
        <w:spacing w:after="0" w:line="60" w:lineRule="exact"/>
        <w:rPr>
          <w:rFonts w:ascii="Arial" w:cs="Arial" w:eastAsia="Arial" w:hAnsi="Arial"/>
          <w:sz w:val="16"/>
          <w:szCs w:val="16"/>
          <w:color w:val="auto"/>
        </w:rPr>
      </w:pPr>
    </w:p>
    <w:p>
      <w:pPr>
        <w:ind w:left="492" w:hanging="267"/>
        <w:spacing w:after="0"/>
        <w:tabs>
          <w:tab w:leader="none" w:pos="492"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Agreement are for reference purposes only and shall not affect the meaning or interpretation of this Agreement.</w:t>
      </w:r>
    </w:p>
    <w:p>
      <w:pPr>
        <w:spacing w:after="0" w:line="34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t>GLOSSARY</w:t>
      </w:r>
    </w:p>
    <w:p>
      <w:pPr>
        <w:spacing w:after="0" w:line="117" w:lineRule="exact"/>
        <w:rPr>
          <w:sz w:val="20"/>
          <w:szCs w:val="20"/>
          <w:color w:val="auto"/>
        </w:rPr>
      </w:pPr>
    </w:p>
    <w:p>
      <w:pPr>
        <w:ind w:left="-60" w:right="40" w:firstLine="233"/>
        <w:spacing w:after="0" w:line="264" w:lineRule="auto"/>
        <w:tabs>
          <w:tab w:leader="none" w:pos="4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in which the Company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73" w:lineRule="exact"/>
        <w:rPr>
          <w:rFonts w:ascii="Arial" w:cs="Arial" w:eastAsia="Arial" w:hAnsi="Arial"/>
          <w:sz w:val="18"/>
          <w:szCs w:val="18"/>
          <w:color w:val="auto"/>
        </w:rPr>
      </w:pPr>
    </w:p>
    <w:p>
      <w:pPr>
        <w:ind w:left="420" w:hanging="247"/>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17" w:lineRule="exact"/>
        <w:rPr>
          <w:rFonts w:ascii="Arial" w:cs="Arial" w:eastAsia="Arial" w:hAnsi="Arial"/>
          <w:sz w:val="18"/>
          <w:szCs w:val="18"/>
          <w:color w:val="auto"/>
        </w:rPr>
      </w:pPr>
    </w:p>
    <w:p>
      <w:pPr>
        <w:ind w:left="-60" w:right="60" w:firstLine="233"/>
        <w:spacing w:after="0" w:line="277" w:lineRule="auto"/>
        <w:tabs>
          <w:tab w:leader="none" w:pos="4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Executive Compensation Committee of the Board of Directors of T. Rowe Price Group, Inc. or such committee or committees appointed by the Board to administer the Plan.</w:t>
      </w:r>
    </w:p>
    <w:p>
      <w:pPr>
        <w:spacing w:after="0" w:line="62" w:lineRule="exact"/>
        <w:rPr>
          <w:rFonts w:ascii="Arial" w:cs="Arial" w:eastAsia="Arial" w:hAnsi="Arial"/>
          <w:sz w:val="18"/>
          <w:szCs w:val="18"/>
          <w:color w:val="auto"/>
        </w:rPr>
      </w:pPr>
    </w:p>
    <w:p>
      <w:pPr>
        <w:ind w:left="420" w:hanging="247"/>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except where the context otherwise requires.</w:t>
      </w:r>
    </w:p>
    <w:p>
      <w:pPr>
        <w:spacing w:after="0" w:line="117" w:lineRule="exact"/>
        <w:rPr>
          <w:rFonts w:ascii="Arial" w:cs="Arial" w:eastAsia="Arial" w:hAnsi="Arial"/>
          <w:sz w:val="18"/>
          <w:szCs w:val="18"/>
          <w:color w:val="auto"/>
        </w:rPr>
      </w:pPr>
    </w:p>
    <w:p>
      <w:pPr>
        <w:ind w:left="-60" w:right="60" w:firstLine="233"/>
        <w:spacing w:after="0" w:line="342" w:lineRule="auto"/>
        <w:tabs>
          <w:tab w:leader="none" w:pos="41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Exercise Date</w:t>
      </w:r>
      <w:r>
        <w:rPr>
          <w:rFonts w:ascii="Arial" w:cs="Arial" w:eastAsia="Arial" w:hAnsi="Arial"/>
          <w:sz w:val="16"/>
          <w:szCs w:val="16"/>
          <w:color w:val="auto"/>
        </w:rPr>
        <w:t>” means the business day upon which you deliver to the Company the Exercise Notice and payment of the aggregate purchase price for the shares specified therein in accordance with the requirements of paragraph 3(a); provided that all of the conditions of the Agreement are satisfied.</w:t>
      </w:r>
    </w:p>
    <w:p>
      <w:pPr>
        <w:spacing w:after="0" w:line="15" w:lineRule="exact"/>
        <w:rPr>
          <w:rFonts w:ascii="Arial" w:cs="Arial" w:eastAsia="Arial" w:hAnsi="Arial"/>
          <w:sz w:val="16"/>
          <w:szCs w:val="16"/>
          <w:color w:val="auto"/>
        </w:rPr>
      </w:pPr>
    </w:p>
    <w:p>
      <w:pPr>
        <w:ind w:left="-60" w:right="40" w:firstLine="233"/>
        <w:spacing w:after="0" w:line="277" w:lineRule="auto"/>
        <w:tabs>
          <w:tab w:leader="none" w:pos="3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Notice</w:t>
      </w:r>
      <w:r>
        <w:rPr>
          <w:rFonts w:ascii="Arial" w:cs="Arial" w:eastAsia="Arial" w:hAnsi="Arial"/>
          <w:sz w:val="18"/>
          <w:szCs w:val="18"/>
          <w:color w:val="auto"/>
        </w:rPr>
        <w:t>” means the written notice, in such form as may be required from time to time by the Committee, specifying the number of shares you desire to purchase under the stock option.</w:t>
      </w:r>
    </w:p>
    <w:p>
      <w:pPr>
        <w:spacing w:after="0" w:line="62" w:lineRule="exact"/>
        <w:rPr>
          <w:rFonts w:ascii="Arial" w:cs="Arial" w:eastAsia="Arial" w:hAnsi="Arial"/>
          <w:sz w:val="18"/>
          <w:szCs w:val="18"/>
          <w:color w:val="auto"/>
        </w:rPr>
      </w:pPr>
    </w:p>
    <w:p>
      <w:pPr>
        <w:ind w:left="-60" w:right="440" w:firstLine="233"/>
        <w:spacing w:after="0" w:line="277"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Grant of Stock Options and Option Agreement which correlates with these Terms and sets forth the specifics of the applicable stock option grant.</w:t>
      </w:r>
    </w:p>
    <w:p>
      <w:pPr>
        <w:spacing w:after="0" w:line="62" w:lineRule="exact"/>
        <w:rPr>
          <w:rFonts w:ascii="Arial" w:cs="Arial" w:eastAsia="Arial" w:hAnsi="Arial"/>
          <w:sz w:val="18"/>
          <w:szCs w:val="18"/>
          <w:color w:val="auto"/>
        </w:rPr>
      </w:pPr>
    </w:p>
    <w:p>
      <w:pPr>
        <w:ind w:left="420" w:hanging="247"/>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2004 Stock Incentive Plan.</w:t>
      </w:r>
    </w:p>
    <w:p>
      <w:pPr>
        <w:spacing w:after="0" w:line="113" w:lineRule="exact"/>
        <w:rPr>
          <w:rFonts w:ascii="Arial" w:cs="Arial" w:eastAsia="Arial" w:hAnsi="Arial"/>
          <w:sz w:val="18"/>
          <w:szCs w:val="18"/>
          <w:color w:val="auto"/>
        </w:rPr>
      </w:pPr>
    </w:p>
    <w:p>
      <w:pPr>
        <w:ind w:left="-60" w:firstLine="233"/>
        <w:spacing w:after="0" w:line="266"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employment with the Company or any of its Affiliates. Your Service will be considered to have ceased with the Company and its Affiliates if, immediately after a sale, merger or other corporate transaction, the trade, business or entity with which you are employed is not T. Rowe Price Group, Inc. or an Affiliate of T. Rowe Price Group, Inc.</w:t>
      </w:r>
    </w:p>
    <w:p>
      <w:pPr>
        <w:spacing w:after="0" w:line="72" w:lineRule="exact"/>
        <w:rPr>
          <w:rFonts w:ascii="Arial" w:cs="Arial" w:eastAsia="Arial" w:hAnsi="Arial"/>
          <w:sz w:val="18"/>
          <w:szCs w:val="18"/>
          <w:color w:val="auto"/>
        </w:rPr>
      </w:pPr>
    </w:p>
    <w:p>
      <w:pPr>
        <w:ind w:left="-60" w:right="180" w:firstLine="233"/>
        <w:spacing w:after="0" w:line="259"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stock option as reflected in the Notice. Whenever the word “you” or “your” is used in any provision of this Agreement under circumstances where the provision should logically be construed, as determined by the Committee, to apply to the estate, personal representative, or beneficiary to whom the stock option may be transferred by will or by the laws of descent and distribution or otherwise pursuant to the terms of this Agreement, the words “you” and “your” shall be deemed to include such person.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63" w:right="27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color w:val="auto"/>
        </w:rPr>
        <w:t>T. ROWE PRICE GROUP, INC.</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[2001] [2004] STOCK INCENTIVE PLAN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 OF ADDITIONAL TERMS AND CONDITIONS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REGARDING THE AWARDS OF RESTRICTED STOCK UNITS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Effective: September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203835</wp:posOffset>
            </wp:positionV>
            <wp:extent cx="18783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This Statement of Additional Terms and Conditions Regarding the Awards of Restricted Stock Units (the “</w:t>
      </w:r>
      <w:r>
        <w:rPr>
          <w:rFonts w:ascii="Arial" w:cs="Arial" w:eastAsia="Arial" w:hAnsi="Arial"/>
          <w:sz w:val="17"/>
          <w:szCs w:val="17"/>
          <w:b w:val="1"/>
          <w:bCs w:val="1"/>
          <w:i w:val="1"/>
          <w:iCs w:val="1"/>
          <w:color w:val="auto"/>
        </w:rPr>
        <w:t>Terms</w:t>
      </w:r>
      <w:r>
        <w:rPr>
          <w:rFonts w:ascii="Arial" w:cs="Arial" w:eastAsia="Arial" w:hAnsi="Arial"/>
          <w:sz w:val="17"/>
          <w:szCs w:val="17"/>
          <w:color w:val="auto"/>
        </w:rPr>
        <w:t>”) and all of the provisions of the T. Rowe Price Group, Inc. 2001 Stock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are incorporated into your award of restricted stock units, the specifics of which are described on the “Notice of Award of Restricted Stock Units and Restricted Stock Units Agreement”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that you received. Once the Notice has been executed by you and by an authorized officer or agent of T. Rowe Price Group, Inc., the Terms, the Plan, and the Notice, together, constitute a binding and enforceable contract respecting your award of restricted stock units. That contract is referred to in this document as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p>
    <w:p>
      <w:pPr>
        <w:spacing w:after="0" w:line="64" w:lineRule="exact"/>
        <w:rPr>
          <w:sz w:val="20"/>
          <w:szCs w:val="20"/>
          <w:color w:val="auto"/>
        </w:rPr>
      </w:pPr>
    </w:p>
    <w:p>
      <w:pPr>
        <w:ind w:left="420" w:hanging="187"/>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this document are defined in the Glossary at the end of this document.</w:t>
      </w:r>
    </w:p>
    <w:p>
      <w:pPr>
        <w:spacing w:after="0" w:line="117" w:lineRule="exact"/>
        <w:rPr>
          <w:rFonts w:ascii="Arial" w:cs="Arial" w:eastAsia="Arial" w:hAnsi="Arial"/>
          <w:sz w:val="18"/>
          <w:szCs w:val="18"/>
          <w:color w:val="auto"/>
        </w:rPr>
      </w:pPr>
    </w:p>
    <w:p>
      <w:pPr>
        <w:ind w:right="80" w:firstLine="233"/>
        <w:spacing w:after="0" w:line="273" w:lineRule="auto"/>
        <w:tabs>
          <w:tab w:leader="none" w:pos="40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All of the restricted stock units are nonvested and forfeitable as of the date of award. For clarity, as used in this Agreement, the term “vest” means the lapse of restrictions on the restricted stock units. So long as your Service is continuous from the date of award through the applicable date upon which vesting is scheduled to occur, the restricted stock units will vest and become nonforfeitable on the vesting dates set forth in the correlating Notice. Any and all restricted stock units that have not already vested or been previously forfeited will vest and become nonforfeitable upon your death or immediately prior to the Effective Date of a Change of Control of the Company. With the exception of your Service terminating as a result of your death, none of the restricted stock units will become vested or nonforfeitable after your Service ceases.</w:t>
      </w:r>
    </w:p>
    <w:p>
      <w:pPr>
        <w:spacing w:after="0" w:line="70" w:lineRule="exact"/>
        <w:rPr>
          <w:rFonts w:ascii="Arial" w:cs="Arial" w:eastAsia="Arial" w:hAnsi="Arial"/>
          <w:sz w:val="17"/>
          <w:szCs w:val="17"/>
          <w:color w:val="auto"/>
        </w:rPr>
      </w:pPr>
    </w:p>
    <w:p>
      <w:pPr>
        <w:ind w:right="180" w:firstLine="233"/>
        <w:spacing w:after="0" w:line="277" w:lineRule="auto"/>
        <w:tabs>
          <w:tab w:leader="none" w:pos="40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your Service ceases for any reason other than death, all restricted stock units that are not then vested and nonforfeitable will be immediately forfeited to the Company upon such cessation without payment of any consideration.</w:t>
      </w:r>
    </w:p>
    <w:p>
      <w:pPr>
        <w:spacing w:after="0" w:line="62" w:lineRule="exact"/>
        <w:rPr>
          <w:rFonts w:ascii="Arial" w:cs="Arial" w:eastAsia="Arial" w:hAnsi="Arial"/>
          <w:sz w:val="18"/>
          <w:szCs w:val="18"/>
          <w:color w:val="auto"/>
        </w:rPr>
      </w:pPr>
    </w:p>
    <w:p>
      <w:pPr>
        <w:ind w:right="40" w:firstLine="233"/>
        <w:spacing w:after="0" w:line="264" w:lineRule="auto"/>
        <w:tabs>
          <w:tab w:leader="none" w:pos="40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Restricted stock units may not be assigned, transferred, pledged, hypothecated or disposed of in any way, whether by operation of law or otherwise, except by will or the laws of descent and distribution, and restricted stock units may not be made subject to execution, attachment or similar process.</w:t>
      </w:r>
    </w:p>
    <w:p>
      <w:pPr>
        <w:spacing w:after="0" w:line="73" w:lineRule="exact"/>
        <w:rPr>
          <w:rFonts w:ascii="Arial" w:cs="Arial" w:eastAsia="Arial" w:hAnsi="Arial"/>
          <w:sz w:val="18"/>
          <w:szCs w:val="18"/>
          <w:color w:val="auto"/>
        </w:rPr>
      </w:pPr>
    </w:p>
    <w:p>
      <w:pPr>
        <w:jc w:val="both"/>
        <w:ind w:right="40" w:firstLine="233"/>
        <w:spacing w:after="0" w:line="264" w:lineRule="auto"/>
        <w:tabs>
          <w:tab w:leader="none" w:pos="40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Dividend Equivalent Payments</w:t>
      </w:r>
      <w:r>
        <w:rPr>
          <w:rFonts w:ascii="Arial" w:cs="Arial" w:eastAsia="Arial" w:hAnsi="Arial"/>
          <w:sz w:val="18"/>
          <w:szCs w:val="18"/>
          <w:color w:val="auto"/>
        </w:rPr>
        <w:t>. On each dividend payment date for each cash dividend payable with respect to T. Rowe Price Group common stock, the Company will pay to you in cash an amount equal to the product of (a) the per share cash dividend, multiplied by (b) the number of your restricted stock units outstanding on the record date.</w:t>
      </w:r>
    </w:p>
    <w:p>
      <w:pPr>
        <w:spacing w:after="0" w:line="73" w:lineRule="exact"/>
        <w:rPr>
          <w:rFonts w:ascii="Arial" w:cs="Arial" w:eastAsia="Arial" w:hAnsi="Arial"/>
          <w:sz w:val="18"/>
          <w:szCs w:val="18"/>
          <w:color w:val="auto"/>
        </w:rPr>
      </w:pPr>
    </w:p>
    <w:p>
      <w:pPr>
        <w:ind w:right="40" w:firstLine="233"/>
        <w:spacing w:after="0" w:line="272" w:lineRule="auto"/>
        <w:tabs>
          <w:tab w:leader="none" w:pos="40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Settlement of Units</w:t>
      </w:r>
      <w:r>
        <w:rPr>
          <w:rFonts w:ascii="Arial" w:cs="Arial" w:eastAsia="Arial" w:hAnsi="Arial"/>
          <w:sz w:val="17"/>
          <w:szCs w:val="17"/>
          <w:color w:val="auto"/>
        </w:rPr>
        <w:t>. Your restricted stock units will be settled automatically, via the issuance of T. Rowe Price Group common stock as described herein, when or as soon as practicable, but in all events within 30 days, after they vest and become nonforfeitable. You are not required to make any monetary payment (other than applicable tax withholding, if required) as a condition to settlement of the restricted stock units. The Company will issue to you, in settlement of your restricted stock units, the number of whole shares of T. Rowe Price Group common stock that equals the number of whole restricted stock units that vested, and the vested restricted stock units will cease to be outstanding upon the issuance of those shares. Unless you request the Company to deliver a share certificate to you, or deliver shares electronically or in certificate form to your designated broker, bank or nominee on your behalf, the Company will retain the shares in uncertificated book entry form.</w:t>
      </w:r>
    </w:p>
    <w:p>
      <w:pPr>
        <w:spacing w:after="0" w:line="69" w:lineRule="exact"/>
        <w:rPr>
          <w:rFonts w:ascii="Arial" w:cs="Arial" w:eastAsia="Arial" w:hAnsi="Arial"/>
          <w:sz w:val="17"/>
          <w:szCs w:val="17"/>
          <w:color w:val="auto"/>
        </w:rPr>
      </w:pPr>
    </w:p>
    <w:p>
      <w:pPr>
        <w:ind w:left="420" w:hanging="187"/>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Tax Election and Tax 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0" w:firstLine="413"/>
        <w:spacing w:after="0" w:line="270" w:lineRule="auto"/>
        <w:tabs>
          <w:tab w:leader="none" w:pos="643" w:val="left"/>
        </w:tabs>
        <w:numPr>
          <w:ilvl w:val="1"/>
          <w:numId w:val="36"/>
        </w:numPr>
        <w:rPr>
          <w:rFonts w:ascii="Arial" w:cs="Arial" w:eastAsia="Arial" w:hAnsi="Arial"/>
          <w:sz w:val="17"/>
          <w:szCs w:val="17"/>
          <w:color w:val="auto"/>
        </w:rPr>
      </w:pPr>
      <w:r>
        <w:rPr>
          <w:rFonts w:ascii="Arial" w:cs="Arial" w:eastAsia="Arial" w:hAnsi="Arial"/>
          <w:sz w:val="17"/>
          <w:szCs w:val="17"/>
          <w:color w:val="auto"/>
        </w:rPr>
        <w:t>You hereby agree to make adequate provision for foreign, federal, state and local taxes required by law to be withheld, if any, which arise in connection with the restricted stock units. The Company shall have the right to deduct from any compensation or any other payment of any kind (including withholding the issuance or delivery of shares of T. Rowe Price Group common stock) due you the amount of any federal, state, local or foreign taxes required by law to be withheld as a result of the vesting or settlement of the restricted stock units, in whole or in part, or as otherwise may be required by applicable law; provided, however, that the value of the shares of T. Rowe Price Group common stock withheld may not exceed the statutory minimum withholding amount required by law. In lieu of such deduction, the Company may require you to make a cash payment to the Company equal to the amount required to be withheld. If you do not make such payment when requested, the Company may refuse to issue any T. Rowe Price Group common stock or deliver any stock certificate under this Agreement or otherwise release for transfer any such shares until arrangements satisfactory to the Company for such payment have been made.</w:t>
      </w:r>
    </w:p>
    <w:p>
      <w:pPr>
        <w:spacing w:after="0" w:line="73" w:lineRule="exact"/>
        <w:rPr>
          <w:rFonts w:ascii="Arial" w:cs="Arial" w:eastAsia="Arial" w:hAnsi="Arial"/>
          <w:sz w:val="17"/>
          <w:szCs w:val="17"/>
          <w:color w:val="auto"/>
        </w:rPr>
      </w:pPr>
    </w:p>
    <w:p>
      <w:pPr>
        <w:ind w:right="40" w:firstLine="413"/>
        <w:spacing w:after="0" w:line="259" w:lineRule="auto"/>
        <w:tabs>
          <w:tab w:leader="none" w:pos="6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may, in its sole discretion, permit you to satisfy, in whole or in part, any withholding tax obligation which may arise in connection with the restricted stock units either by electing to have the Company withhold from the shares to be issued upon vesting that number of shares, or by electing to deliver to the Company already-owned shares, in either case having a fair market value equal to no more than the amount necessary to satisfy the statutory minimum withholding amount due.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59" w:name="page60"/>
    <w:bookmarkEnd w:id="59"/>
    <w:p>
      <w:pPr>
        <w:ind w:left="400" w:hanging="187"/>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80" w:firstLine="413"/>
        <w:spacing w:after="0" w:line="302" w:lineRule="auto"/>
        <w:tabs>
          <w:tab w:leader="none" w:pos="630"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Stock Dividend, Stock Split and Reverse Stock Split</w:t>
      </w:r>
      <w:r>
        <w:rPr>
          <w:rFonts w:ascii="Arial" w:cs="Arial" w:eastAsia="Arial" w:hAnsi="Arial"/>
          <w:sz w:val="16"/>
          <w:szCs w:val="16"/>
          <w:color w:val="auto"/>
        </w:rPr>
        <w:t>. Upon a stock dividend of, or stock split or reverse stock split affecting, the T. Rowe Price Group common stock, the number of outstanding restricted stock units shall, without further action of the Committee, be adjusted to reflect such event; provided, however, that any fractional restricted stock units resulting from any such adjustment shall be eliminated. Adjustments under this paragraph will be made by the Committee, whose determination as to what adjustments, if any, will be made and the extent thereof will be final, binding and conclusive.</w:t>
      </w:r>
    </w:p>
    <w:p>
      <w:pPr>
        <w:spacing w:after="0" w:line="46" w:lineRule="exact"/>
        <w:rPr>
          <w:rFonts w:ascii="Arial" w:cs="Arial" w:eastAsia="Arial" w:hAnsi="Arial"/>
          <w:sz w:val="16"/>
          <w:szCs w:val="16"/>
          <w:color w:val="auto"/>
        </w:rPr>
      </w:pPr>
    </w:p>
    <w:p>
      <w:pPr>
        <w:ind w:left="-20" w:firstLine="413"/>
        <w:spacing w:after="0" w:line="254" w:lineRule="auto"/>
        <w:tabs>
          <w:tab w:leader="none" w:pos="64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Other Events</w:t>
      </w:r>
      <w:r>
        <w:rPr>
          <w:rFonts w:ascii="Arial" w:cs="Arial" w:eastAsia="Arial" w:hAnsi="Arial"/>
          <w:sz w:val="18"/>
          <w:szCs w:val="18"/>
          <w:color w:val="auto"/>
        </w:rPr>
        <w:t>. If the Company shall be the surviving or resulting corporation in any merger or consolidation and the T. Rowe Price Group common stock shall be converted into or exchanged for other securities, the restricted stock units shall pertain to and apply to the securities to which a holder of the number of shares of T. Rowe Price Group common stock subject to the restricted stock units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T. Rowe Price Group common stock subject to the restricted stock units would have been entitled, in the same manner and to the same extent as the restricted stock units.</w:t>
      </w:r>
    </w:p>
    <w:p>
      <w:pPr>
        <w:spacing w:after="0" w:line="84" w:lineRule="exact"/>
        <w:rPr>
          <w:rFonts w:ascii="Arial" w:cs="Arial" w:eastAsia="Arial" w:hAnsi="Arial"/>
          <w:sz w:val="18"/>
          <w:szCs w:val="18"/>
          <w:color w:val="auto"/>
        </w:rPr>
      </w:pPr>
    </w:p>
    <w:p>
      <w:pPr>
        <w:ind w:left="-20" w:right="180" w:firstLine="233"/>
        <w:spacing w:after="0" w:line="279" w:lineRule="auto"/>
        <w:tabs>
          <w:tab w:leader="none" w:pos="385"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Non-Guarantee of Employment</w:t>
      </w:r>
      <w:r>
        <w:rPr>
          <w:rFonts w:ascii="Arial" w:cs="Arial" w:eastAsia="Arial" w:hAnsi="Arial"/>
          <w:sz w:val="17"/>
          <w:szCs w:val="17"/>
          <w:color w:val="auto"/>
        </w:rPr>
        <w:t>. Nothing in the Plan or this Agreement shall alter your at-will or other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restricted stock units or any other adverse effect on your interests under the Plan.</w:t>
      </w:r>
    </w:p>
    <w:p>
      <w:pPr>
        <w:spacing w:after="0" w:line="63" w:lineRule="exact"/>
        <w:rPr>
          <w:rFonts w:ascii="Arial" w:cs="Arial" w:eastAsia="Arial" w:hAnsi="Arial"/>
          <w:sz w:val="17"/>
          <w:szCs w:val="17"/>
          <w:color w:val="auto"/>
        </w:rPr>
      </w:pPr>
    </w:p>
    <w:p>
      <w:pPr>
        <w:ind w:left="-20" w:right="40" w:firstLine="233"/>
        <w:spacing w:after="0" w:line="264" w:lineRule="auto"/>
        <w:tabs>
          <w:tab w:leader="none" w:pos="47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Except as otherwise provided in this Agreement with respect to dividend equivalent payments, neither you nor any other person claiming through you shall have any rights with respect to any shares of T. Rowe Price Group common stock subject to the restricted stock units, including without limitation, any voting rights, unless and until such shares are duly issued and delivered to you.</w:t>
      </w:r>
    </w:p>
    <w:p>
      <w:pPr>
        <w:spacing w:after="0" w:line="73" w:lineRule="exact"/>
        <w:rPr>
          <w:rFonts w:ascii="Arial" w:cs="Arial" w:eastAsia="Arial" w:hAnsi="Arial"/>
          <w:sz w:val="18"/>
          <w:szCs w:val="18"/>
          <w:color w:val="auto"/>
        </w:rPr>
      </w:pPr>
    </w:p>
    <w:p>
      <w:pPr>
        <w:ind w:left="-20" w:right="100" w:firstLine="233"/>
        <w:spacing w:after="0" w:line="297" w:lineRule="auto"/>
        <w:tabs>
          <w:tab w:leader="none" w:pos="468"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The Company’s Rights</w:t>
      </w:r>
      <w:r>
        <w:rPr>
          <w:rFonts w:ascii="Arial" w:cs="Arial" w:eastAsia="Arial" w:hAnsi="Arial"/>
          <w:sz w:val="16"/>
          <w:szCs w:val="16"/>
          <w:color w:val="auto"/>
        </w:rPr>
        <w:t>. The existence of the restricted stock units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50" w:lineRule="exact"/>
        <w:rPr>
          <w:rFonts w:ascii="Arial" w:cs="Arial" w:eastAsia="Arial" w:hAnsi="Arial"/>
          <w:sz w:val="16"/>
          <w:szCs w:val="16"/>
          <w:color w:val="auto"/>
        </w:rPr>
      </w:pPr>
    </w:p>
    <w:p>
      <w:pPr>
        <w:ind w:left="-20" w:right="60" w:firstLine="233"/>
        <w:spacing w:after="0" w:line="257" w:lineRule="auto"/>
        <w:tabs>
          <w:tab w:leader="none" w:pos="47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80" w:lineRule="exact"/>
        <w:rPr>
          <w:rFonts w:ascii="Arial" w:cs="Arial" w:eastAsia="Arial" w:hAnsi="Arial"/>
          <w:sz w:val="18"/>
          <w:szCs w:val="18"/>
          <w:color w:val="auto"/>
        </w:rPr>
      </w:pPr>
    </w:p>
    <w:p>
      <w:pPr>
        <w:ind w:left="-20" w:right="40" w:firstLine="233"/>
        <w:spacing w:after="0" w:line="302" w:lineRule="auto"/>
        <w:tabs>
          <w:tab w:leader="none" w:pos="47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Electronic Delivery of Documents</w:t>
      </w:r>
      <w:r>
        <w:rPr>
          <w:rFonts w:ascii="Arial" w:cs="Arial" w:eastAsia="Arial" w:hAnsi="Arial"/>
          <w:sz w:val="16"/>
          <w:szCs w:val="16"/>
          <w:color w:val="auto"/>
        </w:rPr>
        <w:t>. The Company may electronically deliver, via e-mail or posting on the Company’s website, these Terms, information with respect to the Plan or the restricted stock units,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46" w:lineRule="exact"/>
        <w:rPr>
          <w:rFonts w:ascii="Arial" w:cs="Arial" w:eastAsia="Arial" w:hAnsi="Arial"/>
          <w:sz w:val="16"/>
          <w:szCs w:val="16"/>
          <w:color w:val="auto"/>
        </w:rPr>
      </w:pPr>
    </w:p>
    <w:p>
      <w:pPr>
        <w:jc w:val="both"/>
        <w:ind w:left="-20" w:right="40" w:firstLine="233"/>
        <w:spacing w:after="0" w:line="286" w:lineRule="auto"/>
        <w:tabs>
          <w:tab w:leader="none" w:pos="475"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between the parties with respect to the restricted stock units awarded hereunder. Any oral or written agreements, representations, warranties, written inducements, or other communications made prior to the execution of the Notice correlating to these Terms with respect to the restricted stock units awarded hereunder shall be void and ineffective for all purposes.</w:t>
      </w:r>
    </w:p>
    <w:p>
      <w:pPr>
        <w:spacing w:after="0" w:line="57" w:lineRule="exact"/>
        <w:rPr>
          <w:rFonts w:ascii="Arial" w:cs="Arial" w:eastAsia="Arial" w:hAnsi="Arial"/>
          <w:sz w:val="17"/>
          <w:szCs w:val="17"/>
          <w:color w:val="auto"/>
        </w:rPr>
      </w:pPr>
    </w:p>
    <w:p>
      <w:pPr>
        <w:ind w:left="-20" w:right="20" w:firstLine="233"/>
        <w:spacing w:after="0" w:line="253" w:lineRule="auto"/>
        <w:tabs>
          <w:tab w:leader="none" w:pos="47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Except as provided below, the Committee shall have the right, in its absolute and uncontrolled discretion, to alter or amend this Agreement, from time to time in any manner for the purpose of promoting the objectives of the Plan but only if all agreements awarding restricted stock units pursuant to the Plan which are in effect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shall give written notice to you of any such alteration or amendment of this Agreement by the Committee as promptly as practical after the adoption thereof. Notwithstanding the first sentence of this Section 15 nor the provisions of Section 7(c)(ii) of the Plan, the Change-of-Control vesting acceleration provision set forth in Section 2 of these Terms may not be altered or amended with respect to your restricted stock units without your consent. The foregoing shall not restrict the ability of you and the Company by mutual consent to alter or amend this Agreement in any manner which is consistent with the Plan and approved by the Committee.</w:t>
      </w:r>
    </w:p>
    <w:p>
      <w:pPr>
        <w:spacing w:after="0" w:line="86" w:lineRule="exact"/>
        <w:rPr>
          <w:rFonts w:ascii="Arial" w:cs="Arial" w:eastAsia="Arial" w:hAnsi="Arial"/>
          <w:sz w:val="18"/>
          <w:szCs w:val="18"/>
          <w:color w:val="auto"/>
        </w:rPr>
      </w:pPr>
    </w:p>
    <w:p>
      <w:pPr>
        <w:ind w:left="-20" w:right="140" w:firstLine="233"/>
        <w:spacing w:after="0" w:line="255" w:lineRule="auto"/>
        <w:tabs>
          <w:tab w:leader="none" w:pos="47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in all respects with, and are subject to all applicable provisions of, the Plan. Except as may be necessary to give effect to the amendment provisions of Section 15 of these Terms or the 409A savings clause provisions of Section 19 of these Terms, any inconsistencies between these Terms and the Plan shall be resolved in accordance with the terms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https://www2.troweprice.com/options</w:t>
      </w:r>
      <w:r>
        <w:rPr>
          <w:rFonts w:ascii="Arial" w:cs="Arial" w:eastAsia="Arial" w:hAnsi="Arial"/>
          <w:sz w:val="18"/>
          <w:szCs w:val="18"/>
          <w:color w:val="auto"/>
        </w:rPr>
        <w:t xml:space="preserve"> or in hard copy upon request to the Company’s Payroll and Stock Transaction Group in the CFO-Finance Department at BA-0372 in the Baltimore office or by telephone, at extension 7716.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60" w:name="page61"/>
    <w:bookmarkEnd w:id="60"/>
    <w:p>
      <w:pPr>
        <w:ind w:left="-20" w:right="120" w:firstLine="233"/>
        <w:spacing w:after="0" w:line="257" w:lineRule="auto"/>
        <w:tabs>
          <w:tab w:leader="none" w:pos="47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 Funding</w:t>
      </w:r>
      <w:r>
        <w:rPr>
          <w:rFonts w:ascii="Arial" w:cs="Arial" w:eastAsia="Arial" w:hAnsi="Arial"/>
          <w:sz w:val="18"/>
          <w:szCs w:val="18"/>
          <w:color w:val="auto"/>
        </w:rPr>
        <w:t>. This Agreement constitutes an unfunded and unsecured promise by the Company to make payments and issue shares of T. Rowe Price Group common stock in the future in accordance with its terms. You have the status of a general unsecured creditor of the Company as a result of receiving the award of restricted stock units. Any cash payment due under this Agreement with respect to dividend equivalent payments under Section 5 hereof will be paid from the general assets of the Company and nothing in this Agreement will be construed to give you or any other person rights to any specific assets of the Company.</w:t>
      </w:r>
    </w:p>
    <w:p>
      <w:pPr>
        <w:spacing w:after="0" w:line="80" w:lineRule="exact"/>
        <w:rPr>
          <w:rFonts w:ascii="Arial" w:cs="Arial" w:eastAsia="Arial" w:hAnsi="Arial"/>
          <w:sz w:val="18"/>
          <w:szCs w:val="18"/>
          <w:color w:val="auto"/>
        </w:rPr>
      </w:pPr>
    </w:p>
    <w:p>
      <w:pPr>
        <w:ind w:left="-20" w:right="20" w:firstLine="233"/>
        <w:spacing w:after="0" w:line="257" w:lineRule="auto"/>
        <w:tabs>
          <w:tab w:leader="none" w:pos="47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 hereto will be brought in the federal or state courts in the districts which include Baltimore, Maryland, and you hereby agree and submit to the personal jurisdiction and venue thereof.</w:t>
      </w:r>
    </w:p>
    <w:p>
      <w:pPr>
        <w:spacing w:after="0" w:line="80" w:lineRule="exact"/>
        <w:rPr>
          <w:rFonts w:ascii="Arial" w:cs="Arial" w:eastAsia="Arial" w:hAnsi="Arial"/>
          <w:sz w:val="18"/>
          <w:szCs w:val="18"/>
          <w:color w:val="auto"/>
        </w:rPr>
      </w:pPr>
    </w:p>
    <w:p>
      <w:pPr>
        <w:ind w:left="-20" w:right="120" w:firstLine="233"/>
        <w:spacing w:after="0" w:line="312" w:lineRule="auto"/>
        <w:tabs>
          <w:tab w:leader="none" w:pos="47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disagreement which shall arise under, or as a result of, or pursuant to, this Agreement shall be determined by the Committee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w:t>
      </w:r>
    </w:p>
    <w:p>
      <w:pPr>
        <w:spacing w:after="0" w:line="38" w:lineRule="exact"/>
        <w:rPr>
          <w:rFonts w:ascii="Arial" w:cs="Arial" w:eastAsia="Arial" w:hAnsi="Arial"/>
          <w:sz w:val="16"/>
          <w:szCs w:val="16"/>
          <w:color w:val="auto"/>
        </w:rPr>
      </w:pPr>
    </w:p>
    <w:p>
      <w:pPr>
        <w:ind w:left="-20" w:right="60" w:firstLine="233"/>
        <w:spacing w:after="0" w:line="312" w:lineRule="auto"/>
        <w:tabs>
          <w:tab w:leader="none" w:pos="47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Preemption of Applicable Laws or Regulations</w:t>
      </w:r>
      <w:r>
        <w:rPr>
          <w:rFonts w:ascii="Arial" w:cs="Arial" w:eastAsia="Arial" w:hAnsi="Arial"/>
          <w:sz w:val="16"/>
          <w:szCs w:val="16"/>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38" w:lineRule="exact"/>
        <w:rPr>
          <w:rFonts w:ascii="Arial" w:cs="Arial" w:eastAsia="Arial" w:hAnsi="Arial"/>
          <w:sz w:val="16"/>
          <w:szCs w:val="16"/>
          <w:color w:val="auto"/>
        </w:rPr>
      </w:pPr>
    </w:p>
    <w:p>
      <w:pPr>
        <w:ind w:left="-20" w:firstLine="233"/>
        <w:spacing w:after="0" w:line="273" w:lineRule="auto"/>
        <w:tabs>
          <w:tab w:leader="none" w:pos="47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409A Savings Clause</w:t>
      </w:r>
      <w:r>
        <w:rPr>
          <w:rFonts w:ascii="Arial" w:cs="Arial" w:eastAsia="Arial" w:hAnsi="Arial"/>
          <w:sz w:val="17"/>
          <w:szCs w:val="17"/>
          <w:color w:val="auto"/>
        </w:rPr>
        <w:t>. This Agreement and the restricted stock units awarded hereunder are intended to comply with, or otherwise be exempt from, Section 409A of the Code. This Agreement and the restricted stock units shall be administered, interpreted and construed in a manner consistent with such Code Section. Should any provision of this Agreement or the restricted stock units be found not to comply with, or otherwise be exempt from, the provisions of Section 409A of the Code, it shall be modified and given effect, in the sole discretion of the Committee and without requiring your consent, in such manner as the Committee determines to be necessary or appropriate to comply with, or to effectuate an exemption from, Section 409A of the Code. The preceding provisions shall not be construed as a guarantee by the Company of any particular tax effect of the restricted stock units.</w:t>
      </w:r>
    </w:p>
    <w:p>
      <w:pPr>
        <w:spacing w:after="0" w:line="70" w:lineRule="exact"/>
        <w:rPr>
          <w:rFonts w:ascii="Arial" w:cs="Arial" w:eastAsia="Arial" w:hAnsi="Arial"/>
          <w:sz w:val="17"/>
          <w:szCs w:val="17"/>
          <w:color w:val="auto"/>
        </w:rPr>
      </w:pPr>
    </w:p>
    <w:p>
      <w:pPr>
        <w:ind w:left="-20" w:right="40" w:firstLine="233"/>
        <w:spacing w:after="0" w:line="287" w:lineRule="auto"/>
        <w:tabs>
          <w:tab w:leader="none" w:pos="47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No Future Entitlement</w:t>
      </w:r>
      <w:r>
        <w:rPr>
          <w:rFonts w:ascii="Arial" w:cs="Arial" w:eastAsia="Arial" w:hAnsi="Arial"/>
          <w:sz w:val="16"/>
          <w:szCs w:val="16"/>
          <w:color w:val="auto"/>
        </w:rPr>
        <w:t>. By execution of the Notice, you acknowledge and agree that: (i) the award of restricted stock units is a one-time benefit which does not create any contractual or other right to receive future awards of restricted stock units, or compensation in lieu of restricted stock units, even if restricted stock units have been awarded repeatedly in the past; (ii) all determinations with respect to any such future awards, including, but not limited to, the times when restricted stock units shall be awarded or shall become vested or settled and the number of restricted stock units subject to each award,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this Agreement; (vi) the value of the restricted stock units will change over time and the Company does not guarantee any future value; and (vii) no claim or entitlement to compensation or damages arises if the value of the restricted stock units decreases and you irrevocably release the Company from any such claim that does arise.</w:t>
      </w:r>
    </w:p>
    <w:p>
      <w:pPr>
        <w:spacing w:after="0" w:line="64" w:lineRule="exact"/>
        <w:rPr>
          <w:rFonts w:ascii="Arial" w:cs="Arial" w:eastAsia="Arial" w:hAnsi="Arial"/>
          <w:sz w:val="16"/>
          <w:szCs w:val="16"/>
          <w:color w:val="auto"/>
        </w:rPr>
      </w:pPr>
    </w:p>
    <w:p>
      <w:pPr>
        <w:ind w:left="-20" w:right="80" w:firstLine="233"/>
        <w:spacing w:after="0" w:line="287" w:lineRule="auto"/>
        <w:tabs>
          <w:tab w:leader="none" w:pos="47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Personal Data</w:t>
      </w:r>
      <w:r>
        <w:rPr>
          <w:rFonts w:ascii="Arial" w:cs="Arial" w:eastAsia="Arial" w:hAnsi="Arial"/>
          <w:sz w:val="16"/>
          <w:szCs w:val="16"/>
          <w:color w:val="auto"/>
        </w:rPr>
        <w:t>. For the exclusive purpose of implementing, administering and managing the award of restricted stock units, you, by execution of the Notice, consent to the collection, receipt, use, retention and transfer, in electronic or other form, of your personal data by and among the Company and its third party vendors.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award of restricted stock units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award of restricted stock units.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at BA-0372 in the Baltimore office. You understand, however, that refusing or withdrawing your consent may affect your ability to accept an award of restricted stock units.</w:t>
      </w:r>
    </w:p>
    <w:p>
      <w:pPr>
        <w:spacing w:after="0" w:line="60" w:lineRule="exact"/>
        <w:rPr>
          <w:rFonts w:ascii="Arial" w:cs="Arial" w:eastAsia="Arial" w:hAnsi="Arial"/>
          <w:sz w:val="16"/>
          <w:szCs w:val="16"/>
          <w:color w:val="auto"/>
        </w:rPr>
      </w:pPr>
    </w:p>
    <w:p>
      <w:pPr>
        <w:ind w:left="480" w:hanging="267"/>
        <w:spacing w:after="0"/>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Agreement are for reference purposes only and shall not affect the meaning or interpretation of this Agreement.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61" w:name="page62"/>
    <w:bookmarkEnd w:id="61"/>
    <w:p>
      <w:pPr>
        <w:jc w:val="center"/>
        <w:ind w:right="-31"/>
        <w:spacing w:after="0"/>
        <w:rPr>
          <w:sz w:val="20"/>
          <w:szCs w:val="20"/>
          <w:color w:val="auto"/>
        </w:rPr>
      </w:pPr>
      <w:r>
        <w:rPr>
          <w:rFonts w:ascii="Arial" w:cs="Arial" w:eastAsia="Arial" w:hAnsi="Arial"/>
          <w:sz w:val="18"/>
          <w:szCs w:val="18"/>
          <w:color w:val="auto"/>
        </w:rPr>
        <w:t>GLOSSARY</w:t>
      </w:r>
    </w:p>
    <w:p>
      <w:pPr>
        <w:spacing w:after="0" w:line="117" w:lineRule="exact"/>
        <w:rPr>
          <w:sz w:val="20"/>
          <w:szCs w:val="20"/>
          <w:color w:val="auto"/>
        </w:rPr>
      </w:pPr>
    </w:p>
    <w:p>
      <w:pPr>
        <w:ind w:left="-8" w:right="40" w:firstLine="233"/>
        <w:spacing w:after="0" w:line="264" w:lineRule="auto"/>
        <w:tabs>
          <w:tab w:leader="none" w:pos="462"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in which the Company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73" w:lineRule="exact"/>
        <w:rPr>
          <w:rFonts w:ascii="Arial" w:cs="Arial" w:eastAsia="Arial" w:hAnsi="Arial"/>
          <w:sz w:val="18"/>
          <w:szCs w:val="18"/>
          <w:color w:val="auto"/>
        </w:rPr>
      </w:pPr>
    </w:p>
    <w:p>
      <w:pPr>
        <w:ind w:left="472" w:hanging="247"/>
        <w:spacing w:after="0"/>
        <w:tabs>
          <w:tab w:leader="none" w:pos="472"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17" w:lineRule="exact"/>
        <w:rPr>
          <w:rFonts w:ascii="Arial" w:cs="Arial" w:eastAsia="Arial" w:hAnsi="Arial"/>
          <w:sz w:val="18"/>
          <w:szCs w:val="18"/>
          <w:color w:val="auto"/>
        </w:rPr>
      </w:pPr>
    </w:p>
    <w:p>
      <w:pPr>
        <w:ind w:left="472" w:hanging="247"/>
        <w:spacing w:after="0"/>
        <w:tabs>
          <w:tab w:leader="none" w:pos="472" w:val="left"/>
        </w:tabs>
        <w:numPr>
          <w:ilvl w:val="1"/>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A “Change of Control” shall be deemed to have taken place on the date of the earlier to occur of either of the following events:</w:t>
      </w:r>
    </w:p>
    <w:p>
      <w:pPr>
        <w:spacing w:after="0" w:line="46" w:lineRule="exact"/>
        <w:rPr>
          <w:rFonts w:ascii="Arial" w:cs="Arial" w:eastAsia="Arial" w:hAnsi="Arial"/>
          <w:sz w:val="16"/>
          <w:szCs w:val="16"/>
          <w:color w:val="auto"/>
        </w:rPr>
      </w:pPr>
    </w:p>
    <w:p>
      <w:pPr>
        <w:ind w:left="-8" w:right="40" w:firstLine="8"/>
        <w:spacing w:after="0" w:line="290" w:lineRule="auto"/>
        <w:tabs>
          <w:tab w:leader="none" w:pos="207"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third party, including a “group” as defined in Section 13(d)(3) of the Securities Exchange Act of 1934, becomes the beneficial owner of 25% or more of the Company’s outstanding common stock, or (ii) as the result of, or in connection with, any cash tender or exchange offer, merger, consolidation or other business combination, sale or disposition of all or substantially all of the Company’s assets, or contested election, or any combination of the foregoing transactions (a “</w:t>
      </w:r>
      <w:r>
        <w:rPr>
          <w:rFonts w:ascii="Arial" w:cs="Arial" w:eastAsia="Arial" w:hAnsi="Arial"/>
          <w:sz w:val="16"/>
          <w:szCs w:val="16"/>
          <w:b w:val="1"/>
          <w:bCs w:val="1"/>
          <w:i w:val="1"/>
          <w:iCs w:val="1"/>
          <w:color w:val="auto"/>
        </w:rPr>
        <w:t>Transaction</w:t>
      </w:r>
      <w:r>
        <w:rPr>
          <w:rFonts w:ascii="Arial" w:cs="Arial" w:eastAsia="Arial" w:hAnsi="Arial"/>
          <w:sz w:val="16"/>
          <w:szCs w:val="16"/>
          <w:color w:val="auto"/>
        </w:rPr>
        <w:t>”), the persons who were directors of the Company immediately before the Transaction shall cease to constitute a majority of the Board of Directors of the Company or any successor to the Company or the persons who were stockholders of the Company immediately before the Transaction shall cease to own at least a majority of the outstanding voting stock of the Company or any successor to the Company.</w:t>
      </w:r>
    </w:p>
    <w:p>
      <w:pPr>
        <w:spacing w:after="0" w:line="56" w:lineRule="exact"/>
        <w:rPr>
          <w:rFonts w:ascii="Arial" w:cs="Arial" w:eastAsia="Arial" w:hAnsi="Arial"/>
          <w:sz w:val="16"/>
          <w:szCs w:val="16"/>
          <w:color w:val="auto"/>
        </w:rPr>
      </w:pPr>
    </w:p>
    <w:p>
      <w:pPr>
        <w:ind w:left="472" w:hanging="247"/>
        <w:spacing w:after="0"/>
        <w:tabs>
          <w:tab w:leader="none" w:pos="472"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117" w:lineRule="exact"/>
        <w:rPr>
          <w:rFonts w:ascii="Arial" w:cs="Arial" w:eastAsia="Arial" w:hAnsi="Arial"/>
          <w:sz w:val="18"/>
          <w:szCs w:val="18"/>
          <w:color w:val="auto"/>
        </w:rPr>
      </w:pPr>
    </w:p>
    <w:p>
      <w:pPr>
        <w:ind w:left="-8" w:right="60" w:firstLine="233"/>
        <w:spacing w:after="0" w:line="277" w:lineRule="auto"/>
        <w:tabs>
          <w:tab w:leader="none" w:pos="462"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Executive Compensation Committee of the Board of Directors of T. Rowe Price Group, Inc. or such committee or committees appointed by the Board to administer the Plan.</w:t>
      </w:r>
    </w:p>
    <w:p>
      <w:pPr>
        <w:spacing w:after="0" w:line="62" w:lineRule="exact"/>
        <w:rPr>
          <w:rFonts w:ascii="Arial" w:cs="Arial" w:eastAsia="Arial" w:hAnsi="Arial"/>
          <w:sz w:val="18"/>
          <w:szCs w:val="18"/>
          <w:color w:val="auto"/>
        </w:rPr>
      </w:pPr>
    </w:p>
    <w:p>
      <w:pPr>
        <w:ind w:left="-8" w:right="240" w:firstLine="233"/>
        <w:spacing w:after="0" w:line="277" w:lineRule="auto"/>
        <w:tabs>
          <w:tab w:leader="none" w:pos="442"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except where the context otherwise requires. For purposes of determining whether a Change of Control has occurred, Company shall mean only T. Rowe Price Group, Inc.</w:t>
      </w:r>
    </w:p>
    <w:p>
      <w:pPr>
        <w:spacing w:after="0" w:line="62" w:lineRule="exact"/>
        <w:rPr>
          <w:rFonts w:ascii="Arial" w:cs="Arial" w:eastAsia="Arial" w:hAnsi="Arial"/>
          <w:sz w:val="18"/>
          <w:szCs w:val="18"/>
          <w:color w:val="auto"/>
        </w:rPr>
      </w:pPr>
    </w:p>
    <w:p>
      <w:pPr>
        <w:ind w:left="-8" w:firstLine="233"/>
        <w:spacing w:after="0" w:line="257" w:lineRule="auto"/>
        <w:tabs>
          <w:tab w:leader="none" w:pos="472"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on which a Change of Control occurs. Anything in this Agreement to the contrary notwithstanding, if a Change of Control occurs, and if your Service had terminated prior to the date on which the Change of Control occurred, and if it is reasonably demonstrated by you that such termination of Service either was at the request of a third party who had taken steps reasonably calculated to effect the Change of Control or otherwise arose in connection with or in anticipation of the Change of Control, then, for all purposes of this Agreement, the term “Effective Date” shall mean the date immediately prior to the date of such termination of Service.</w:t>
      </w:r>
    </w:p>
    <w:p>
      <w:pPr>
        <w:spacing w:after="0" w:line="80" w:lineRule="exact"/>
        <w:rPr>
          <w:rFonts w:ascii="Arial" w:cs="Arial" w:eastAsia="Arial" w:hAnsi="Arial"/>
          <w:sz w:val="18"/>
          <w:szCs w:val="18"/>
          <w:color w:val="auto"/>
        </w:rPr>
      </w:pPr>
    </w:p>
    <w:p>
      <w:pPr>
        <w:ind w:left="-8" w:right="80" w:firstLine="233"/>
        <w:spacing w:after="0" w:line="277" w:lineRule="auto"/>
        <w:tabs>
          <w:tab w:leader="none" w:pos="472"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Award of Restricted Stock Units and Restricted Stock Units Agreement which correlates with these Terms and sets forth the specifics of the applicable award of restricted stock units.</w:t>
      </w:r>
    </w:p>
    <w:p>
      <w:pPr>
        <w:spacing w:after="0" w:line="62" w:lineRule="exact"/>
        <w:rPr>
          <w:rFonts w:ascii="Arial" w:cs="Arial" w:eastAsia="Arial" w:hAnsi="Arial"/>
          <w:sz w:val="18"/>
          <w:szCs w:val="18"/>
          <w:color w:val="auto"/>
        </w:rPr>
      </w:pPr>
    </w:p>
    <w:p>
      <w:pPr>
        <w:ind w:left="432" w:hanging="207"/>
        <w:spacing w:after="0"/>
        <w:tabs>
          <w:tab w:leader="none" w:pos="4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2001 Stock Incentive Plan.</w:t>
      </w:r>
    </w:p>
    <w:p>
      <w:pPr>
        <w:spacing w:after="0" w:line="113" w:lineRule="exact"/>
        <w:rPr>
          <w:rFonts w:ascii="Arial" w:cs="Arial" w:eastAsia="Arial" w:hAnsi="Arial"/>
          <w:sz w:val="18"/>
          <w:szCs w:val="18"/>
          <w:color w:val="auto"/>
        </w:rPr>
      </w:pPr>
    </w:p>
    <w:p>
      <w:pPr>
        <w:ind w:left="-8" w:firstLine="233"/>
        <w:spacing w:after="0" w:line="266" w:lineRule="auto"/>
        <w:tabs>
          <w:tab w:leader="none" w:pos="4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employment with the Company or any of its Affiliates. Your Service will be considered to have ceased with the Company and its Affiliates if, immediately after a sale, merger or other corporate transaction, the trade, business or entity with which you are employed is not T. Rowe Price Group, Inc. or an Affiliate of T. Rowe Price Group, Inc.</w:t>
      </w:r>
    </w:p>
    <w:p>
      <w:pPr>
        <w:spacing w:after="0" w:line="72" w:lineRule="exact"/>
        <w:rPr>
          <w:rFonts w:ascii="Arial" w:cs="Arial" w:eastAsia="Arial" w:hAnsi="Arial"/>
          <w:sz w:val="18"/>
          <w:szCs w:val="18"/>
          <w:color w:val="auto"/>
        </w:rPr>
      </w:pPr>
    </w:p>
    <w:p>
      <w:pPr>
        <w:ind w:left="472" w:hanging="247"/>
        <w:spacing w:after="0"/>
        <w:tabs>
          <w:tab w:leader="none" w:pos="472"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and Conditions Regarding the Awards of Restricted Stock Units.</w:t>
      </w:r>
    </w:p>
    <w:p>
      <w:pPr>
        <w:spacing w:after="0" w:line="117" w:lineRule="exact"/>
        <w:rPr>
          <w:rFonts w:ascii="Arial" w:cs="Arial" w:eastAsia="Arial" w:hAnsi="Arial"/>
          <w:sz w:val="18"/>
          <w:szCs w:val="18"/>
          <w:color w:val="auto"/>
        </w:rPr>
      </w:pPr>
    </w:p>
    <w:p>
      <w:pPr>
        <w:ind w:left="-8" w:right="140" w:firstLine="233"/>
        <w:spacing w:after="0" w:line="259" w:lineRule="auto"/>
        <w:tabs>
          <w:tab w:leader="none" w:pos="4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restricted stock units as reflected in the Notice. Whenever the word “you” or “your” is used in any provision of this Agreement under circumstances where the provision should logically be construed, as determined by the Committee, to apply to the estate, personal representative, or beneficiary to whom the restricted stock units may be transferred by will or by the laws of descent and distribution, the words “you” and “your” shall be deemed to include such person.</w:t>
      </w:r>
    </w:p>
    <w:p>
      <w:pPr>
        <w:spacing w:after="0" w:line="29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63" w:right="27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color w:val="auto"/>
        </w:rPr>
        <w:t>T. ROWE PRICE GROUP, INC.</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[2001] [2004] STOCK INCENTIVE PLAN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 OF ADDITIONAL TERMS AND CONDITIONS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REGARDING THE AWARDS OF RESTRICTED STOCK</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Effective: September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203835</wp:posOffset>
            </wp:positionV>
            <wp:extent cx="18783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This Statement of Additional Terms and Conditions Regarding the Awards of Restricted Stock (the “</w:t>
      </w:r>
      <w:r>
        <w:rPr>
          <w:rFonts w:ascii="Arial" w:cs="Arial" w:eastAsia="Arial" w:hAnsi="Arial"/>
          <w:sz w:val="17"/>
          <w:szCs w:val="17"/>
          <w:b w:val="1"/>
          <w:bCs w:val="1"/>
          <w:i w:val="1"/>
          <w:iCs w:val="1"/>
          <w:color w:val="auto"/>
        </w:rPr>
        <w:t>Terms</w:t>
      </w:r>
      <w:r>
        <w:rPr>
          <w:rFonts w:ascii="Arial" w:cs="Arial" w:eastAsia="Arial" w:hAnsi="Arial"/>
          <w:sz w:val="17"/>
          <w:szCs w:val="17"/>
          <w:color w:val="auto"/>
        </w:rPr>
        <w:t>”) and all of the provisions of the T. Rowe Price Group, Inc. 2001 Stock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are incorporated into your award of restricted stock, the specifics of which are described on the “Notice of Award of Restricted Stock and Restricted Stock Agreement”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that you received. Once the Notice has been executed by you and by an authorized officer or agent of T. Rowe Price Group, Inc., the Terms, the Plan, and the Notice, together, constitute a binding and enforceable contract respecting your award of restricted stock. That contract is referred to in this document as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p>
    <w:p>
      <w:pPr>
        <w:spacing w:after="0" w:line="64" w:lineRule="exact"/>
        <w:rPr>
          <w:sz w:val="20"/>
          <w:szCs w:val="20"/>
          <w:color w:val="auto"/>
        </w:rPr>
      </w:pPr>
    </w:p>
    <w:p>
      <w:pPr>
        <w:ind w:left="420" w:hanging="187"/>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this document are defined in the Glossary at the end of this document.</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413"/>
        <w:spacing w:after="0" w:line="276" w:lineRule="auto"/>
        <w:tabs>
          <w:tab w:leader="none" w:pos="6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of the Award Shares are nonvested and forfeitable as of the date of award. For clarity, as used in this Agreement, the term “vest” means the lapse of restrictions on the Award Shares. So long as your Service is continuous from the date of award through the applicable date upon which vesting is scheduled to occur, the Award Shares will vest and become nonforfeitable on the vesting dates set forth in the correlating Notice. Any and all Award Shares that have not already vested or been previously forfeited will vest and become nonforfeitable upon your death. With the exception of your Service terminating as a result of your death, none of the Award Shares will become vested and nonforfeitable after your Service ceases.</w:t>
      </w:r>
    </w:p>
    <w:p>
      <w:pPr>
        <w:spacing w:after="0" w:line="64" w:lineRule="exact"/>
        <w:rPr>
          <w:rFonts w:ascii="Arial" w:cs="Arial" w:eastAsia="Arial" w:hAnsi="Arial"/>
          <w:sz w:val="17"/>
          <w:szCs w:val="17"/>
          <w:color w:val="auto"/>
        </w:rPr>
      </w:pPr>
    </w:p>
    <w:p>
      <w:pPr>
        <w:ind w:firstLine="413"/>
        <w:spacing w:after="0" w:line="289"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Unless the Committee shall have otherwise determined (within the limits specified in this paragraph) to revoke or to limit, in its sole and conclusive discretion, the acceleration provided for herein, the Award Shares will vest in full and become nonforfeitable immediately following the date on which the Committee no longer may revoke or modify the acceleration contemplated by this paragraph. The Committee’s discretion to revoke or limit the acceleration contemplated by this paragraph may be exercised at any time before or within 20 business days after the Effective Date or the Approval Date, as applicable; provided, however, that such discretion to revoke or limit the acceleration may not be exercised after the persons who were directors of the Company immediately before the Transaction (as defined within the definition of Change of Control) shall cease to constitute a majority of the Board of Directors of the Company or any successor to the Company. In the event the Approval Date and an Effective Date arise from substantially identical facts and circumstances (as determined by the Committee in its sole discretion) and unless the Committee shall have determined to limit the effect of this sentence, such 20-day period referred to in the immediately preceding sentence shall commence only once and upon the first to occur of the Approval Date or the Effective Date.</w:t>
      </w:r>
    </w:p>
    <w:p>
      <w:pPr>
        <w:spacing w:after="0" w:line="58" w:lineRule="exact"/>
        <w:rPr>
          <w:rFonts w:ascii="Arial" w:cs="Arial" w:eastAsia="Arial" w:hAnsi="Arial"/>
          <w:sz w:val="16"/>
          <w:szCs w:val="16"/>
          <w:color w:val="auto"/>
        </w:rPr>
      </w:pPr>
    </w:p>
    <w:p>
      <w:pPr>
        <w:ind w:right="60" w:firstLine="233"/>
        <w:spacing w:after="0" w:line="264" w:lineRule="auto"/>
        <w:tabs>
          <w:tab w:leader="none" w:pos="40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your Service ceases for any reason, all Award Shares that are not then vested and nonforfeitable will be immediately forfeited to the Company upon such cessation for no consideration. Upon the request of the Committee, you must deliver to the Company a stock power, endorsed in blank, with respect to any Award Shares that have been forfeited pursuant to this Agreement.</w:t>
      </w:r>
    </w:p>
    <w:p>
      <w:pPr>
        <w:spacing w:after="0" w:line="73" w:lineRule="exact"/>
        <w:rPr>
          <w:rFonts w:ascii="Arial" w:cs="Arial" w:eastAsia="Arial" w:hAnsi="Arial"/>
          <w:sz w:val="18"/>
          <w:szCs w:val="18"/>
          <w:color w:val="auto"/>
        </w:rPr>
      </w:pPr>
    </w:p>
    <w:p>
      <w:pPr>
        <w:ind w:left="420" w:hanging="187"/>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80" w:firstLine="413"/>
        <w:spacing w:after="0" w:line="308" w:lineRule="auto"/>
        <w:tabs>
          <w:tab w:leader="none" w:pos="650" w:val="left"/>
        </w:tabs>
        <w:numPr>
          <w:ilvl w:val="1"/>
          <w:numId w:val="41"/>
        </w:numPr>
        <w:rPr>
          <w:rFonts w:ascii="Arial" w:cs="Arial" w:eastAsia="Arial" w:hAnsi="Arial"/>
          <w:sz w:val="17"/>
          <w:szCs w:val="17"/>
          <w:color w:val="auto"/>
        </w:rPr>
      </w:pPr>
      <w:r>
        <w:rPr>
          <w:rFonts w:ascii="Arial" w:cs="Arial" w:eastAsia="Arial" w:hAnsi="Arial"/>
          <w:sz w:val="17"/>
          <w:szCs w:val="17"/>
          <w:color w:val="auto"/>
        </w:rPr>
        <w:t>Until an Award Share becomes vested and nonforfeitable, it may not be assigned, transferred, pledged, hypothecated or disposed of in any way (whether by operation of law or otherwise) and may not be made subject to execution, attachment or similar process.</w:t>
      </w:r>
    </w:p>
    <w:p>
      <w:pPr>
        <w:spacing w:after="0" w:line="38" w:lineRule="exact"/>
        <w:rPr>
          <w:rFonts w:ascii="Arial" w:cs="Arial" w:eastAsia="Arial" w:hAnsi="Arial"/>
          <w:sz w:val="17"/>
          <w:szCs w:val="17"/>
          <w:color w:val="auto"/>
        </w:rPr>
      </w:pPr>
    </w:p>
    <w:p>
      <w:pPr>
        <w:ind w:right="380" w:firstLine="413"/>
        <w:spacing w:after="0" w:line="264" w:lineRule="auto"/>
        <w:tabs>
          <w:tab w:leader="none" w:pos="65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shall not be required to (i) transfer on its books any Award Shares that have been sold or transferred in contravention of this Agreement or (ii) treat as the owner of Award Shares, or otherwise accord voting, dividend or liquidation rights to, any transferee to whom Award Shares have been transferred in contravention of this Agreement.</w:t>
      </w:r>
    </w:p>
    <w:p>
      <w:pPr>
        <w:spacing w:after="0" w:line="73" w:lineRule="exact"/>
        <w:rPr>
          <w:rFonts w:ascii="Arial" w:cs="Arial" w:eastAsia="Arial" w:hAnsi="Arial"/>
          <w:sz w:val="18"/>
          <w:szCs w:val="18"/>
          <w:color w:val="auto"/>
        </w:rPr>
      </w:pPr>
    </w:p>
    <w:p>
      <w:pPr>
        <w:ind w:right="100" w:firstLine="233"/>
        <w:spacing w:after="0" w:line="272" w:lineRule="auto"/>
        <w:tabs>
          <w:tab w:leader="none" w:pos="40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Stock Certificates</w:t>
      </w:r>
      <w:r>
        <w:rPr>
          <w:rFonts w:ascii="Arial" w:cs="Arial" w:eastAsia="Arial" w:hAnsi="Arial"/>
          <w:sz w:val="17"/>
          <w:szCs w:val="17"/>
          <w:color w:val="auto"/>
        </w:rPr>
        <w:t>. You are reflected as the owner of record of the Award Shares as of the date of award on the Company’s books. The Company will hold the share certificates for safekeeping, or otherwise retain the Award Shares in uncertificated book entry form, until the Award Shares become vested and nonforfeitable. Until the Award Shares become vested and nonforfeitable, any share certificates representing such shares will include a legend to the effect that you may not sell, assign, transfer, pledge, or hypothecate the Award Shares. Unless you request the Company to deliver a share certificate to you, or deliver shares electronically or in certificate form to your designated broker, bank or nominee on your behalf, the Company will retain the Award Shares in uncertificated book entry form after they become vested. All regular cash dividends payable on the Award Shares will be paid directly to you on the dividend payment date regardless of the vested or nonvested status of the Award Shares.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63" w:name="page64"/>
    <w:bookmarkEnd w:id="63"/>
    <w:p>
      <w:pPr>
        <w:ind w:left="400" w:hanging="187"/>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Tax Election and Tax 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160" w:firstLine="413"/>
        <w:spacing w:after="0" w:line="271" w:lineRule="auto"/>
        <w:tabs>
          <w:tab w:leader="none" w:pos="623" w:val="left"/>
        </w:tabs>
        <w:numPr>
          <w:ilvl w:val="1"/>
          <w:numId w:val="42"/>
        </w:numPr>
        <w:rPr>
          <w:rFonts w:ascii="Arial" w:cs="Arial" w:eastAsia="Arial" w:hAnsi="Arial"/>
          <w:sz w:val="17"/>
          <w:szCs w:val="17"/>
          <w:color w:val="auto"/>
        </w:rPr>
      </w:pPr>
      <w:r>
        <w:rPr>
          <w:rFonts w:ascii="Arial" w:cs="Arial" w:eastAsia="Arial" w:hAnsi="Arial"/>
          <w:sz w:val="17"/>
          <w:szCs w:val="17"/>
          <w:color w:val="auto"/>
        </w:rPr>
        <w:t>You hereby agree to make adequate provision for foreign, federal, state and local taxes required by law to be withheld, if any, which arise in connection with the award or vesting of the Award Shares. The Company shall have the right to deduct from any compensation or any other payment of any kind (including withholding the issuance or delivery of shares of T. Rowe Price Group common stock) due you the amount of any federal, state, local or foreign taxes required by law to be withheld as a result of the award or vesting of the Award Shares in whole or in part; provided, however, that the value of the shares of T. Rowe Price Group common stock withheld may not exceed the statutory minimum withholding amount required by law. In lieu of such deduction, the Company may require you to make a cash payment to the Company equal to the amount required to be withheld. If you do not make such payment when requested, the Company may refuse to issue any stock certificate under this Agreement or otherwise release for transfer any such shares until arrangements satisfactory to the Company for such payment have been made.</w:t>
      </w:r>
    </w:p>
    <w:p>
      <w:pPr>
        <w:spacing w:after="0" w:line="70" w:lineRule="exact"/>
        <w:rPr>
          <w:rFonts w:ascii="Arial" w:cs="Arial" w:eastAsia="Arial" w:hAnsi="Arial"/>
          <w:sz w:val="17"/>
          <w:szCs w:val="17"/>
          <w:color w:val="auto"/>
        </w:rPr>
      </w:pPr>
    </w:p>
    <w:p>
      <w:pPr>
        <w:ind w:left="-20" w:right="200" w:firstLine="413"/>
        <w:spacing w:after="0" w:line="259" w:lineRule="auto"/>
        <w:tabs>
          <w:tab w:leader="none" w:pos="637"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may, in its sole discretion, permit you to satisfy, in whole or in part, any withholding tax obligation which may arise in connection with the Award Shares either by electing to have the Company withhold from the shares to be released upon vesting that number of shares, or by electing to deliver to the Company already-owned shares, in either case having a fair market value equal to no more than the amount necessary to satisfy the statutory minimum withholding amount due.</w:t>
      </w:r>
    </w:p>
    <w:p>
      <w:pPr>
        <w:spacing w:after="0" w:line="78" w:lineRule="exact"/>
        <w:rPr>
          <w:rFonts w:ascii="Arial" w:cs="Arial" w:eastAsia="Arial" w:hAnsi="Arial"/>
          <w:sz w:val="18"/>
          <w:szCs w:val="18"/>
          <w:color w:val="auto"/>
        </w:rPr>
      </w:pPr>
    </w:p>
    <w:p>
      <w:pPr>
        <w:ind w:left="-20" w:firstLine="413"/>
        <w:spacing w:after="0" w:line="279" w:lineRule="auto"/>
        <w:tabs>
          <w:tab w:leader="none" w:pos="623" w:val="left"/>
        </w:tabs>
        <w:numPr>
          <w:ilvl w:val="1"/>
          <w:numId w:val="42"/>
        </w:numPr>
        <w:rPr>
          <w:rFonts w:ascii="Arial" w:cs="Arial" w:eastAsia="Arial" w:hAnsi="Arial"/>
          <w:sz w:val="17"/>
          <w:szCs w:val="17"/>
          <w:color w:val="auto"/>
        </w:rPr>
      </w:pPr>
      <w:r>
        <w:rPr>
          <w:rFonts w:ascii="Arial" w:cs="Arial" w:eastAsia="Arial" w:hAnsi="Arial"/>
          <w:sz w:val="17"/>
          <w:szCs w:val="17"/>
          <w:color w:val="auto"/>
        </w:rPr>
        <w:t>You hereby acknowledge that you have been advised by the Company to seek independent tax advice from your own advisors regarding the availability and advisability of making an election under Section 83(b) of the Internal Revenue Code of 1986, as amended, and that any such election, if made, must be made within 30 days of the date of award. You expressly acknowledge that you are solely responsible for filing any such Section 83(b) election with the appropriate governmental authorities, irrespective of the fact that such election is also delivered to the Company.</w:t>
      </w:r>
    </w:p>
    <w:p>
      <w:pPr>
        <w:spacing w:after="0" w:line="63" w:lineRule="exact"/>
        <w:rPr>
          <w:rFonts w:ascii="Arial" w:cs="Arial" w:eastAsia="Arial" w:hAnsi="Arial"/>
          <w:sz w:val="17"/>
          <w:szCs w:val="17"/>
          <w:color w:val="auto"/>
        </w:rPr>
      </w:pPr>
    </w:p>
    <w:p>
      <w:pPr>
        <w:ind w:left="400" w:hanging="187"/>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40" w:firstLine="413"/>
        <w:spacing w:after="0" w:line="255" w:lineRule="auto"/>
        <w:tabs>
          <w:tab w:leader="none" w:pos="63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Upon a stock dividend of, or stock split or reverse stock split affecting, the T. Rowe Price Group common stock, the number of Award Shares and the number of such Award Shares that are nonvested and forfeitable shall, without further action of the Committee, be adjusted to reflect such event. The Committee may make adjustments, in its discretion, to address the treatment of fractional shares with respect to the Award Shares as a result of the stock dividend, stock split or reverse stock split. Adjustments under this paragraph will be made by the Committee, whose determination as to what adjustments, if any, will be made and the extent thereof will be final, binding and conclusive. No fractional Award Shares will result from any such adjustments.</w:t>
      </w:r>
    </w:p>
    <w:p>
      <w:pPr>
        <w:spacing w:after="0" w:line="85" w:lineRule="exact"/>
        <w:rPr>
          <w:rFonts w:ascii="Arial" w:cs="Arial" w:eastAsia="Arial" w:hAnsi="Arial"/>
          <w:sz w:val="18"/>
          <w:szCs w:val="18"/>
          <w:color w:val="auto"/>
        </w:rPr>
      </w:pPr>
    </w:p>
    <w:p>
      <w:pPr>
        <w:ind w:left="-20" w:right="40" w:firstLine="413"/>
        <w:spacing w:after="0" w:line="291" w:lineRule="auto"/>
        <w:tabs>
          <w:tab w:leader="none" w:pos="64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Binding Nature of Agreement</w:t>
      </w:r>
      <w:r>
        <w:rPr>
          <w:rFonts w:ascii="Arial" w:cs="Arial" w:eastAsia="Arial" w:hAnsi="Arial"/>
          <w:sz w:val="16"/>
          <w:szCs w:val="16"/>
          <w:color w:val="auto"/>
        </w:rPr>
        <w:t>. The terms and conditions of this Agreement shall apply with equal force to any additional and/or substitute securities received by you in exchange for, or by virtue of your ownership of, the Award Shares, whether as a result of any spin-off, stock split-up, stock dividend, stock distribution, other reclassification of the T. Rowe Price Group common stock, or similar event, except as otherwise determined by the Committee. If the Award Shares are converted into or exchanged for, or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received upon such conversion, exchange or distribution in the same manner and to the same extent as the Award Shares.</w:t>
      </w:r>
    </w:p>
    <w:p>
      <w:pPr>
        <w:spacing w:after="0" w:line="59" w:lineRule="exact"/>
        <w:rPr>
          <w:rFonts w:ascii="Arial" w:cs="Arial" w:eastAsia="Arial" w:hAnsi="Arial"/>
          <w:sz w:val="16"/>
          <w:szCs w:val="16"/>
          <w:color w:val="auto"/>
        </w:rPr>
      </w:pPr>
    </w:p>
    <w:p>
      <w:pPr>
        <w:ind w:left="-20" w:right="180" w:firstLine="233"/>
        <w:spacing w:after="0" w:line="279" w:lineRule="auto"/>
        <w:tabs>
          <w:tab w:leader="none" w:pos="385"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Non-Guarantee of Employment</w:t>
      </w:r>
      <w:r>
        <w:rPr>
          <w:rFonts w:ascii="Arial" w:cs="Arial" w:eastAsia="Arial" w:hAnsi="Arial"/>
          <w:sz w:val="17"/>
          <w:szCs w:val="17"/>
          <w:color w:val="auto"/>
        </w:rPr>
        <w:t>. Nothing in the Plan or this Agreement shall alter your at-will or other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Award Shares or any other adverse effect on your interests under the Plan.</w:t>
      </w:r>
    </w:p>
    <w:p>
      <w:pPr>
        <w:spacing w:after="0" w:line="63" w:lineRule="exact"/>
        <w:rPr>
          <w:rFonts w:ascii="Arial" w:cs="Arial" w:eastAsia="Arial" w:hAnsi="Arial"/>
          <w:sz w:val="17"/>
          <w:szCs w:val="17"/>
          <w:color w:val="auto"/>
        </w:rPr>
      </w:pPr>
    </w:p>
    <w:p>
      <w:pPr>
        <w:ind w:left="-20" w:right="200" w:firstLine="233"/>
        <w:spacing w:after="0" w:line="264" w:lineRule="auto"/>
        <w:tabs>
          <w:tab w:leader="none" w:pos="38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Except as otherwise provided in this Agreement with respect to the nonvested and forfeitable Award Shares, you are entitled to all rights of a stockholder of the Company, including the right to vote the Award Shares and receive dividends and/or other distributions declared on the Award Shares.</w:t>
      </w:r>
    </w:p>
    <w:p>
      <w:pPr>
        <w:spacing w:after="0" w:line="73" w:lineRule="exact"/>
        <w:rPr>
          <w:rFonts w:ascii="Arial" w:cs="Arial" w:eastAsia="Arial" w:hAnsi="Arial"/>
          <w:sz w:val="18"/>
          <w:szCs w:val="18"/>
          <w:color w:val="auto"/>
        </w:rPr>
      </w:pPr>
    </w:p>
    <w:p>
      <w:pPr>
        <w:ind w:left="-20" w:right="40" w:firstLine="233"/>
        <w:spacing w:after="0" w:line="276" w:lineRule="auto"/>
        <w:tabs>
          <w:tab w:leader="none" w:pos="475"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The Company’s Rights</w:t>
      </w:r>
      <w:r>
        <w:rPr>
          <w:rFonts w:ascii="Arial" w:cs="Arial" w:eastAsia="Arial" w:hAnsi="Arial"/>
          <w:sz w:val="17"/>
          <w:szCs w:val="17"/>
          <w:color w:val="auto"/>
        </w:rPr>
        <w:t>. The existence of the Award Shares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64" w:lineRule="exact"/>
        <w:rPr>
          <w:rFonts w:ascii="Arial" w:cs="Arial" w:eastAsia="Arial" w:hAnsi="Arial"/>
          <w:sz w:val="17"/>
          <w:szCs w:val="17"/>
          <w:color w:val="auto"/>
        </w:rPr>
      </w:pPr>
    </w:p>
    <w:p>
      <w:pPr>
        <w:ind w:left="-20" w:right="60" w:firstLine="233"/>
        <w:spacing w:after="0" w:line="257" w:lineRule="auto"/>
        <w:tabs>
          <w:tab w:leader="none" w:pos="46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80" w:lineRule="exact"/>
        <w:rPr>
          <w:rFonts w:ascii="Arial" w:cs="Arial" w:eastAsia="Arial" w:hAnsi="Arial"/>
          <w:sz w:val="18"/>
          <w:szCs w:val="18"/>
          <w:color w:val="auto"/>
        </w:rPr>
      </w:pPr>
    </w:p>
    <w:p>
      <w:pPr>
        <w:ind w:left="-20" w:right="300" w:firstLine="233"/>
        <w:spacing w:after="0" w:line="302" w:lineRule="auto"/>
        <w:tabs>
          <w:tab w:leader="none" w:pos="47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Electronic Delivery of Documents</w:t>
      </w:r>
      <w:r>
        <w:rPr>
          <w:rFonts w:ascii="Arial" w:cs="Arial" w:eastAsia="Arial" w:hAnsi="Arial"/>
          <w:sz w:val="16"/>
          <w:szCs w:val="16"/>
          <w:color w:val="auto"/>
        </w:rPr>
        <w:t>. The Company may electronically deliver, via e-mail or posting on the Company’s website, these Terms, information with respect to the Plan or the Award Shares,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64" w:name="page65"/>
    <w:bookmarkEnd w:id="64"/>
    <w:p>
      <w:pPr>
        <w:ind w:left="-20" w:right="40" w:firstLine="233"/>
        <w:spacing w:after="0" w:line="286" w:lineRule="auto"/>
        <w:tabs>
          <w:tab w:leader="none" w:pos="475"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between the parties with respect to the Award Shares awarded hereunder. Any oral or written agreements, representations, warranties, written inducements, or other communications made prior to the execution of the Notice correlating to these Terms with respect to the Award Shares awarded hereunder shall be void and ineffective for all purposes.</w:t>
      </w:r>
    </w:p>
    <w:p>
      <w:pPr>
        <w:spacing w:after="0" w:line="57" w:lineRule="exact"/>
        <w:rPr>
          <w:rFonts w:ascii="Arial" w:cs="Arial" w:eastAsia="Arial" w:hAnsi="Arial"/>
          <w:sz w:val="17"/>
          <w:szCs w:val="17"/>
          <w:color w:val="auto"/>
        </w:rPr>
      </w:pPr>
    </w:p>
    <w:p>
      <w:pPr>
        <w:ind w:left="-20" w:firstLine="233"/>
        <w:spacing w:after="0" w:line="271" w:lineRule="auto"/>
        <w:tabs>
          <w:tab w:leader="none" w:pos="475"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Except as provided below, the Committee shall have the right, in its absolute and uncontrolled discretion, to alter or amend this Agreement, from time to time in any manner for the purpose of promoting the objectives of the Plan but only if all agreements awarding restricted shares of T. Rowe Price Group common stock pursuant to the Plan which are in effect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shall give written notice to you of any such alteration or amendment of this Agreement by the Committee as promptly as practical after the adoption thereof. . The foregoing shall not restrict the ability of you and the Company by mutual consent to alter or amend this Agreement in any manner which is consistent with the Plan and approved by the Committee.</w:t>
      </w:r>
    </w:p>
    <w:p>
      <w:pPr>
        <w:spacing w:after="0" w:line="70" w:lineRule="exact"/>
        <w:rPr>
          <w:rFonts w:ascii="Arial" w:cs="Arial" w:eastAsia="Arial" w:hAnsi="Arial"/>
          <w:sz w:val="17"/>
          <w:szCs w:val="17"/>
          <w:color w:val="auto"/>
        </w:rPr>
      </w:pPr>
    </w:p>
    <w:p>
      <w:pPr>
        <w:ind w:left="-20" w:right="20" w:firstLine="233"/>
        <w:spacing w:after="0" w:line="276" w:lineRule="auto"/>
        <w:tabs>
          <w:tab w:leader="none" w:pos="475"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Conformity with Plan</w:t>
      </w:r>
      <w:r>
        <w:rPr>
          <w:rFonts w:ascii="Arial" w:cs="Arial" w:eastAsia="Arial" w:hAnsi="Arial"/>
          <w:sz w:val="17"/>
          <w:szCs w:val="17"/>
          <w:color w:val="auto"/>
        </w:rPr>
        <w:t>. These Terms are intended to conform in all respects with, and are subject to all applicable provisions of, the Plan. Except as may be necessary to give effect to the amendment provisions of Section 14 of these Terms, any inconsistencies between these Terms and the Plan shall be resolved in accordance with the terms of the Plan. In the event of any ambiguity in these Terms or any matters as to which these Terms are silent, the Plan shall govern. A copy of the Plan is available at https://www2.troweprice.com/options or in hard copy upon request to the Payroll and Stock Transaction Group in the CFO-Finance Department at BA-0372 in the Baltimore office or by telephone, at extension 7716.</w:t>
      </w:r>
    </w:p>
    <w:p>
      <w:pPr>
        <w:spacing w:after="0" w:line="64" w:lineRule="exact"/>
        <w:rPr>
          <w:rFonts w:ascii="Arial" w:cs="Arial" w:eastAsia="Arial" w:hAnsi="Arial"/>
          <w:sz w:val="17"/>
          <w:szCs w:val="17"/>
          <w:color w:val="auto"/>
        </w:rPr>
      </w:pPr>
    </w:p>
    <w:p>
      <w:pPr>
        <w:ind w:left="-20" w:right="20" w:firstLine="233"/>
        <w:spacing w:after="0" w:line="257" w:lineRule="auto"/>
        <w:tabs>
          <w:tab w:leader="none" w:pos="47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 hereto will be brought in the federal or state courts in the districts which include Baltimore, Maryland, and you hereby agree and submit to the personal jurisdiction and venue thereof.</w:t>
      </w:r>
    </w:p>
    <w:p>
      <w:pPr>
        <w:spacing w:after="0" w:line="80" w:lineRule="exact"/>
        <w:rPr>
          <w:rFonts w:ascii="Arial" w:cs="Arial" w:eastAsia="Arial" w:hAnsi="Arial"/>
          <w:sz w:val="18"/>
          <w:szCs w:val="18"/>
          <w:color w:val="auto"/>
        </w:rPr>
      </w:pPr>
    </w:p>
    <w:p>
      <w:pPr>
        <w:ind w:left="-20" w:right="120" w:firstLine="233"/>
        <w:spacing w:after="0" w:line="312" w:lineRule="auto"/>
        <w:tabs>
          <w:tab w:leader="none" w:pos="47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disagreement which shall arise under, or as a result of, or pursuant to, this Agreement shall be determined by the Committee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w:t>
      </w:r>
    </w:p>
    <w:p>
      <w:pPr>
        <w:spacing w:after="0" w:line="38" w:lineRule="exact"/>
        <w:rPr>
          <w:rFonts w:ascii="Arial" w:cs="Arial" w:eastAsia="Arial" w:hAnsi="Arial"/>
          <w:sz w:val="16"/>
          <w:szCs w:val="16"/>
          <w:color w:val="auto"/>
        </w:rPr>
      </w:pPr>
    </w:p>
    <w:p>
      <w:pPr>
        <w:ind w:left="-20" w:right="20" w:firstLine="233"/>
        <w:spacing w:after="0" w:line="269" w:lineRule="auto"/>
        <w:tabs>
          <w:tab w:leader="none" w:pos="475"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No Future Entitlement</w:t>
      </w:r>
      <w:r>
        <w:rPr>
          <w:rFonts w:ascii="Arial" w:cs="Arial" w:eastAsia="Arial" w:hAnsi="Arial"/>
          <w:sz w:val="17"/>
          <w:szCs w:val="17"/>
          <w:color w:val="auto"/>
        </w:rPr>
        <w:t>. By execution of the Notice, you acknowledge and agree that: (i) the award of Award Shares is a one-time benefit which does not create any contractual or other right to receive future awards of Award Shares, or compensation in lieu of Award Shares, even if Award Shares have been awarded repeatedly in the past; (ii) all determinations with respect to any such future awards, including, but not limited to, the times when Award Shares shall be awarded or shall become vested and the number of Award Shares subject to each award, will be at the sole discretion of the Committee; (iii) the value of the Award Shares is an extraordinary item of compensation which is outside the scope of your employment contract, if any; (iv) the value of the Award Shares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Award Shares ceases upon termination of Service with the Company or transfer of employment from the Company, or other cessation of eligibility for any reason, except as may otherwise be explicitly provided this Agreement; (vi) the value of the Award Shares will change over time and the Company does not guarantee any future value; and (vii) no claim or entitlement to compensation or damages arises if the value of the Award Shares decreases and you irrevocably release the Company from any such claim that does arise.</w:t>
      </w:r>
    </w:p>
    <w:p>
      <w:pPr>
        <w:spacing w:after="0" w:line="74" w:lineRule="exact"/>
        <w:rPr>
          <w:rFonts w:ascii="Arial" w:cs="Arial" w:eastAsia="Arial" w:hAnsi="Arial"/>
          <w:sz w:val="17"/>
          <w:szCs w:val="17"/>
          <w:color w:val="auto"/>
        </w:rPr>
      </w:pPr>
    </w:p>
    <w:p>
      <w:pPr>
        <w:ind w:left="-20" w:right="120" w:firstLine="233"/>
        <w:spacing w:after="0" w:line="287" w:lineRule="auto"/>
        <w:tabs>
          <w:tab w:leader="none" w:pos="47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Personal Data</w:t>
      </w:r>
      <w:r>
        <w:rPr>
          <w:rFonts w:ascii="Arial" w:cs="Arial" w:eastAsia="Arial" w:hAnsi="Arial"/>
          <w:sz w:val="16"/>
          <w:szCs w:val="16"/>
          <w:color w:val="auto"/>
        </w:rPr>
        <w:t>. For the exclusive purpose of implementing, administering and managing the award of Award Shares, you, by execution of the Notice, consent to the collection, receipt, use, retention and transfer, in electronic or other form, of your personal data by and among the Company and its third party vendors.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award of Award Shares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award of Award Shares.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at BA-0372 in the Baltimore office. You understand, however, that refusing or withdrawing your consent may affect your ability to accept an award of Award Shares.</w:t>
      </w:r>
    </w:p>
    <w:p>
      <w:pPr>
        <w:spacing w:after="0" w:line="60" w:lineRule="exact"/>
        <w:rPr>
          <w:rFonts w:ascii="Arial" w:cs="Arial" w:eastAsia="Arial" w:hAnsi="Arial"/>
          <w:sz w:val="16"/>
          <w:szCs w:val="16"/>
          <w:color w:val="auto"/>
        </w:rPr>
      </w:pPr>
    </w:p>
    <w:p>
      <w:pPr>
        <w:ind w:left="480" w:hanging="267"/>
        <w:spacing w:after="0"/>
        <w:tabs>
          <w:tab w:leader="none" w:pos="48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Agreement are for reference purposes only and shall not affect the meaning or interpretation of this Agreement.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65" w:name="page66"/>
    <w:bookmarkEnd w:id="65"/>
    <w:p>
      <w:pPr>
        <w:jc w:val="center"/>
        <w:ind w:right="-11"/>
        <w:spacing w:after="0"/>
        <w:rPr>
          <w:sz w:val="20"/>
          <w:szCs w:val="20"/>
          <w:color w:val="auto"/>
        </w:rPr>
      </w:pPr>
      <w:r>
        <w:rPr>
          <w:rFonts w:ascii="Arial" w:cs="Arial" w:eastAsia="Arial" w:hAnsi="Arial"/>
          <w:sz w:val="18"/>
          <w:szCs w:val="18"/>
          <w:color w:val="auto"/>
        </w:rPr>
        <w:t>GLOSSARY</w:t>
      </w:r>
    </w:p>
    <w:p>
      <w:pPr>
        <w:spacing w:after="0" w:line="117" w:lineRule="exact"/>
        <w:rPr>
          <w:sz w:val="20"/>
          <w:szCs w:val="20"/>
          <w:color w:val="auto"/>
        </w:rPr>
      </w:pPr>
    </w:p>
    <w:p>
      <w:pPr>
        <w:ind w:left="-8" w:right="80" w:firstLine="233"/>
        <w:spacing w:after="0" w:line="264" w:lineRule="auto"/>
        <w:tabs>
          <w:tab w:leader="none" w:pos="46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in which the Company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73" w:lineRule="exact"/>
        <w:rPr>
          <w:rFonts w:ascii="Arial" w:cs="Arial" w:eastAsia="Arial" w:hAnsi="Arial"/>
          <w:sz w:val="18"/>
          <w:szCs w:val="18"/>
          <w:color w:val="auto"/>
        </w:rPr>
      </w:pPr>
    </w:p>
    <w:p>
      <w:pPr>
        <w:ind w:left="472" w:hanging="247"/>
        <w:spacing w:after="0"/>
        <w:tabs>
          <w:tab w:leader="none" w:pos="47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17" w:lineRule="exact"/>
        <w:rPr>
          <w:rFonts w:ascii="Arial" w:cs="Arial" w:eastAsia="Arial" w:hAnsi="Arial"/>
          <w:sz w:val="18"/>
          <w:szCs w:val="18"/>
          <w:color w:val="auto"/>
        </w:rPr>
      </w:pPr>
    </w:p>
    <w:p>
      <w:pPr>
        <w:ind w:left="-8" w:right="220" w:firstLine="233"/>
        <w:spacing w:after="0" w:line="297" w:lineRule="auto"/>
        <w:tabs>
          <w:tab w:leader="none" w:pos="462"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Approval Date</w:t>
      </w:r>
      <w:r>
        <w:rPr>
          <w:rFonts w:ascii="Arial" w:cs="Arial" w:eastAsia="Arial" w:hAnsi="Arial"/>
          <w:sz w:val="16"/>
          <w:szCs w:val="16"/>
          <w:color w:val="auto"/>
        </w:rPr>
        <w:t>” means the date of the approval of the Company’s Board of Directors of an agreement providing for an exchange offer, merger, consolidation or other business combination, sale or disposition of all or substantially all of the assets of the Company, or any combination of the foregoing transactions as a result of the consummation of which the persons who were directors of the Company immediately before the transaction shall cease to constitute a majority of the Board of Directors of the Company or any successor to the Company or the persons who were stockholders of the Company immediately before the Approval Date will own less than a majority of the outstanding voting stock of the Company or any successor to the Company.</w:t>
      </w:r>
    </w:p>
    <w:p>
      <w:pPr>
        <w:spacing w:after="0" w:line="50" w:lineRule="exact"/>
        <w:rPr>
          <w:rFonts w:ascii="Arial" w:cs="Arial" w:eastAsia="Arial" w:hAnsi="Arial"/>
          <w:sz w:val="16"/>
          <w:szCs w:val="16"/>
          <w:color w:val="auto"/>
        </w:rPr>
      </w:pPr>
    </w:p>
    <w:p>
      <w:pPr>
        <w:ind w:left="472" w:hanging="247"/>
        <w:spacing w:after="0"/>
        <w:tabs>
          <w:tab w:leader="none" w:pos="47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Shares</w:t>
      </w:r>
      <w:r>
        <w:rPr>
          <w:rFonts w:ascii="Arial" w:cs="Arial" w:eastAsia="Arial" w:hAnsi="Arial"/>
          <w:sz w:val="18"/>
          <w:szCs w:val="18"/>
          <w:color w:val="auto"/>
        </w:rPr>
        <w:t>” means the shares of T. Rowe Price Group common stock awarded to you as set forth on the Notice.</w:t>
      </w:r>
    </w:p>
    <w:p>
      <w:pPr>
        <w:spacing w:after="0" w:line="117" w:lineRule="exact"/>
        <w:rPr>
          <w:rFonts w:ascii="Arial" w:cs="Arial" w:eastAsia="Arial" w:hAnsi="Arial"/>
          <w:sz w:val="18"/>
          <w:szCs w:val="18"/>
          <w:color w:val="auto"/>
        </w:rPr>
      </w:pPr>
    </w:p>
    <w:p>
      <w:pPr>
        <w:ind w:left="472" w:hanging="247"/>
        <w:spacing w:after="0"/>
        <w:tabs>
          <w:tab w:leader="none" w:pos="472"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A “Change of Control” shall be deemed to have taken place on the date of the earlier to occur of either of the following events:</w:t>
      </w:r>
    </w:p>
    <w:p>
      <w:pPr>
        <w:spacing w:after="0" w:line="46" w:lineRule="exact"/>
        <w:rPr>
          <w:rFonts w:ascii="Arial" w:cs="Arial" w:eastAsia="Arial" w:hAnsi="Arial"/>
          <w:sz w:val="16"/>
          <w:szCs w:val="16"/>
          <w:color w:val="auto"/>
        </w:rPr>
      </w:pPr>
    </w:p>
    <w:p>
      <w:pPr>
        <w:ind w:left="-8" w:right="80" w:firstLine="8"/>
        <w:spacing w:after="0" w:line="290" w:lineRule="auto"/>
        <w:tabs>
          <w:tab w:leader="none" w:pos="207"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third party, including a “group” as defined in Section 13(d)(3) of the Securities Exchange Act of 1934, becomes the beneficial owner of 25% or more of the Company’s outstanding common stock, or (ii) as the result of, or in connection with, any cash tender or exchange offer, merger, consolidation or other business combination, sale or disposition of all or substantially all of the Company’s assets, or contested election, or any combination of the foregoing transactions (a “</w:t>
      </w:r>
      <w:r>
        <w:rPr>
          <w:rFonts w:ascii="Arial" w:cs="Arial" w:eastAsia="Arial" w:hAnsi="Arial"/>
          <w:sz w:val="16"/>
          <w:szCs w:val="16"/>
          <w:b w:val="1"/>
          <w:bCs w:val="1"/>
          <w:i w:val="1"/>
          <w:iCs w:val="1"/>
          <w:color w:val="auto"/>
        </w:rPr>
        <w:t>Transaction</w:t>
      </w:r>
      <w:r>
        <w:rPr>
          <w:rFonts w:ascii="Arial" w:cs="Arial" w:eastAsia="Arial" w:hAnsi="Arial"/>
          <w:sz w:val="16"/>
          <w:szCs w:val="16"/>
          <w:color w:val="auto"/>
        </w:rPr>
        <w:t>”), the persons who were directors of the Company immediately before the Transaction shall cease to constitute a majority of the Board of Directors of the Company or any successor to the Company or the persons who were stockholders of the Company immediately before the Transaction shall cease to own at least a majority of the outstanding voting stock of the Company or any successor to the Company.</w:t>
      </w:r>
    </w:p>
    <w:p>
      <w:pPr>
        <w:spacing w:after="0" w:line="56" w:lineRule="exact"/>
        <w:rPr>
          <w:rFonts w:ascii="Arial" w:cs="Arial" w:eastAsia="Arial" w:hAnsi="Arial"/>
          <w:sz w:val="16"/>
          <w:szCs w:val="16"/>
          <w:color w:val="auto"/>
        </w:rPr>
      </w:pPr>
    </w:p>
    <w:p>
      <w:pPr>
        <w:ind w:left="-8" w:right="120" w:firstLine="233"/>
        <w:spacing w:after="0" w:line="277" w:lineRule="auto"/>
        <w:tabs>
          <w:tab w:leader="none" w:pos="442"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Executive Compensation Committee of the Board of Directors of T. Rowe Price Group, Inc. or such committee or committees appointed by the Board to administer the Plan.</w:t>
      </w:r>
    </w:p>
    <w:p>
      <w:pPr>
        <w:spacing w:after="0" w:line="62" w:lineRule="exact"/>
        <w:rPr>
          <w:rFonts w:ascii="Arial" w:cs="Arial" w:eastAsia="Arial" w:hAnsi="Arial"/>
          <w:sz w:val="18"/>
          <w:szCs w:val="18"/>
          <w:color w:val="auto"/>
        </w:rPr>
      </w:pPr>
    </w:p>
    <w:p>
      <w:pPr>
        <w:ind w:left="-8" w:right="240" w:firstLine="233"/>
        <w:spacing w:after="0" w:line="277" w:lineRule="auto"/>
        <w:tabs>
          <w:tab w:leader="none" w:pos="472"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except where the context otherwise requires. For purposes of determining whether a Change of Control has occurred, Company shall mean only T. Rowe Price Group, Inc.</w:t>
      </w:r>
    </w:p>
    <w:p>
      <w:pPr>
        <w:spacing w:after="0" w:line="62" w:lineRule="exact"/>
        <w:rPr>
          <w:rFonts w:ascii="Arial" w:cs="Arial" w:eastAsia="Arial" w:hAnsi="Arial"/>
          <w:sz w:val="18"/>
          <w:szCs w:val="18"/>
          <w:color w:val="auto"/>
        </w:rPr>
      </w:pPr>
    </w:p>
    <w:p>
      <w:pPr>
        <w:ind w:left="-8" w:right="40" w:firstLine="233"/>
        <w:spacing w:after="0" w:line="257" w:lineRule="auto"/>
        <w:tabs>
          <w:tab w:leader="none" w:pos="472"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on which a Change of Control occurs. Anything in this Agreement to the contrary notwithstanding, if a Change of Control occurs, and if your Service had terminated prior to the date on which the Change of Control occurred, and if it is reasonably demonstrated by you that such termination of Service either was at the request of a third party who had taken steps reasonably calculated to effect the Change of Control or otherwise arose in connection with or in anticipation of the Change of Control, then, for all purposes of this Agreement, the term “Effective Date” shall mean the date immediately prior to the date of such termination of Service.</w:t>
      </w:r>
    </w:p>
    <w:p>
      <w:pPr>
        <w:spacing w:after="0" w:line="80" w:lineRule="exact"/>
        <w:rPr>
          <w:rFonts w:ascii="Arial" w:cs="Arial" w:eastAsia="Arial" w:hAnsi="Arial"/>
          <w:sz w:val="18"/>
          <w:szCs w:val="18"/>
          <w:color w:val="auto"/>
        </w:rPr>
      </w:pPr>
    </w:p>
    <w:p>
      <w:pPr>
        <w:ind w:left="-8" w:right="80" w:firstLine="233"/>
        <w:spacing w:after="0" w:line="277" w:lineRule="auto"/>
        <w:tabs>
          <w:tab w:leader="none" w:pos="432"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Award of Restricted Stock and Restricted Stock Agreement which correlates with these Terms and sets forth the specifics of the applicable restricted stock award.</w:t>
      </w:r>
    </w:p>
    <w:p>
      <w:pPr>
        <w:spacing w:after="0" w:line="62" w:lineRule="exact"/>
        <w:rPr>
          <w:rFonts w:ascii="Arial" w:cs="Arial" w:eastAsia="Arial" w:hAnsi="Arial"/>
          <w:sz w:val="18"/>
          <w:szCs w:val="18"/>
          <w:color w:val="auto"/>
        </w:rPr>
      </w:pPr>
    </w:p>
    <w:p>
      <w:pPr>
        <w:ind w:left="432" w:hanging="207"/>
        <w:spacing w:after="0"/>
        <w:tabs>
          <w:tab w:leader="none" w:pos="432"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2001 Stock Incentive Plan.</w:t>
      </w:r>
    </w:p>
    <w:p>
      <w:pPr>
        <w:spacing w:after="0" w:line="113" w:lineRule="exact"/>
        <w:rPr>
          <w:rFonts w:ascii="Arial" w:cs="Arial" w:eastAsia="Arial" w:hAnsi="Arial"/>
          <w:sz w:val="18"/>
          <w:szCs w:val="18"/>
          <w:color w:val="auto"/>
        </w:rPr>
      </w:pPr>
    </w:p>
    <w:p>
      <w:pPr>
        <w:ind w:left="-8" w:firstLine="233"/>
        <w:spacing w:after="0" w:line="266" w:lineRule="auto"/>
        <w:tabs>
          <w:tab w:leader="none" w:pos="472"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employment with the Company or any of its Affiliates. Your Service will be considered to have ceased with the Company and its Affiliates if, immediately after a sale, merger or other corporate transaction, the trade, business or entity with which you are employed is not T. Rowe Price Group, Inc. or an Affiliate of T. Rowe Price Group, Inc.</w:t>
      </w:r>
    </w:p>
    <w:p>
      <w:pPr>
        <w:spacing w:after="0" w:line="72" w:lineRule="exact"/>
        <w:rPr>
          <w:rFonts w:ascii="Arial" w:cs="Arial" w:eastAsia="Arial" w:hAnsi="Arial"/>
          <w:sz w:val="18"/>
          <w:szCs w:val="18"/>
          <w:color w:val="auto"/>
        </w:rPr>
      </w:pPr>
    </w:p>
    <w:p>
      <w:pPr>
        <w:ind w:left="-8" w:right="100" w:firstLine="233"/>
        <w:spacing w:after="0" w:line="259" w:lineRule="auto"/>
        <w:tabs>
          <w:tab w:leader="none" w:pos="432"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Award Shares as reflected in the Notice. Whenever the word “you” or “your” is used in any provision of this Agreement under circumstances where the provision should logically be construed, as determined by the Committee, to apply to the estate, personal representative, or beneficiary to whom the Award Shares may be transferred by will or by the laws of descent and distribution, the words “you” and “your” shall be deemed to include such person.</w:t>
      </w: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962"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 FOR PRINCIPAL EXECUTIVE AND SENIOR FINANCIAL OFFICERS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 ROWE PRICE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SARBANES-OXLEY ACT OF 2002</w:t>
      </w:r>
    </w:p>
    <w:p>
      <w:pPr>
        <w:spacing w:after="0" w:line="99"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I. General Statement. </w:t>
      </w:r>
      <w:r>
        <w:rPr>
          <w:rFonts w:ascii="Arial" w:cs="Arial" w:eastAsia="Arial" w:hAnsi="Arial"/>
          <w:sz w:val="17"/>
          <w:szCs w:val="17"/>
          <w:color w:val="auto"/>
        </w:rPr>
        <w:t>This Code of Ethics</w:t>
      </w:r>
      <w:r>
        <w:rPr>
          <w:rFonts w:ascii="Arial" w:cs="Arial" w:eastAsia="Arial" w:hAnsi="Arial"/>
          <w:sz w:val="17"/>
          <w:szCs w:val="17"/>
          <w:b w:val="1"/>
          <w:b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color w:val="auto"/>
        </w:rPr>
        <w:t xml:space="preserve"> “Group S-O Code”) </w:t>
      </w:r>
      <w:r>
        <w:rPr>
          <w:rFonts w:ascii="Arial" w:cs="Arial" w:eastAsia="Arial" w:hAnsi="Arial"/>
          <w:sz w:val="17"/>
          <w:szCs w:val="17"/>
          <w:color w:val="auto"/>
        </w:rPr>
        <w:t>has been designed to bring T. Rowe Price Group, Inc.</w:t>
      </w:r>
      <w:r>
        <w:rPr>
          <w:rFonts w:ascii="Arial" w:cs="Arial" w:eastAsia="Arial" w:hAnsi="Arial"/>
          <w:sz w:val="17"/>
          <w:szCs w:val="17"/>
          <w:b w:val="1"/>
          <w:bCs w:val="1"/>
          <w:color w:val="auto"/>
        </w:rPr>
        <w:t xml:space="preserve"> (“Group”) </w:t>
      </w:r>
      <w:r>
        <w:rPr>
          <w:rFonts w:ascii="Arial" w:cs="Arial" w:eastAsia="Arial" w:hAnsi="Arial"/>
          <w:sz w:val="17"/>
          <w:szCs w:val="17"/>
          <w:color w:val="auto"/>
        </w:rPr>
        <w:t>into compliance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applicable requirements of the Sarbanes-Oxley Act of 2002 </w:t>
      </w:r>
      <w:r>
        <w:rPr>
          <w:rFonts w:ascii="Arial" w:cs="Arial" w:eastAsia="Arial" w:hAnsi="Arial"/>
          <w:sz w:val="17"/>
          <w:szCs w:val="17"/>
          <w:b w:val="1"/>
          <w:bCs w:val="1"/>
          <w:color w:val="auto"/>
        </w:rPr>
        <w:t>(</w:t>
      </w:r>
      <w:r>
        <w:rPr>
          <w:rFonts w:ascii="Arial" w:cs="Arial" w:eastAsia="Arial" w:hAnsi="Arial"/>
          <w:sz w:val="17"/>
          <w:szCs w:val="17"/>
          <w:color w:val="auto"/>
        </w:rPr>
        <w:t xml:space="preserve">the </w:t>
      </w:r>
      <w:r>
        <w:rPr>
          <w:rFonts w:ascii="Arial" w:cs="Arial" w:eastAsia="Arial" w:hAnsi="Arial"/>
          <w:sz w:val="17"/>
          <w:szCs w:val="17"/>
          <w:b w:val="1"/>
          <w:bCs w:val="1"/>
          <w:color w:val="auto"/>
        </w:rPr>
        <w:t>“Act”)</w:t>
      </w:r>
      <w:r>
        <w:rPr>
          <w:rFonts w:ascii="Arial" w:cs="Arial" w:eastAsia="Arial" w:hAnsi="Arial"/>
          <w:sz w:val="17"/>
          <w:szCs w:val="17"/>
          <w:color w:val="auto"/>
        </w:rPr>
        <w:t xml:space="preserve"> and rules promulgated by the Securities and Exchange Commission thereunder (the “Regulations”). The Group S-O Code applies solely to the Principal Executive Officer, Principal Financial Officer, Principal Accounting Officer or Controller of, or persons performing similar functions for, Group </w:t>
      </w:r>
      <w:r>
        <w:rPr>
          <w:rFonts w:ascii="Arial" w:cs="Arial" w:eastAsia="Arial" w:hAnsi="Arial"/>
          <w:sz w:val="17"/>
          <w:szCs w:val="17"/>
          <w:b w:val="1"/>
          <w:bCs w:val="1"/>
          <w:color w:val="auto"/>
        </w:rPr>
        <w:t>(“Covered Officers”)</w:t>
      </w:r>
      <w:r>
        <w:rPr>
          <w:rFonts w:ascii="Arial" w:cs="Arial" w:eastAsia="Arial" w:hAnsi="Arial"/>
          <w:sz w:val="17"/>
          <w:szCs w:val="17"/>
          <w:color w:val="auto"/>
        </w:rPr>
        <w:t xml:space="preserve">. A list of Covered Officers is attached as </w:t>
      </w:r>
      <w:r>
        <w:rPr>
          <w:rFonts w:ascii="Arial" w:cs="Arial" w:eastAsia="Arial" w:hAnsi="Arial"/>
          <w:sz w:val="17"/>
          <w:szCs w:val="17"/>
          <w:b w:val="1"/>
          <w:bCs w:val="1"/>
          <w:color w:val="auto"/>
        </w:rPr>
        <w:t>Exhibit A</w:t>
      </w:r>
      <w:r>
        <w:rPr>
          <w:rFonts w:ascii="Arial" w:cs="Arial" w:eastAsia="Arial" w:hAnsi="Arial"/>
          <w:sz w:val="17"/>
          <w:szCs w:val="17"/>
          <w:color w:val="auto"/>
        </w:rPr>
        <w:t>.</w:t>
      </w:r>
    </w:p>
    <w:p>
      <w:pPr>
        <w:spacing w:after="0" w:line="57"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color w:val="auto"/>
        </w:rPr>
        <w:t xml:space="preserve">Group has also maintained a comprehensive Code of Ethics and Conduct </w:t>
      </w:r>
      <w:r>
        <w:rPr>
          <w:rFonts w:ascii="Arial" w:cs="Arial" w:eastAsia="Arial" w:hAnsi="Arial"/>
          <w:sz w:val="18"/>
          <w:szCs w:val="18"/>
          <w:b w:val="1"/>
          <w:bCs w:val="1"/>
          <w:color w:val="auto"/>
        </w:rPr>
        <w:t>(</w:t>
      </w:r>
      <w:r>
        <w:rPr>
          <w:rFonts w:ascii="Arial" w:cs="Arial" w:eastAsia="Arial" w:hAnsi="Arial"/>
          <w:sz w:val="18"/>
          <w:szCs w:val="18"/>
          <w:color w:val="auto"/>
        </w:rPr>
        <w:t xml:space="preserve">the </w:t>
      </w:r>
      <w:r>
        <w:rPr>
          <w:rFonts w:ascii="Arial" w:cs="Arial" w:eastAsia="Arial" w:hAnsi="Arial"/>
          <w:sz w:val="18"/>
          <w:szCs w:val="18"/>
          <w:b w:val="1"/>
          <w:bCs w:val="1"/>
          <w:color w:val="auto"/>
        </w:rPr>
        <w:t>“Group Code”)</w:t>
      </w:r>
      <w:r>
        <w:rPr>
          <w:rFonts w:ascii="Arial" w:cs="Arial" w:eastAsia="Arial" w:hAnsi="Arial"/>
          <w:sz w:val="18"/>
          <w:szCs w:val="18"/>
          <w:color w:val="auto"/>
        </w:rPr>
        <w:t xml:space="preserve"> since 1972, which applies to all officers, directors and employees of Group and its affiliates.</w:t>
      </w:r>
    </w:p>
    <w:p>
      <w:pPr>
        <w:spacing w:after="0" w:line="5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xml:space="preserve">As mandated by the Act, the Price Funds have also adopted a Code </w:t>
      </w:r>
      <w:r>
        <w:rPr>
          <w:rFonts w:ascii="Arial" w:cs="Arial" w:eastAsia="Arial" w:hAnsi="Arial"/>
          <w:sz w:val="18"/>
          <w:szCs w:val="18"/>
          <w:b w:val="1"/>
          <w:bCs w:val="1"/>
          <w:color w:val="auto"/>
        </w:rPr>
        <w:t>(</w:t>
      </w:r>
      <w:r>
        <w:rPr>
          <w:rFonts w:ascii="Arial" w:cs="Arial" w:eastAsia="Arial" w:hAnsi="Arial"/>
          <w:sz w:val="18"/>
          <w:szCs w:val="18"/>
          <w:color w:val="auto"/>
        </w:rPr>
        <w:t xml:space="preserve">the </w:t>
      </w:r>
      <w:r>
        <w:rPr>
          <w:rFonts w:ascii="Arial" w:cs="Arial" w:eastAsia="Arial" w:hAnsi="Arial"/>
          <w:sz w:val="18"/>
          <w:szCs w:val="18"/>
          <w:b w:val="1"/>
          <w:bCs w:val="1"/>
          <w:color w:val="auto"/>
        </w:rPr>
        <w:t>“Price Funds S-O Code”)</w:t>
      </w:r>
      <w:r>
        <w:rPr>
          <w:rFonts w:ascii="Arial" w:cs="Arial" w:eastAsia="Arial" w:hAnsi="Arial"/>
          <w:sz w:val="18"/>
          <w:szCs w:val="18"/>
          <w:color w:val="auto"/>
        </w:rPr>
        <w:t xml:space="preserve">, similar to the Group S-O Code, which applies solely to the principal executive and senior financial officers of the Price Funds. The </w:t>
      </w:r>
      <w:r>
        <w:rPr>
          <w:rFonts w:ascii="Arial" w:cs="Arial" w:eastAsia="Arial" w:hAnsi="Arial"/>
          <w:sz w:val="18"/>
          <w:szCs w:val="18"/>
          <w:b w:val="1"/>
          <w:bCs w:val="1"/>
          <w:color w:val="auto"/>
        </w:rPr>
        <w:t>“Price Funds”</w:t>
      </w:r>
      <w:r>
        <w:rPr>
          <w:rFonts w:ascii="Arial" w:cs="Arial" w:eastAsia="Arial" w:hAnsi="Arial"/>
          <w:sz w:val="18"/>
          <w:szCs w:val="18"/>
          <w:color w:val="auto"/>
        </w:rPr>
        <w:t xml:space="preserve"> include each mutual fund that is managed, sponsored and distributed by affiliates of Group</w:t>
      </w:r>
      <w:r>
        <w:rPr>
          <w:rFonts w:ascii="Arial" w:cs="Arial" w:eastAsia="Arial" w:hAnsi="Arial"/>
          <w:sz w:val="18"/>
          <w:szCs w:val="18"/>
          <w:b w:val="1"/>
          <w:bCs w:val="1"/>
          <w:color w:val="auto"/>
        </w:rPr>
        <w:t>.</w:t>
      </w:r>
      <w:r>
        <w:rPr>
          <w:rFonts w:ascii="Arial" w:cs="Arial" w:eastAsia="Arial" w:hAnsi="Arial"/>
          <w:sz w:val="18"/>
          <w:szCs w:val="18"/>
          <w:color w:val="auto"/>
        </w:rPr>
        <w:t xml:space="preserve"> The investment managers to the Price Funds will be referred to as the </w:t>
      </w:r>
      <w:r>
        <w:rPr>
          <w:rFonts w:ascii="Arial" w:cs="Arial" w:eastAsia="Arial" w:hAnsi="Arial"/>
          <w:sz w:val="18"/>
          <w:szCs w:val="18"/>
          <w:b w:val="1"/>
          <w:bCs w:val="1"/>
          <w:color w:val="auto"/>
        </w:rPr>
        <w:t>“Price Fund Advisers”.</w:t>
      </w:r>
      <w:r>
        <w:rPr>
          <w:rFonts w:ascii="Arial" w:cs="Arial" w:eastAsia="Arial" w:hAnsi="Arial"/>
          <w:sz w:val="18"/>
          <w:szCs w:val="18"/>
          <w:color w:val="auto"/>
        </w:rPr>
        <w:t xml:space="preserve"> The Group S-O Code and the Price Funds S-O Code will be referred to collectively as the </w:t>
      </w:r>
      <w:r>
        <w:rPr>
          <w:rFonts w:ascii="Arial" w:cs="Arial" w:eastAsia="Arial" w:hAnsi="Arial"/>
          <w:sz w:val="18"/>
          <w:szCs w:val="18"/>
          <w:b w:val="1"/>
          <w:bCs w:val="1"/>
          <w:color w:val="auto"/>
        </w:rPr>
        <w:t>“S-O Codes"</w:t>
      </w:r>
      <w:r>
        <w:rPr>
          <w:rFonts w:ascii="Arial" w:cs="Arial" w:eastAsia="Arial" w:hAnsi="Arial"/>
          <w:sz w:val="18"/>
          <w:szCs w:val="18"/>
          <w:color w:val="auto"/>
        </w:rPr>
        <w:t>.</w:t>
      </w:r>
    </w:p>
    <w:p>
      <w:pPr>
        <w:spacing w:after="0" w:line="7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Group S-O Code has been adopted by Group in accordance with the Act and Regulations thereunder, and will be administered in conformity with the disclosure requirements of Section 229.406 of the Code of Federal Regulations. The S-O Codes are attachments to the Group Code. In many respects the S-O Codes are supplementary to the Group Code, but the Group Code is administered separately from the S-O Codes, as the S-O Codes are from each other.</w:t>
      </w:r>
    </w:p>
    <w:p>
      <w:pPr>
        <w:spacing w:after="0" w:line="35" w:lineRule="exact"/>
        <w:rPr>
          <w:sz w:val="20"/>
          <w:szCs w:val="20"/>
          <w:color w:val="auto"/>
        </w:rPr>
      </w:pPr>
    </w:p>
    <w:p>
      <w:pPr>
        <w:ind w:right="440" w:firstLine="8"/>
        <w:spacing w:after="0" w:line="282" w:lineRule="auto"/>
        <w:tabs>
          <w:tab w:leader="none" w:pos="23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of the Group S-O Code. </w:t>
      </w:r>
      <w:r>
        <w:rPr>
          <w:rFonts w:ascii="Arial" w:cs="Arial" w:eastAsia="Arial" w:hAnsi="Arial"/>
          <w:sz w:val="18"/>
          <w:szCs w:val="18"/>
          <w:color w:val="auto"/>
        </w:rPr>
        <w:t>The purpose of the Group S-O Code, as mandated by the Act and the Regulations is to establish standards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designed to deter wrongdoing and to promote:</w:t>
      </w:r>
    </w:p>
    <w:p>
      <w:pPr>
        <w:spacing w:after="0" w:line="54" w:lineRule="exact"/>
        <w:rPr>
          <w:sz w:val="20"/>
          <w:szCs w:val="20"/>
          <w:color w:val="auto"/>
        </w:rPr>
      </w:pPr>
    </w:p>
    <w:p>
      <w:pPr>
        <w:ind w:left="220" w:right="160"/>
        <w:spacing w:after="0" w:line="282" w:lineRule="auto"/>
        <w:rPr>
          <w:sz w:val="20"/>
          <w:szCs w:val="20"/>
          <w:color w:val="auto"/>
        </w:rPr>
      </w:pPr>
      <w:r>
        <w:rPr>
          <w:rFonts w:ascii="Arial" w:cs="Arial" w:eastAsia="Arial" w:hAnsi="Arial"/>
          <w:sz w:val="18"/>
          <w:szCs w:val="18"/>
          <w:b w:val="1"/>
          <w:bCs w:val="1"/>
          <w:color w:val="auto"/>
        </w:rPr>
        <w:t xml:space="preserve">Ethical Conduct. </w:t>
      </w:r>
      <w:r>
        <w:rPr>
          <w:rFonts w:ascii="Arial" w:cs="Arial" w:eastAsia="Arial" w:hAnsi="Arial"/>
          <w:sz w:val="18"/>
          <w:szCs w:val="18"/>
          <w:color w:val="auto"/>
        </w:rPr>
        <w:t>Honest and ethical conduct, including the ethical handling of actual or apparent conflicts of interest between personal and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w:t>
      </w:r>
    </w:p>
    <w:p>
      <w:pPr>
        <w:spacing w:after="0" w:line="67" w:lineRule="exact"/>
        <w:rPr>
          <w:sz w:val="20"/>
          <w:szCs w:val="20"/>
          <w:color w:val="auto"/>
        </w:rPr>
      </w:pPr>
    </w:p>
    <w:p>
      <w:pPr>
        <w:ind w:left="220" w:right="220"/>
        <w:spacing w:after="0" w:line="282" w:lineRule="auto"/>
        <w:rPr>
          <w:sz w:val="20"/>
          <w:szCs w:val="20"/>
          <w:color w:val="auto"/>
        </w:rPr>
      </w:pPr>
      <w:r>
        <w:rPr>
          <w:rFonts w:ascii="Arial" w:cs="Arial" w:eastAsia="Arial" w:hAnsi="Arial"/>
          <w:sz w:val="18"/>
          <w:szCs w:val="18"/>
          <w:b w:val="1"/>
          <w:bCs w:val="1"/>
          <w:color w:val="auto"/>
        </w:rPr>
        <w:t>Disclosure</w:t>
      </w:r>
      <w:r>
        <w:rPr>
          <w:rFonts w:ascii="Arial" w:cs="Arial" w:eastAsia="Arial" w:hAnsi="Arial"/>
          <w:sz w:val="18"/>
          <w:szCs w:val="18"/>
          <w:color w:val="auto"/>
        </w:rPr>
        <w:t>. Full, fair, accurate, timely and understandable disclosure in reports and documents that Group files with, or submits to, the SEC and in other</w:t>
      </w:r>
      <w:r>
        <w:rPr>
          <w:rFonts w:ascii="Arial" w:cs="Arial" w:eastAsia="Arial" w:hAnsi="Arial"/>
          <w:sz w:val="18"/>
          <w:szCs w:val="18"/>
          <w:b w:val="1"/>
          <w:bCs w:val="1"/>
          <w:color w:val="auto"/>
        </w:rPr>
        <w:t xml:space="preserve"> </w:t>
      </w:r>
      <w:r>
        <w:rPr>
          <w:rFonts w:ascii="Arial" w:cs="Arial" w:eastAsia="Arial" w:hAnsi="Arial"/>
          <w:sz w:val="18"/>
          <w:szCs w:val="18"/>
          <w:color w:val="auto"/>
        </w:rPr>
        <w:t>public communications made by Group.</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Compliance. </w:t>
      </w:r>
      <w:r>
        <w:rPr>
          <w:rFonts w:ascii="Arial" w:cs="Arial" w:eastAsia="Arial" w:hAnsi="Arial"/>
          <w:sz w:val="18"/>
          <w:szCs w:val="18"/>
          <w:color w:val="auto"/>
        </w:rPr>
        <w:t>Compliance with applicable governmental laws, rules and regulations.</w:t>
      </w:r>
    </w:p>
    <w:p>
      <w:pPr>
        <w:spacing w:after="0" w:line="117" w:lineRule="exact"/>
        <w:rPr>
          <w:sz w:val="20"/>
          <w:szCs w:val="20"/>
          <w:color w:val="auto"/>
        </w:rPr>
      </w:pPr>
    </w:p>
    <w:p>
      <w:pPr>
        <w:ind w:left="220" w:right="20"/>
        <w:spacing w:after="0" w:line="282" w:lineRule="auto"/>
        <w:rPr>
          <w:sz w:val="20"/>
          <w:szCs w:val="20"/>
          <w:color w:val="auto"/>
        </w:rPr>
      </w:pPr>
      <w:r>
        <w:rPr>
          <w:rFonts w:ascii="Arial" w:cs="Arial" w:eastAsia="Arial" w:hAnsi="Arial"/>
          <w:sz w:val="18"/>
          <w:szCs w:val="18"/>
          <w:b w:val="1"/>
          <w:bCs w:val="1"/>
          <w:color w:val="auto"/>
        </w:rPr>
        <w:t xml:space="preserve">Reporting of Violations. </w:t>
      </w:r>
      <w:r>
        <w:rPr>
          <w:rFonts w:ascii="Arial" w:cs="Arial" w:eastAsia="Arial" w:hAnsi="Arial"/>
          <w:sz w:val="18"/>
          <w:szCs w:val="18"/>
          <w:color w:val="auto"/>
        </w:rPr>
        <w:t>The prompt internal reporting of violations of the Group S-O Code to an appropriate person or persons identified in the Group S-O Code.</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Accountability. </w:t>
      </w:r>
      <w:r>
        <w:rPr>
          <w:rFonts w:ascii="Arial" w:cs="Arial" w:eastAsia="Arial" w:hAnsi="Arial"/>
          <w:sz w:val="18"/>
          <w:szCs w:val="18"/>
          <w:color w:val="auto"/>
        </w:rPr>
        <w:t>Accountability for adherence to the Group S-O Code.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Covered Officers Should Handle Ethically Actual and Apparent Conflicts of Interest.</w:t>
      </w:r>
    </w:p>
    <w:p>
      <w:pPr>
        <w:spacing w:after="0" w:line="11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Each Covered Officer owes a duty to Group to adhere to a high standard of honesty and business ethics and should be sensitive to situations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may give rise to actual as well as apparent conflicts of interest.</w:t>
      </w:r>
    </w:p>
    <w:p>
      <w:pPr>
        <w:spacing w:after="0" w:line="5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“conflict of interest” occurs when a Covered Officer’s private interest interferes with the interests of, or his or her service to, Group. For example, a conflict of interest would arise if a Covered Officer, or a member of his or her family, receives improper personal benefits as a result of his or her position with Group.</w:t>
      </w:r>
    </w:p>
    <w:p>
      <w:pPr>
        <w:spacing w:after="0" w:line="1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Certain conflicts of interest covered by the Group S-O Code may already be subject to provisions regulating conflicts of interest in the Investment Company Act of 1940 </w:t>
      </w:r>
      <w:r>
        <w:rPr>
          <w:rFonts w:ascii="Arial" w:cs="Arial" w:eastAsia="Arial" w:hAnsi="Arial"/>
          <w:sz w:val="17"/>
          <w:szCs w:val="17"/>
          <w:b w:val="1"/>
          <w:bCs w:val="1"/>
          <w:color w:val="auto"/>
        </w:rPr>
        <w:t>(“Investment Company Act”)</w:t>
      </w:r>
      <w:r>
        <w:rPr>
          <w:rFonts w:ascii="Arial" w:cs="Arial" w:eastAsia="Arial" w:hAnsi="Arial"/>
          <w:sz w:val="17"/>
          <w:szCs w:val="17"/>
          <w:color w:val="auto"/>
        </w:rPr>
        <w:t xml:space="preserve">, the Investment Advisers Act of 1940 </w:t>
      </w:r>
      <w:r>
        <w:rPr>
          <w:rFonts w:ascii="Arial" w:cs="Arial" w:eastAsia="Arial" w:hAnsi="Arial"/>
          <w:sz w:val="17"/>
          <w:szCs w:val="17"/>
          <w:b w:val="1"/>
          <w:bCs w:val="1"/>
          <w:color w:val="auto"/>
        </w:rPr>
        <w:t>(“Investment Advisers Act”)</w:t>
      </w:r>
      <w:r>
        <w:rPr>
          <w:rFonts w:ascii="Arial" w:cs="Arial" w:eastAsia="Arial" w:hAnsi="Arial"/>
          <w:sz w:val="17"/>
          <w:szCs w:val="17"/>
          <w:color w:val="auto"/>
        </w:rPr>
        <w:t xml:space="preserve"> and the Group Code. The compliance programs and procedures of Group and its affiliates are designed to prevent, or identify and correct, violations of these provisions.</w:t>
      </w:r>
    </w:p>
    <w:p>
      <w:pPr>
        <w:spacing w:after="0" w:line="57"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Although typically not presenting an opportunity for improper personal benefit, conflicts may arise from, or as a result of, the contractual relationship between a Price Fund and its Price Fund Adviser of which the Covered Officers may also be officers or employees. As a result, the Group S-O Code recognizes that the Covered Officers may, in the normal course of their duties (whether formally for the Price Funds or for the Price Fund Advisers or for both), be involved in establishing policies and implementing decisions which will have different effects on these entities. The participation of the Covered Officers in such activities is inherent in the contractual relationship between each Price Fund and its respective Price Fund Adviser</w:t>
      </w:r>
    </w:p>
    <w:p>
      <w:pPr>
        <w:spacing w:after="0" w:line="5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Other conflicts of interest are covered by the Group S-O Code, even if these conflicts of interest are not addressed by or subject to provisions in the Investment Company Act and the Investment Advisers Act.</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Whenever a Covered Officer is confronted with a conflict of interest situation where he or she is uncertain as to the appropriate action to be taken, he or she should discuss the matter with the Chairperson of Group’s Ethics Committee or another member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 xml:space="preserve">Handling of Specific Types of Conflicts. </w:t>
      </w:r>
      <w:r>
        <w:rPr>
          <w:rFonts w:ascii="Arial" w:cs="Arial" w:eastAsia="Arial" w:hAnsi="Arial"/>
          <w:sz w:val="18"/>
          <w:szCs w:val="18"/>
          <w:color w:val="auto"/>
        </w:rPr>
        <w:t>Each Covered Officer (and close family member) must not:</w:t>
      </w:r>
    </w:p>
    <w:p>
      <w:pPr>
        <w:spacing w:after="0" w:line="117" w:lineRule="exact"/>
        <w:rPr>
          <w:sz w:val="20"/>
          <w:szCs w:val="20"/>
          <w:color w:val="auto"/>
        </w:rPr>
      </w:pPr>
    </w:p>
    <w:p>
      <w:pPr>
        <w:ind w:left="220" w:right="40"/>
        <w:spacing w:after="0" w:line="266" w:lineRule="auto"/>
        <w:rPr>
          <w:sz w:val="20"/>
          <w:szCs w:val="20"/>
          <w:color w:val="auto"/>
        </w:rPr>
      </w:pPr>
      <w:r>
        <w:rPr>
          <w:rFonts w:ascii="Arial" w:cs="Arial" w:eastAsia="Arial" w:hAnsi="Arial"/>
          <w:sz w:val="18"/>
          <w:szCs w:val="18"/>
          <w:b w:val="1"/>
          <w:bCs w:val="1"/>
          <w:color w:val="auto"/>
        </w:rPr>
        <w:t xml:space="preserve">Entertainment. </w:t>
      </w:r>
      <w:r>
        <w:rPr>
          <w:rFonts w:ascii="Arial" w:cs="Arial" w:eastAsia="Arial" w:hAnsi="Arial"/>
          <w:sz w:val="18"/>
          <w:szCs w:val="18"/>
          <w:color w:val="auto"/>
        </w:rPr>
        <w:t>Accept entertainment from any company with which Group or any of its affiliates (including any Price Fund) has current or prospective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dealings, including portfolio companies, unless such entertainment is in full compliance with the policy on entertainment as set forth in the Group Code.</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Gifts. </w:t>
      </w:r>
      <w:r>
        <w:rPr>
          <w:rFonts w:ascii="Arial" w:cs="Arial" w:eastAsia="Arial" w:hAnsi="Arial"/>
          <w:sz w:val="18"/>
          <w:szCs w:val="18"/>
          <w:color w:val="auto"/>
        </w:rPr>
        <w:t>Accept any gifts, except as permitted by the Group Code.</w:t>
      </w:r>
    </w:p>
    <w:p>
      <w:pPr>
        <w:spacing w:after="0" w:line="131" w:lineRule="exact"/>
        <w:rPr>
          <w:sz w:val="20"/>
          <w:szCs w:val="20"/>
          <w:color w:val="auto"/>
        </w:rPr>
      </w:pPr>
    </w:p>
    <w:p>
      <w:pPr>
        <w:ind w:left="220" w:right="520"/>
        <w:spacing w:after="0" w:line="282" w:lineRule="auto"/>
        <w:rPr>
          <w:sz w:val="20"/>
          <w:szCs w:val="20"/>
          <w:color w:val="auto"/>
        </w:rPr>
      </w:pPr>
      <w:r>
        <w:rPr>
          <w:rFonts w:ascii="Arial" w:cs="Arial" w:eastAsia="Arial" w:hAnsi="Arial"/>
          <w:sz w:val="18"/>
          <w:szCs w:val="18"/>
          <w:b w:val="1"/>
          <w:bCs w:val="1"/>
          <w:color w:val="auto"/>
        </w:rPr>
        <w:t xml:space="preserve">Improper Personal Influence. </w:t>
      </w:r>
      <w:r>
        <w:rPr>
          <w:rFonts w:ascii="Arial" w:cs="Arial" w:eastAsia="Arial" w:hAnsi="Arial"/>
          <w:sz w:val="18"/>
          <w:szCs w:val="18"/>
          <w:color w:val="auto"/>
        </w:rPr>
        <w:t>Use his or her personal influence or personal relationships improperly to influence corporate decisions and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to the detriment of Group or of its affiliates.</w:t>
      </w:r>
    </w:p>
    <w:p>
      <w:pPr>
        <w:spacing w:after="0" w:line="67" w:lineRule="exact"/>
        <w:rPr>
          <w:sz w:val="20"/>
          <w:szCs w:val="20"/>
          <w:color w:val="auto"/>
        </w:rPr>
      </w:pPr>
    </w:p>
    <w:p>
      <w:pPr>
        <w:ind w:left="220" w:right="60"/>
        <w:spacing w:after="0" w:line="282" w:lineRule="auto"/>
        <w:rPr>
          <w:sz w:val="20"/>
          <w:szCs w:val="20"/>
          <w:color w:val="auto"/>
        </w:rPr>
      </w:pPr>
      <w:r>
        <w:rPr>
          <w:rFonts w:ascii="Arial" w:cs="Arial" w:eastAsia="Arial" w:hAnsi="Arial"/>
          <w:sz w:val="18"/>
          <w:szCs w:val="18"/>
          <w:b w:val="1"/>
          <w:bCs w:val="1"/>
          <w:color w:val="auto"/>
        </w:rPr>
        <w:t xml:space="preserve">Taking Action at the Expense of Group. </w:t>
      </w:r>
      <w:r>
        <w:rPr>
          <w:rFonts w:ascii="Arial" w:cs="Arial" w:eastAsia="Arial" w:hAnsi="Arial"/>
          <w:sz w:val="18"/>
          <w:szCs w:val="18"/>
          <w:color w:val="auto"/>
        </w:rPr>
        <w:t>Cause Group or any affiliate to take action, or fail to take action, for the personal benefit of the Covered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rather than for the benefit of Group or its affiliates.</w:t>
      </w:r>
    </w:p>
    <w:p>
      <w:pPr>
        <w:spacing w:after="0" w:line="67" w:lineRule="exact"/>
        <w:rPr>
          <w:sz w:val="20"/>
          <w:szCs w:val="20"/>
          <w:color w:val="auto"/>
        </w:rPr>
      </w:pPr>
    </w:p>
    <w:p>
      <w:pPr>
        <w:ind w:left="220" w:right="280"/>
        <w:spacing w:after="0" w:line="282" w:lineRule="auto"/>
        <w:rPr>
          <w:sz w:val="20"/>
          <w:szCs w:val="20"/>
          <w:color w:val="auto"/>
        </w:rPr>
      </w:pPr>
      <w:r>
        <w:rPr>
          <w:rFonts w:ascii="Arial" w:cs="Arial" w:eastAsia="Arial" w:hAnsi="Arial"/>
          <w:sz w:val="18"/>
          <w:szCs w:val="18"/>
          <w:b w:val="1"/>
          <w:bCs w:val="1"/>
          <w:color w:val="auto"/>
        </w:rPr>
        <w:t xml:space="preserve">Misuse of Inside Information Regarding Group. </w:t>
      </w:r>
      <w:r>
        <w:rPr>
          <w:rFonts w:ascii="Arial" w:cs="Arial" w:eastAsia="Arial" w:hAnsi="Arial"/>
          <w:sz w:val="18"/>
          <w:szCs w:val="18"/>
          <w:color w:val="auto"/>
        </w:rPr>
        <w:t>Use material, non-public information about Group in violation of the Group Code and/or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w:t>
      </w:r>
    </w:p>
    <w:p>
      <w:pPr>
        <w:spacing w:after="0" w:line="67" w:lineRule="exact"/>
        <w:rPr>
          <w:sz w:val="20"/>
          <w:szCs w:val="20"/>
          <w:color w:val="auto"/>
        </w:rPr>
      </w:pPr>
    </w:p>
    <w:p>
      <w:pPr>
        <w:ind w:left="220" w:right="660"/>
        <w:spacing w:after="0" w:line="282" w:lineRule="auto"/>
        <w:rPr>
          <w:sz w:val="20"/>
          <w:szCs w:val="20"/>
          <w:color w:val="auto"/>
        </w:rPr>
      </w:pPr>
      <w:r>
        <w:rPr>
          <w:rFonts w:ascii="Arial" w:cs="Arial" w:eastAsia="Arial" w:hAnsi="Arial"/>
          <w:sz w:val="18"/>
          <w:szCs w:val="18"/>
          <w:b w:val="1"/>
          <w:bCs w:val="1"/>
          <w:color w:val="auto"/>
        </w:rPr>
        <w:t xml:space="preserve">Outside Business Activities. </w:t>
      </w:r>
      <w:r>
        <w:rPr>
          <w:rFonts w:ascii="Arial" w:cs="Arial" w:eastAsia="Arial" w:hAnsi="Arial"/>
          <w:sz w:val="18"/>
          <w:szCs w:val="18"/>
          <w:color w:val="auto"/>
        </w:rPr>
        <w:t>Engage in any outside business activity that detracts from a Covered Officer’s ability to devote appropriate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attention to his or her responsibilities to Group.</w:t>
      </w:r>
    </w:p>
    <w:p>
      <w:pPr>
        <w:spacing w:after="0" w:line="67" w:lineRule="exact"/>
        <w:rPr>
          <w:sz w:val="20"/>
          <w:szCs w:val="20"/>
          <w:color w:val="auto"/>
        </w:rPr>
      </w:pPr>
    </w:p>
    <w:p>
      <w:pPr>
        <w:ind w:left="220" w:right="480"/>
        <w:spacing w:after="0" w:line="282" w:lineRule="auto"/>
        <w:rPr>
          <w:sz w:val="20"/>
          <w:szCs w:val="20"/>
          <w:color w:val="auto"/>
        </w:rPr>
      </w:pPr>
      <w:r>
        <w:rPr>
          <w:rFonts w:ascii="Arial" w:cs="Arial" w:eastAsia="Arial" w:hAnsi="Arial"/>
          <w:sz w:val="18"/>
          <w:szCs w:val="18"/>
          <w:b w:val="1"/>
          <w:bCs w:val="1"/>
          <w:color w:val="auto"/>
        </w:rPr>
        <w:t xml:space="preserve">Service Providers. </w:t>
      </w:r>
      <w:r>
        <w:rPr>
          <w:rFonts w:ascii="Arial" w:cs="Arial" w:eastAsia="Arial" w:hAnsi="Arial"/>
          <w:sz w:val="18"/>
          <w:szCs w:val="18"/>
          <w:color w:val="auto"/>
        </w:rPr>
        <w:t>Excluding Group and its affiliates, have any ownership interest in, or any consulting or employment relationship with,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of Group or any of its affiliates, except that an ownership interest in public companies is permitted.</w:t>
      </w:r>
    </w:p>
    <w:p>
      <w:pPr>
        <w:spacing w:after="0" w:line="67" w:lineRule="exact"/>
        <w:rPr>
          <w:sz w:val="20"/>
          <w:szCs w:val="20"/>
          <w:color w:val="auto"/>
        </w:rPr>
      </w:pPr>
    </w:p>
    <w:p>
      <w:pPr>
        <w:ind w:left="220" w:right="740"/>
        <w:spacing w:after="0" w:line="282" w:lineRule="auto"/>
        <w:rPr>
          <w:sz w:val="20"/>
          <w:szCs w:val="20"/>
          <w:color w:val="auto"/>
        </w:rPr>
      </w:pPr>
      <w:r>
        <w:rPr>
          <w:rFonts w:ascii="Arial" w:cs="Arial" w:eastAsia="Arial" w:hAnsi="Arial"/>
          <w:sz w:val="18"/>
          <w:szCs w:val="18"/>
          <w:b w:val="1"/>
          <w:bCs w:val="1"/>
          <w:color w:val="auto"/>
        </w:rPr>
        <w:t xml:space="preserve">Receipt of Payments. </w:t>
      </w:r>
      <w:r>
        <w:rPr>
          <w:rFonts w:ascii="Arial" w:cs="Arial" w:eastAsia="Arial" w:hAnsi="Arial"/>
          <w:sz w:val="18"/>
          <w:szCs w:val="18"/>
          <w:color w:val="auto"/>
        </w:rPr>
        <w:t>Have a direct or indirect financial interest in commissions, transaction charges or other payments paid to or by a vendor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transaction with Group or its affiliates.</w:t>
      </w:r>
    </w:p>
    <w:p>
      <w:pPr>
        <w:spacing w:after="0" w:line="67" w:lineRule="exact"/>
        <w:rPr>
          <w:sz w:val="20"/>
          <w:szCs w:val="20"/>
          <w:color w:val="auto"/>
        </w:rPr>
      </w:pPr>
    </w:p>
    <w:p>
      <w:pPr>
        <w:ind w:left="220" w:right="80"/>
        <w:spacing w:after="0" w:line="282" w:lineRule="auto"/>
        <w:rPr>
          <w:sz w:val="20"/>
          <w:szCs w:val="20"/>
          <w:color w:val="auto"/>
        </w:rPr>
      </w:pPr>
      <w:r>
        <w:rPr>
          <w:rFonts w:ascii="Arial" w:cs="Arial" w:eastAsia="Arial" w:hAnsi="Arial"/>
          <w:sz w:val="18"/>
          <w:szCs w:val="18"/>
          <w:b w:val="1"/>
          <w:bCs w:val="1"/>
          <w:color w:val="auto"/>
        </w:rPr>
        <w:t xml:space="preserve">Service as a Director or Trustee. </w:t>
      </w:r>
      <w:r>
        <w:rPr>
          <w:rFonts w:ascii="Arial" w:cs="Arial" w:eastAsia="Arial" w:hAnsi="Arial"/>
          <w:sz w:val="18"/>
          <w:szCs w:val="18"/>
          <w:color w:val="auto"/>
        </w:rPr>
        <w:t>Serve as a director, trustee or officer of any public or private company or a non-profit organization that issues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for purchase by any client of an affiliate of Group, unless approval is obtained as required by the Group Code.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Covered Officers’ Specific Obligations and Accountabilities.</w:t>
      </w:r>
    </w:p>
    <w:p>
      <w:pPr>
        <w:spacing w:after="0" w:line="117" w:lineRule="exact"/>
        <w:rPr>
          <w:sz w:val="20"/>
          <w:szCs w:val="20"/>
          <w:color w:val="auto"/>
        </w:rPr>
      </w:pPr>
    </w:p>
    <w:p>
      <w:pPr>
        <w:ind w:right="220" w:firstLine="225"/>
        <w:spacing w:after="0" w:line="347" w:lineRule="auto"/>
        <w:rPr>
          <w:sz w:val="20"/>
          <w:szCs w:val="20"/>
          <w:color w:val="auto"/>
        </w:rPr>
      </w:pPr>
      <w:r>
        <w:rPr>
          <w:rFonts w:ascii="Arial" w:cs="Arial" w:eastAsia="Arial" w:hAnsi="Arial"/>
          <w:sz w:val="16"/>
          <w:szCs w:val="16"/>
          <w:b w:val="1"/>
          <w:bCs w:val="1"/>
          <w:color w:val="auto"/>
        </w:rPr>
        <w:t xml:space="preserve">A. Disclosure Requirements and Controls. </w:t>
      </w:r>
      <w:r>
        <w:rPr>
          <w:rFonts w:ascii="Arial" w:cs="Arial" w:eastAsia="Arial" w:hAnsi="Arial"/>
          <w:sz w:val="16"/>
          <w:szCs w:val="16"/>
          <w:color w:val="auto"/>
        </w:rPr>
        <w:t>Each Covered Officer must familiarize himself or herself with the disclosure requirements of the federal</w:t>
      </w:r>
      <w:r>
        <w:rPr>
          <w:rFonts w:ascii="Arial" w:cs="Arial" w:eastAsia="Arial" w:hAnsi="Arial"/>
          <w:sz w:val="16"/>
          <w:szCs w:val="16"/>
          <w:b w:val="1"/>
          <w:bCs w:val="1"/>
          <w:color w:val="auto"/>
        </w:rPr>
        <w:t xml:space="preserve"> </w:t>
      </w:r>
      <w:r>
        <w:rPr>
          <w:rFonts w:ascii="Arial" w:cs="Arial" w:eastAsia="Arial" w:hAnsi="Arial"/>
          <w:sz w:val="16"/>
          <w:szCs w:val="16"/>
          <w:color w:val="auto"/>
        </w:rPr>
        <w:t>proxy rules (Schedule 14A), shareholder reports, Forms 8-K, 10-K and 10-Q, etc. applicable to Group and the disclosure controls and procedures of Group.</w:t>
      </w:r>
    </w:p>
    <w:p>
      <w:pPr>
        <w:spacing w:after="0" w:line="8" w:lineRule="exact"/>
        <w:rPr>
          <w:sz w:val="20"/>
          <w:szCs w:val="20"/>
          <w:color w:val="auto"/>
        </w:rPr>
      </w:pPr>
    </w:p>
    <w:p>
      <w:pPr>
        <w:ind w:right="240" w:firstLine="225"/>
        <w:spacing w:after="0" w:line="303" w:lineRule="auto"/>
        <w:rPr>
          <w:sz w:val="20"/>
          <w:szCs w:val="20"/>
          <w:color w:val="auto"/>
        </w:rPr>
      </w:pPr>
      <w:r>
        <w:rPr>
          <w:rFonts w:ascii="Arial" w:cs="Arial" w:eastAsia="Arial" w:hAnsi="Arial"/>
          <w:sz w:val="16"/>
          <w:szCs w:val="16"/>
          <w:b w:val="1"/>
          <w:bCs w:val="1"/>
          <w:color w:val="auto"/>
        </w:rPr>
        <w:t xml:space="preserve">B. Compliance with Applicable Law. </w:t>
      </w:r>
      <w:r>
        <w:rPr>
          <w:rFonts w:ascii="Arial" w:cs="Arial" w:eastAsia="Arial" w:hAnsi="Arial"/>
          <w:sz w:val="16"/>
          <w:szCs w:val="16"/>
          <w:color w:val="auto"/>
        </w:rPr>
        <w:t>It is the responsibility of each Covered Officer to promote compliance with all laws, 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Group and its affiliates. Each Covered Officer should, to the extent appropriate within his or her area of responsibility, consult with other officers and employees of Group and its affiliates and take other appropriate steps with the goal of promoting full, fair, accurate, timely and understandable disclosure in the reports and documents Group files with, or submits to, the SEC, and in other public communications made by Group.</w:t>
      </w:r>
    </w:p>
    <w:p>
      <w:pPr>
        <w:spacing w:after="0" w:line="43" w:lineRule="exact"/>
        <w:rPr>
          <w:sz w:val="20"/>
          <w:szCs w:val="20"/>
          <w:color w:val="auto"/>
        </w:rPr>
      </w:pPr>
    </w:p>
    <w:p>
      <w:pPr>
        <w:ind w:right="80" w:firstLine="225"/>
        <w:spacing w:after="0" w:line="266" w:lineRule="auto"/>
        <w:rPr>
          <w:sz w:val="20"/>
          <w:szCs w:val="20"/>
          <w:color w:val="auto"/>
        </w:rPr>
      </w:pPr>
      <w:r>
        <w:rPr>
          <w:rFonts w:ascii="Arial" w:cs="Arial" w:eastAsia="Arial" w:hAnsi="Arial"/>
          <w:sz w:val="18"/>
          <w:szCs w:val="18"/>
          <w:b w:val="1"/>
          <w:bCs w:val="1"/>
          <w:color w:val="auto"/>
        </w:rPr>
        <w:t>C. Fair Disclosure</w:t>
      </w:r>
      <w:r>
        <w:rPr>
          <w:rFonts w:ascii="Arial" w:cs="Arial" w:eastAsia="Arial" w:hAnsi="Arial"/>
          <w:sz w:val="18"/>
          <w:szCs w:val="18"/>
          <w:color w:val="auto"/>
        </w:rPr>
        <w:t>. Each Covered Officer must not knowingly misrepresent, or cause others to misrepresent, facts about Group and its affiliates to others,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within or outside the Price organization, including to Group’s directors and auditors, and to governmental regulators and self-regulatory organizations.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D. Initial and Annual Affirmations. </w:t>
      </w:r>
      <w:r>
        <w:rPr>
          <w:rFonts w:ascii="Arial" w:cs="Arial" w:eastAsia="Arial" w:hAnsi="Arial"/>
          <w:sz w:val="18"/>
          <w:szCs w:val="18"/>
          <w:color w:val="auto"/>
        </w:rPr>
        <w:t>Each Covered Officer must:</w:t>
      </w:r>
    </w:p>
    <w:p>
      <w:pPr>
        <w:spacing w:after="0" w:line="121" w:lineRule="exact"/>
        <w:rPr>
          <w:sz w:val="20"/>
          <w:szCs w:val="20"/>
          <w:color w:val="auto"/>
        </w:rPr>
      </w:pPr>
    </w:p>
    <w:p>
      <w:pPr>
        <w:ind w:left="700" w:right="60" w:hanging="246"/>
        <w:spacing w:after="0" w:line="277"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Upon adoption of the Group S-O Code (or thereafter as applicable, upon becoming a Covered Officer), affirm in writing that he or she has received, read, and understands the Group S-O Code.</w:t>
      </w:r>
    </w:p>
    <w:p>
      <w:pPr>
        <w:spacing w:after="0" w:line="75" w:lineRule="exact"/>
        <w:rPr>
          <w:rFonts w:ascii="Arial" w:cs="Arial" w:eastAsia="Arial" w:hAnsi="Arial"/>
          <w:sz w:val="18"/>
          <w:szCs w:val="18"/>
          <w:color w:val="auto"/>
        </w:rPr>
      </w:pPr>
    </w:p>
    <w:p>
      <w:pPr>
        <w:ind w:left="700" w:hanging="246"/>
        <w:spacing w:after="0"/>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Annually affirm that he or she has complied with the requirements of the Group S-O Code.</w:t>
      </w:r>
    </w:p>
    <w:p>
      <w:pPr>
        <w:spacing w:after="0" w:line="113" w:lineRule="exact"/>
        <w:rPr>
          <w:rFonts w:ascii="Arial" w:cs="Arial" w:eastAsia="Arial" w:hAnsi="Arial"/>
          <w:sz w:val="18"/>
          <w:szCs w:val="18"/>
          <w:color w:val="auto"/>
        </w:rPr>
      </w:pPr>
    </w:p>
    <w:p>
      <w:pPr>
        <w:ind w:right="60" w:firstLine="225"/>
        <w:spacing w:after="0" w:line="314" w:lineRule="auto"/>
        <w:rPr>
          <w:rFonts w:ascii="Arial" w:cs="Arial" w:eastAsia="Arial" w:hAnsi="Arial"/>
          <w:sz w:val="18"/>
          <w:szCs w:val="18"/>
          <w:color w:val="auto"/>
        </w:rPr>
      </w:pPr>
      <w:r>
        <w:rPr>
          <w:rFonts w:ascii="Arial" w:cs="Arial" w:eastAsia="Arial" w:hAnsi="Arial"/>
          <w:sz w:val="16"/>
          <w:szCs w:val="16"/>
          <w:b w:val="1"/>
          <w:bCs w:val="1"/>
          <w:color w:val="auto"/>
        </w:rPr>
        <w:t xml:space="preserve">E. Reporting of Material Violations of the Group S-O Code. </w:t>
      </w:r>
      <w:r>
        <w:rPr>
          <w:rFonts w:ascii="Arial" w:cs="Arial" w:eastAsia="Arial" w:hAnsi="Arial"/>
          <w:sz w:val="16"/>
          <w:szCs w:val="16"/>
          <w:color w:val="auto"/>
        </w:rPr>
        <w:t>If a Covered Officer becomes aware of any material violation of the Group S-O Code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laws and governmental rules and regulations applicable to the operations of Group or its affiliates, he or she must promptly report the violation </w:t>
      </w:r>
      <w:r>
        <w:rPr>
          <w:rFonts w:ascii="Arial" w:cs="Arial" w:eastAsia="Arial" w:hAnsi="Arial"/>
          <w:sz w:val="16"/>
          <w:szCs w:val="16"/>
          <w:b w:val="1"/>
          <w:bCs w:val="1"/>
          <w:color w:val="auto"/>
        </w:rPr>
        <w:t>(“Report”)</w:t>
      </w:r>
      <w:r>
        <w:rPr>
          <w:rFonts w:ascii="Arial" w:cs="Arial" w:eastAsia="Arial" w:hAnsi="Arial"/>
          <w:sz w:val="16"/>
          <w:szCs w:val="16"/>
          <w:color w:val="auto"/>
        </w:rPr>
        <w:t xml:space="preserve"> to the Chief Legal Counsel of Group </w:t>
      </w:r>
      <w:r>
        <w:rPr>
          <w:rFonts w:ascii="Arial" w:cs="Arial" w:eastAsia="Arial" w:hAnsi="Arial"/>
          <w:sz w:val="16"/>
          <w:szCs w:val="16"/>
          <w:b w:val="1"/>
          <w:bCs w:val="1"/>
          <w:color w:val="auto"/>
        </w:rPr>
        <w:t>(“CLC”)</w:t>
      </w:r>
      <w:r>
        <w:rPr>
          <w:rFonts w:ascii="Arial" w:cs="Arial" w:eastAsia="Arial" w:hAnsi="Arial"/>
          <w:sz w:val="16"/>
          <w:szCs w:val="16"/>
          <w:color w:val="auto"/>
        </w:rPr>
        <w:t>. Failure to report a material violation will be considered itself a violation of the Group S-O Code.</w:t>
      </w:r>
    </w:p>
    <w:p>
      <w:pPr>
        <w:spacing w:after="0" w:line="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It is Group’s policy that no retaliation or other adverse action will be taken against any Covered Officer or other employee of Group or its affiliates based upon any lawful actions of the Covered Officer or employee with respect to a Report made in good faith.</w:t>
      </w:r>
    </w:p>
    <w:p>
      <w:pPr>
        <w:spacing w:after="0" w:line="58" w:lineRule="exact"/>
        <w:rPr>
          <w:sz w:val="20"/>
          <w:szCs w:val="20"/>
          <w:color w:val="auto"/>
        </w:rPr>
      </w:pPr>
    </w:p>
    <w:p>
      <w:pPr>
        <w:ind w:right="1060" w:firstLine="225"/>
        <w:spacing w:after="0" w:line="282" w:lineRule="auto"/>
        <w:rPr>
          <w:sz w:val="20"/>
          <w:szCs w:val="20"/>
          <w:color w:val="auto"/>
        </w:rPr>
      </w:pPr>
      <w:r>
        <w:rPr>
          <w:rFonts w:ascii="Arial" w:cs="Arial" w:eastAsia="Arial" w:hAnsi="Arial"/>
          <w:sz w:val="18"/>
          <w:szCs w:val="18"/>
          <w:b w:val="1"/>
          <w:bCs w:val="1"/>
          <w:color w:val="auto"/>
        </w:rPr>
        <w:t xml:space="preserve">F. Annual Disclosures. </w:t>
      </w:r>
      <w:r>
        <w:rPr>
          <w:rFonts w:ascii="Arial" w:cs="Arial" w:eastAsia="Arial" w:hAnsi="Arial"/>
          <w:sz w:val="18"/>
          <w:szCs w:val="18"/>
          <w:color w:val="auto"/>
        </w:rPr>
        <w:t>Each Covered Officer must report, at least annually, all affiliations or other relationships as called for in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Questionnaire for Executive Officers and/or Employee Directors/Trustees of Group and the Price Funds.”</w:t>
      </w:r>
    </w:p>
    <w:p>
      <w:pPr>
        <w:spacing w:after="0" w:line="54" w:lineRule="exact"/>
        <w:rPr>
          <w:sz w:val="20"/>
          <w:szCs w:val="20"/>
          <w:color w:val="auto"/>
        </w:rPr>
      </w:pPr>
    </w:p>
    <w:p>
      <w:pPr>
        <w:ind w:firstLine="225"/>
        <w:spacing w:after="0" w:line="277" w:lineRule="auto"/>
        <w:rPr>
          <w:sz w:val="20"/>
          <w:szCs w:val="20"/>
          <w:color w:val="auto"/>
        </w:rPr>
      </w:pPr>
      <w:r>
        <w:rPr>
          <w:rFonts w:ascii="Arial" w:cs="Arial" w:eastAsia="Arial" w:hAnsi="Arial"/>
          <w:sz w:val="17"/>
          <w:szCs w:val="17"/>
          <w:b w:val="1"/>
          <w:bCs w:val="1"/>
          <w:color w:val="auto"/>
        </w:rPr>
        <w:t xml:space="preserve">G. Complaints Regarding Accounting Matters. </w:t>
      </w:r>
      <w:r>
        <w:rPr>
          <w:rFonts w:ascii="Arial" w:cs="Arial" w:eastAsia="Arial" w:hAnsi="Arial"/>
          <w:sz w:val="17"/>
          <w:szCs w:val="17"/>
          <w:color w:val="auto"/>
        </w:rPr>
        <w:t>The Audit Committee of Group has established procedures</w:t>
      </w:r>
      <w:r>
        <w:rPr>
          <w:rFonts w:ascii="Arial" w:cs="Arial" w:eastAsia="Arial" w:hAnsi="Arial"/>
          <w:sz w:val="17"/>
          <w:szCs w:val="17"/>
          <w:b w:val="1"/>
          <w:bCs w:val="1"/>
          <w:color w:val="auto"/>
        </w:rPr>
        <w:t xml:space="preserve"> (“Procedures”) </w:t>
      </w:r>
      <w:r>
        <w:rPr>
          <w:rFonts w:ascii="Arial" w:cs="Arial" w:eastAsia="Arial" w:hAnsi="Arial"/>
          <w:sz w:val="17"/>
          <w:szCs w:val="17"/>
          <w:color w:val="auto"/>
        </w:rPr>
        <w:t>for the submission and</w:t>
      </w:r>
      <w:r>
        <w:rPr>
          <w:rFonts w:ascii="Arial" w:cs="Arial" w:eastAsia="Arial" w:hAnsi="Arial"/>
          <w:sz w:val="17"/>
          <w:szCs w:val="17"/>
          <w:b w:val="1"/>
          <w:bCs w:val="1"/>
          <w:color w:val="auto"/>
        </w:rPr>
        <w:t xml:space="preserve"> </w:t>
      </w:r>
      <w:r>
        <w:rPr>
          <w:rFonts w:ascii="Arial" w:cs="Arial" w:eastAsia="Arial" w:hAnsi="Arial"/>
          <w:sz w:val="17"/>
          <w:szCs w:val="17"/>
          <w:color w:val="auto"/>
        </w:rPr>
        <w:t>disposition of complaints submitted by employees, including Covered Officers, regarding the reporting of questionable accounting or auditing matters relating to Group. Under these Procedures, Covered Officers and employees may anonymously and confidentially submit complaints to the CLC. Covered Officers, as supervisors, are obligated to report any questionable accounting, internal accounting control or auditing matters and may do so pursuant to these Procedures. Employees will also be reminded of these Procedures on an annual basis.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8" w:name="page69"/>
    <w:bookmarkEnd w:id="68"/>
    <w:p>
      <w:pPr>
        <w:ind w:right="340"/>
        <w:spacing w:after="0" w:line="282" w:lineRule="auto"/>
        <w:rPr>
          <w:sz w:val="20"/>
          <w:szCs w:val="20"/>
          <w:color w:val="auto"/>
        </w:rPr>
      </w:pPr>
      <w:r>
        <w:rPr>
          <w:rFonts w:ascii="Arial" w:cs="Arial" w:eastAsia="Arial" w:hAnsi="Arial"/>
          <w:sz w:val="18"/>
          <w:szCs w:val="18"/>
          <w:b w:val="1"/>
          <w:bCs w:val="1"/>
          <w:color w:val="auto"/>
        </w:rPr>
        <w:t xml:space="preserve">V. Administration of the Group S-O Code. </w:t>
      </w:r>
      <w:r>
        <w:rPr>
          <w:rFonts w:ascii="Arial" w:cs="Arial" w:eastAsia="Arial" w:hAnsi="Arial"/>
          <w:sz w:val="18"/>
          <w:szCs w:val="18"/>
          <w:color w:val="auto"/>
        </w:rPr>
        <w:t>The Ethics Committee is responsible for the general administration of the Group S-O Code and applying its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to specific situations in which questions are presented.</w:t>
      </w:r>
    </w:p>
    <w:p>
      <w:pPr>
        <w:spacing w:after="0" w:line="54"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b w:val="1"/>
          <w:bCs w:val="1"/>
          <w:color w:val="auto"/>
        </w:rPr>
        <w:t xml:space="preserve">A. Waivers and Interpretations. </w:t>
      </w:r>
      <w:r>
        <w:rPr>
          <w:rFonts w:ascii="Arial" w:cs="Arial" w:eastAsia="Arial" w:hAnsi="Arial"/>
          <w:sz w:val="17"/>
          <w:szCs w:val="17"/>
          <w:color w:val="auto"/>
        </w:rPr>
        <w:t>The Chairperson of the Ethics Committee has the authority to interpret the Group S-O Code in any particular situation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to grant waivers where justified, subject to the approval of the Audit Committee of Group. All material interpretations concerning Covered Officers will be reported to the Audit Committee of Group at its next meeting. Waivers, including implicit waivers, to Covered Officers will be publicly disclosed as required by Form 8-K and Section 229.406 of the Code of Federal Regulations. Pursuant to the definition in the Regulations, an implicit waiver means Group’s failure to take action within a reasonable period of time regarding a material departure from a provision of the Group S-O Code that has been made known to an “executive officer” (as defined in Rule 3b-7 under the Securities Exchange Act of 1934) of Group. An executive officer of Group includes its president and any vice-president in charge of a principal business unit, division or function.</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B. Violations/Investigations. </w:t>
      </w:r>
      <w:r>
        <w:rPr>
          <w:rFonts w:ascii="Arial" w:cs="Arial" w:eastAsia="Arial" w:hAnsi="Arial"/>
          <w:sz w:val="18"/>
          <w:szCs w:val="18"/>
          <w:color w:val="auto"/>
        </w:rPr>
        <w:t>The following procedures will be followed in investigating and enforcing the Group S-O Code:</w:t>
      </w:r>
    </w:p>
    <w:p>
      <w:pPr>
        <w:spacing w:after="0" w:line="121" w:lineRule="exact"/>
        <w:rPr>
          <w:sz w:val="20"/>
          <w:szCs w:val="20"/>
          <w:color w:val="auto"/>
        </w:rPr>
      </w:pPr>
    </w:p>
    <w:p>
      <w:pPr>
        <w:ind w:left="700" w:hanging="24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CLC will take or cause to be taken appropriate action to investigate any potential or actual violation reported to him or her.</w:t>
      </w:r>
    </w:p>
    <w:p>
      <w:pPr>
        <w:spacing w:after="0" w:line="126" w:lineRule="exact"/>
        <w:rPr>
          <w:rFonts w:ascii="Arial" w:cs="Arial" w:eastAsia="Arial" w:hAnsi="Arial"/>
          <w:sz w:val="18"/>
          <w:szCs w:val="18"/>
          <w:color w:val="auto"/>
        </w:rPr>
      </w:pPr>
    </w:p>
    <w:p>
      <w:pPr>
        <w:ind w:left="700" w:right="480" w:hanging="246"/>
        <w:spacing w:after="0" w:line="281" w:lineRule="auto"/>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The CLC, after consultation if deemed appropriate with Corporate Counsel to Group </w:t>
      </w:r>
      <w:r>
        <w:rPr>
          <w:rFonts w:ascii="Arial" w:cs="Arial" w:eastAsia="Arial" w:hAnsi="Arial"/>
          <w:sz w:val="17"/>
          <w:szCs w:val="17"/>
          <w:b w:val="1"/>
          <w:bCs w:val="1"/>
          <w:color w:val="auto"/>
        </w:rPr>
        <w:t>(“CC”)</w:t>
      </w:r>
      <w:r>
        <w:rPr>
          <w:rFonts w:ascii="Arial" w:cs="Arial" w:eastAsia="Arial" w:hAnsi="Arial"/>
          <w:sz w:val="17"/>
          <w:szCs w:val="17"/>
          <w:color w:val="auto"/>
        </w:rPr>
        <w:t>, will make a recommendation to Group’s Board regarding the action to be taken with regard to each material violation. Such action could include any of the following: a letter of censure or suspension, a fine, a suspension of trading privileges or termination of officership or employment. In addition, the violator may be required to surrender any profit realized (or loss avoided) from any activity that is in violation of the Group S-O Code.</w:t>
      </w:r>
    </w:p>
    <w:p>
      <w:pPr>
        <w:spacing w:after="0" w:line="57" w:lineRule="exact"/>
        <w:rPr>
          <w:sz w:val="20"/>
          <w:szCs w:val="20"/>
          <w:color w:val="auto"/>
        </w:rPr>
      </w:pPr>
    </w:p>
    <w:p>
      <w:pPr>
        <w:ind w:right="240"/>
        <w:spacing w:after="0" w:line="313" w:lineRule="auto"/>
        <w:rPr>
          <w:sz w:val="20"/>
          <w:szCs w:val="20"/>
          <w:color w:val="auto"/>
        </w:rPr>
      </w:pPr>
      <w:r>
        <w:rPr>
          <w:rFonts w:ascii="Arial" w:cs="Arial" w:eastAsia="Arial" w:hAnsi="Arial"/>
          <w:sz w:val="17"/>
          <w:szCs w:val="17"/>
          <w:b w:val="1"/>
          <w:bCs w:val="1"/>
          <w:color w:val="auto"/>
        </w:rPr>
        <w:t xml:space="preserve">VI. Amendments to the Group S-O Code. </w:t>
      </w:r>
      <w:r>
        <w:rPr>
          <w:rFonts w:ascii="Arial" w:cs="Arial" w:eastAsia="Arial" w:hAnsi="Arial"/>
          <w:sz w:val="17"/>
          <w:szCs w:val="17"/>
          <w:color w:val="auto"/>
        </w:rPr>
        <w:t>Except as to the contents of</w:t>
      </w:r>
      <w:r>
        <w:rPr>
          <w:rFonts w:ascii="Arial" w:cs="Arial" w:eastAsia="Arial" w:hAnsi="Arial"/>
          <w:sz w:val="17"/>
          <w:szCs w:val="17"/>
          <w:b w:val="1"/>
          <w:bCs w:val="1"/>
          <w:color w:val="auto"/>
        </w:rPr>
        <w:t xml:space="preserve"> Exhibit A</w:t>
      </w:r>
      <w:r>
        <w:rPr>
          <w:rFonts w:ascii="Arial" w:cs="Arial" w:eastAsia="Arial" w:hAnsi="Arial"/>
          <w:sz w:val="17"/>
          <w:szCs w:val="17"/>
          <w:color w:val="auto"/>
        </w:rPr>
        <w:t>, the Group S-O Code may not be materially amended except in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form, which is specifically approved or ratified by a majority vote of Group’s Board, including a majority of its independent directors.</w:t>
      </w:r>
    </w:p>
    <w:p>
      <w:pPr>
        <w:spacing w:after="0" w:line="3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VII. Confidentiality. </w:t>
      </w:r>
      <w:r>
        <w:rPr>
          <w:rFonts w:ascii="Arial" w:cs="Arial" w:eastAsia="Arial" w:hAnsi="Arial"/>
          <w:sz w:val="18"/>
          <w:szCs w:val="18"/>
          <w:color w:val="auto"/>
        </w:rPr>
        <w:t>All reports and records prepared or maintained pursuant to the Group S-O Code will be considered confidential and shall be maintained</w:t>
      </w:r>
      <w:r>
        <w:rPr>
          <w:rFonts w:ascii="Arial" w:cs="Arial" w:eastAsia="Arial" w:hAnsi="Arial"/>
          <w:sz w:val="18"/>
          <w:szCs w:val="18"/>
          <w:b w:val="1"/>
          <w:bCs w:val="1"/>
          <w:color w:val="auto"/>
        </w:rPr>
        <w:t xml:space="preserve"> </w:t>
      </w:r>
      <w:r>
        <w:rPr>
          <w:rFonts w:ascii="Arial" w:cs="Arial" w:eastAsia="Arial" w:hAnsi="Arial"/>
          <w:sz w:val="18"/>
          <w:szCs w:val="18"/>
          <w:color w:val="auto"/>
        </w:rPr>
        <w:t>and protected accordingly. Except as otherwise required by law, the Group S-O Code or as necessary in connection with investigations under the Group S-O Code, such matters shall not be disclosed to anyone other than the members of Group’s Board, members of the Ethics Committee, the CC and the CLC and authorized persons on his or her staff.</w:t>
      </w:r>
    </w:p>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Preparation Date: 9</w:t>
      </w:r>
      <w:r>
        <w:rPr>
          <w:rFonts w:ascii="Arial" w:cs="Arial" w:eastAsia="Arial" w:hAnsi="Arial"/>
          <w:sz w:val="18"/>
          <w:szCs w:val="18"/>
          <w:u w:val="single" w:color="auto"/>
          <w:color w:val="auto"/>
        </w:rPr>
        <w:t>/30/03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Adoption Date: 1</w:t>
      </w:r>
      <w:r>
        <w:rPr>
          <w:rFonts w:ascii="Arial" w:cs="Arial" w:eastAsia="Arial" w:hAnsi="Arial"/>
          <w:sz w:val="18"/>
          <w:szCs w:val="18"/>
          <w:u w:val="single" w:color="auto"/>
          <w:color w:val="auto"/>
        </w:rPr>
        <w:t>0/20/03</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69" w:name="page70"/>
    <w:bookmarkEnd w:id="69"/>
    <w:p>
      <w:pPr>
        <w:jc w:val="center"/>
        <w:ind w:right="-1200"/>
        <w:spacing w:after="0"/>
        <w:rPr>
          <w:sz w:val="20"/>
          <w:szCs w:val="20"/>
          <w:color w:val="auto"/>
        </w:rPr>
      </w:pPr>
      <w:r>
        <w:rPr>
          <w:rFonts w:ascii="Arial" w:cs="Arial" w:eastAsia="Arial" w:hAnsi="Arial"/>
          <w:sz w:val="32"/>
          <w:szCs w:val="32"/>
          <w:b w:val="1"/>
          <w:bCs w:val="1"/>
          <w:color w:val="auto"/>
        </w:rPr>
        <w:t>Exhibit A</w:t>
      </w:r>
    </w:p>
    <w:p>
      <w:pPr>
        <w:spacing w:after="0" w:line="231" w:lineRule="exact"/>
        <w:rPr>
          <w:sz w:val="20"/>
          <w:szCs w:val="20"/>
          <w:color w:val="auto"/>
        </w:rPr>
      </w:pPr>
    </w:p>
    <w:p>
      <w:pPr>
        <w:jc w:val="right"/>
        <w:ind w:right="1799"/>
        <w:spacing w:after="0"/>
        <w:rPr>
          <w:sz w:val="20"/>
          <w:szCs w:val="20"/>
          <w:color w:val="auto"/>
        </w:rPr>
      </w:pPr>
      <w:r>
        <w:rPr>
          <w:rFonts w:ascii="Arial" w:cs="Arial" w:eastAsia="Arial" w:hAnsi="Arial"/>
          <w:sz w:val="25"/>
          <w:szCs w:val="25"/>
          <w:b w:val="1"/>
          <w:bCs w:val="1"/>
          <w:color w:val="auto"/>
        </w:rPr>
        <w:t>Persons Covered by the Group S-O Code of Ethics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A. C. Kennedy, Chief Executive Officer and President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V. Moreland, Chief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Joseph P. Croteau, Treasurer</w:t>
      </w:r>
    </w:p>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909" w:right="1440"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SUBSIDIARIES OF T. ROWE PRICE GROUP, INC. EXHIBIT 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Subsidiary companies and place of incorporation</w:t>
            </w:r>
          </w:p>
        </w:tc>
        <w:tc>
          <w:tcPr>
            <w:tcW w:w="560" w:type="dxa"/>
            <w:vAlign w:val="bottom"/>
          </w:tcPr>
          <w:p>
            <w:pPr>
              <w:spacing w:after="0"/>
              <w:rPr>
                <w:sz w:val="14"/>
                <w:szCs w:val="1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Ownership</w:t>
            </w:r>
          </w:p>
        </w:tc>
      </w:tr>
      <w:tr>
        <w:trPr>
          <w:trHeight w:val="195"/>
        </w:trPr>
        <w:tc>
          <w:tcPr>
            <w:tcW w:w="10020" w:type="dxa"/>
            <w:vAlign w:val="bottom"/>
          </w:tcPr>
          <w:p>
            <w:pPr>
              <w:spacing w:after="0" w:line="195" w:lineRule="exact"/>
              <w:rPr>
                <w:sz w:val="20"/>
                <w:szCs w:val="20"/>
                <w:color w:val="auto"/>
              </w:rPr>
            </w:pPr>
            <w:r>
              <w:rPr>
                <w:rFonts w:ascii="Arial" w:cs="Arial" w:eastAsia="Arial" w:hAnsi="Arial"/>
                <w:sz w:val="18"/>
                <w:szCs w:val="18"/>
                <w:color w:val="auto"/>
              </w:rPr>
              <w:t>T. Rowe Price Advisory Services, Inc. (Maryland)</w:t>
            </w:r>
          </w:p>
        </w:tc>
        <w:tc>
          <w:tcPr>
            <w:tcW w:w="56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 Rowe Price Associates, Inc. (Maryland)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020" w:type="dxa"/>
            <w:vAlign w:val="bottom"/>
          </w:tcPr>
          <w:p>
            <w:pPr>
              <w:ind w:left="220"/>
              <w:spacing w:after="0"/>
              <w:rPr>
                <w:sz w:val="20"/>
                <w:szCs w:val="20"/>
                <w:color w:val="auto"/>
              </w:rPr>
            </w:pPr>
            <w:r>
              <w:rPr>
                <w:rFonts w:ascii="Arial" w:cs="Arial" w:eastAsia="Arial" w:hAnsi="Arial"/>
                <w:sz w:val="18"/>
                <w:szCs w:val="18"/>
                <w:color w:val="auto"/>
              </w:rPr>
              <w:t>T. Rowe Price (Canada), Inc. (Maryland)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020" w:type="dxa"/>
            <w:vAlign w:val="bottom"/>
          </w:tcPr>
          <w:p>
            <w:pPr>
              <w:ind w:left="220"/>
              <w:spacing w:after="0"/>
              <w:rPr>
                <w:sz w:val="20"/>
                <w:szCs w:val="20"/>
                <w:color w:val="auto"/>
              </w:rPr>
            </w:pPr>
            <w:r>
              <w:rPr>
                <w:rFonts w:ascii="Arial" w:cs="Arial" w:eastAsia="Arial" w:hAnsi="Arial"/>
                <w:sz w:val="18"/>
                <w:szCs w:val="18"/>
                <w:color w:val="auto"/>
              </w:rPr>
              <w:t>T. Rowe Price Investment Services, Inc. (Maryland)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020" w:type="dxa"/>
            <w:vAlign w:val="bottom"/>
          </w:tcPr>
          <w:p>
            <w:pPr>
              <w:ind w:left="220"/>
              <w:spacing w:after="0"/>
              <w:rPr>
                <w:sz w:val="20"/>
                <w:szCs w:val="20"/>
                <w:color w:val="auto"/>
              </w:rPr>
            </w:pPr>
            <w:r>
              <w:rPr>
                <w:rFonts w:ascii="Arial" w:cs="Arial" w:eastAsia="Arial" w:hAnsi="Arial"/>
                <w:sz w:val="18"/>
                <w:szCs w:val="18"/>
                <w:color w:val="auto"/>
              </w:rPr>
              <w:t>T. Rowe Price Retirement Plan Services, Inc. (Maryland)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020" w:type="dxa"/>
            <w:vAlign w:val="bottom"/>
          </w:tcPr>
          <w:p>
            <w:pPr>
              <w:ind w:left="220"/>
              <w:spacing w:after="0"/>
              <w:rPr>
                <w:sz w:val="20"/>
                <w:szCs w:val="20"/>
                <w:color w:val="auto"/>
              </w:rPr>
            </w:pPr>
            <w:r>
              <w:rPr>
                <w:rFonts w:ascii="Arial" w:cs="Arial" w:eastAsia="Arial" w:hAnsi="Arial"/>
                <w:sz w:val="18"/>
                <w:szCs w:val="18"/>
                <w:color w:val="auto"/>
              </w:rPr>
              <w:t>T. Rowe Price Savings Bank (Maryland)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020" w:type="dxa"/>
            <w:vAlign w:val="bottom"/>
          </w:tcPr>
          <w:p>
            <w:pPr>
              <w:ind w:left="220"/>
              <w:spacing w:after="0"/>
              <w:rPr>
                <w:sz w:val="20"/>
                <w:szCs w:val="20"/>
                <w:color w:val="auto"/>
              </w:rPr>
            </w:pPr>
            <w:r>
              <w:rPr>
                <w:rFonts w:ascii="Arial" w:cs="Arial" w:eastAsia="Arial" w:hAnsi="Arial"/>
                <w:sz w:val="18"/>
                <w:szCs w:val="18"/>
                <w:color w:val="auto"/>
              </w:rPr>
              <w:t>T. Rowe Price Services, Inc. (Maryland)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020" w:type="dxa"/>
            <w:vAlign w:val="bottom"/>
          </w:tcPr>
          <w:p>
            <w:pPr>
              <w:ind w:left="220"/>
              <w:spacing w:after="0"/>
              <w:rPr>
                <w:sz w:val="20"/>
                <w:szCs w:val="20"/>
                <w:color w:val="auto"/>
              </w:rPr>
            </w:pPr>
            <w:r>
              <w:rPr>
                <w:rFonts w:ascii="Arial" w:cs="Arial" w:eastAsia="Arial" w:hAnsi="Arial"/>
                <w:sz w:val="18"/>
                <w:szCs w:val="18"/>
                <w:color w:val="auto"/>
              </w:rPr>
              <w:t>TRP Finance, Inc. (Delaware)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020" w:type="dxa"/>
            <w:vAlign w:val="bottom"/>
          </w:tcPr>
          <w:p>
            <w:pPr>
              <w:ind w:left="420"/>
              <w:spacing w:after="0"/>
              <w:rPr>
                <w:sz w:val="20"/>
                <w:szCs w:val="20"/>
                <w:color w:val="auto"/>
              </w:rPr>
            </w:pPr>
            <w:r>
              <w:rPr>
                <w:rFonts w:ascii="Arial" w:cs="Arial" w:eastAsia="Arial" w:hAnsi="Arial"/>
                <w:sz w:val="18"/>
                <w:szCs w:val="18"/>
                <w:color w:val="auto"/>
              </w:rPr>
              <w:t>T. Rowe Price International, Inc. (Maryland)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 Rowe Price Global Asset Management Limited (United Kingdom)</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T. Rowe Price Global Investment Services Limited (United Kingdom)</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subsidiaries have been omitted because, when considered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aggregate, they do not constitute a significant subsidiary.</w:t>
      </w:r>
    </w:p>
    <w:p>
      <w:pPr>
        <w:sectPr>
          <w:pgSz w:w="11900" w:h="16838" w:orient="portrait"/>
          <w:cols w:equalWidth="0" w:num="1">
            <w:col w:w="11420"/>
          </w:cols>
          <w:pgMar w:left="240" w:top="936"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registration statements on Form S-8 (No. 33-7012, No. 33-72568, No. 33-58749, No. 333-20333,</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No. 333-90967, No. 333-59714, No. 333-120882, No. 333-120883 and No. 333-142092) of T. Rowe Price Group, Inc. of our reports dated February 6, 2008, with respect to the consolidated balance sheets of T. Rowe Price Group, Inc. and subsidiaries as of December 31, 2007 and 2006, and the related consolidated statements of income, stockholders’ equity and cash flows for each of the years in the three-year period ended December 31, 2007, and the effectiveness of internal control over financial reporting as of December 31, 2007, which reports appear in the December 31, 2007, Annual Report on Form 10-K of T. Rowe Price Group, Inc.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6, 2008</w:t>
      </w:r>
    </w:p>
    <w:p>
      <w:pPr>
        <w:sectPr>
          <w:pgSz w:w="11900" w:h="16838" w:orient="portrait"/>
          <w:cols w:equalWidth="0" w:num="1">
            <w:col w:w="11420"/>
          </w:cols>
          <w:pgMar w:left="240" w:top="936"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Exhibit 31(i).1 Rule 13a-14(a) Certification of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17"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2007 of T. Rowe Price Group, Inc.;</w:t>
      </w:r>
    </w:p>
    <w:p>
      <w:pPr>
        <w:spacing w:after="0" w:line="117"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hanging="436"/>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hanging="436"/>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40" w:hanging="436"/>
        <w:spacing w:after="0" w:line="308" w:lineRule="auto"/>
        <w:tabs>
          <w:tab w:leader="none" w:pos="6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80" w:hanging="436"/>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60" w:hanging="252"/>
        <w:spacing w:after="0" w:line="308" w:lineRule="auto"/>
        <w:tabs>
          <w:tab w:leader="none" w:pos="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20" w:hanging="436"/>
        <w:spacing w:after="0" w:line="277"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20" w:hanging="436"/>
        <w:spacing w:after="0" w:line="277"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February 6,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00"/>
          </w:cols>
          <w:pgMar w:left="240" w:top="935"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Exhibit 31(i).2 Rule 13a-14(a) Certification of Principal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2007 of T. Rowe Price Group, Inc.;</w:t>
      </w:r>
    </w:p>
    <w:p>
      <w:pPr>
        <w:spacing w:after="0" w:line="117"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hanging="436"/>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hanging="436"/>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40" w:hanging="436"/>
        <w:spacing w:after="0" w:line="308" w:lineRule="auto"/>
        <w:tabs>
          <w:tab w:leader="none" w:pos="6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80" w:hanging="436"/>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60" w:hanging="252"/>
        <w:spacing w:after="0" w:line="308" w:lineRule="auto"/>
        <w:tabs>
          <w:tab w:leader="none" w:pos="2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20" w:hanging="436"/>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20" w:hanging="436"/>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February 6,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00"/>
          </w:cols>
          <w:pgMar w:left="240" w:top="935" w:right="259" w:bottom="1440" w:gutter="0" w:footer="0" w:header="0"/>
        </w:sectPr>
      </w:pPr>
    </w:p>
    <w:bookmarkStart w:id="74" w:name="page75"/>
    <w:bookmarkEnd w:id="74"/>
    <w:p>
      <w:pPr>
        <w:spacing w:after="0"/>
        <w:tabs>
          <w:tab w:leader="none" w:pos="94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2007 of T. Rowe Price Group, Inc., that:</w:t>
      </w:r>
    </w:p>
    <w:p>
      <w:pPr>
        <w:spacing w:after="0" w:line="62" w:lineRule="exact"/>
        <w:rPr>
          <w:sz w:val="20"/>
          <w:szCs w:val="20"/>
          <w:color w:val="auto"/>
        </w:rPr>
      </w:pPr>
    </w:p>
    <w:p>
      <w:pPr>
        <w:ind w:left="480" w:hanging="247"/>
        <w:spacing w:after="0"/>
        <w:tabs>
          <w:tab w:leader="none" w:pos="4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Form 10-K Annual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00" w:firstLine="233"/>
        <w:spacing w:after="0" w:line="277" w:lineRule="auto"/>
        <w:tabs>
          <w:tab w:leader="none" w:pos="477"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February 6,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Chief Executive Officer and President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Vice President and Chief Financial Officer</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1"/>
      <w:numFmt w:val="decimal"/>
      <w:start w:val="14"/>
    </w:lvl>
  </w:abstractNum>
  <w:abstractNum w:abstractNumId="2">
    <w:nsid w:val="54E49EB4"/>
    <w:multiLevelType w:val="hybridMultilevel"/>
    <w:lvl w:ilvl="0">
      <w:lvlJc w:val="left"/>
      <w:lvlText w:val="%1"/>
      <w:numFmt w:val="decimal"/>
      <w:start w:val="23"/>
    </w:lvl>
  </w:abstractNum>
  <w:abstractNum w:abstractNumId="3">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2CA88611"/>
    <w:multiLevelType w:val="hybridMultilevel"/>
    <w:lvl w:ilvl="0">
      <w:lvlJc w:val="left"/>
      <w:lvlText w:val="(%1)"/>
      <w:numFmt w:val="lowerLetter"/>
      <w:start w:val="2"/>
    </w:lvl>
  </w:abstractNum>
  <w:abstractNum w:abstractNumId="5">
    <w:nsid w:val="836C40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
    <w:nsid w:val="2901D8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
    <w:nsid w:val="3A95F874"/>
    <w:multiLevelType w:val="hybridMultilevel"/>
    <w:lvl w:ilvl="0">
      <w:lvlJc w:val="left"/>
      <w:lvlText w:val="%1."/>
      <w:numFmt w:val="decimal"/>
      <w:start w:val="7"/>
    </w:lvl>
  </w:abstractNum>
  <w:abstractNum w:abstractNumId="8">
    <w:nsid w:val="8138641"/>
    <w:multiLevelType w:val="hybridMultilevel"/>
    <w:lvl w:ilvl="0">
      <w:lvlJc w:val="left"/>
      <w:lvlText w:val="%1."/>
      <w:numFmt w:val="decimal"/>
      <w:start w:val="14"/>
    </w:lvl>
    <w:lvl w:ilvl="1">
      <w:lvlJc w:val="left"/>
      <w:lvlText w:val="(%2)"/>
      <w:numFmt w:val="lowerLetter"/>
      <w:start w:val="1"/>
    </w:lvl>
  </w:abstractNum>
  <w:abstractNum w:abstractNumId="9">
    <w:nsid w:val="1E7FF521"/>
    <w:multiLevelType w:val="hybridMultilevel"/>
    <w:lvl w:ilvl="0">
      <w:lvlJc w:val="left"/>
      <w:lvlText w:val="%1"/>
      <w:numFmt w:val="decimal"/>
      <w:start w:val="1"/>
    </w:lvl>
    <w:lvl w:ilvl="1">
      <w:lvlJc w:val="left"/>
      <w:lvlText w:val="(%2)"/>
      <w:numFmt w:val="lowerLetter"/>
      <w:start w:val="2"/>
    </w:lvl>
  </w:abstractNum>
  <w:abstractNum w:abstractNumId="10">
    <w:nsid w:val="7C3DBD3D"/>
    <w:multiLevelType w:val="hybridMultilevel"/>
    <w:lvl w:ilvl="0">
      <w:lvlJc w:val="left"/>
      <w:lvlText w:val="%1."/>
      <w:numFmt w:val="decimal"/>
      <w:start w:val="18"/>
    </w:lvl>
    <w:lvl w:ilvl="1">
      <w:lvlJc w:val="left"/>
      <w:lvlText w:val="(%2)"/>
      <w:numFmt w:val="lowerLetter"/>
      <w:start w:val="1"/>
    </w:lvl>
  </w:abstractNum>
  <w:abstractNum w:abstractNumId="11">
    <w:nsid w:val="737B8DDC"/>
    <w:multiLevelType w:val="hybridMultilevel"/>
    <w:lvl w:ilvl="0">
      <w:lvlJc w:val="left"/>
      <w:lvlText w:val="%1"/>
      <w:numFmt w:val="lowerRoman"/>
      <w:start w:val="1"/>
    </w:lvl>
    <w:lvl w:ilvl="1">
      <w:lvlJc w:val="left"/>
      <w:lvlText w:val="%2."/>
      <w:numFmt w:val="decimal"/>
      <w:start w:val="20"/>
    </w:lvl>
  </w:abstractNum>
  <w:abstractNum w:abstractNumId="12">
    <w:nsid w:val="6CEAF087"/>
    <w:multiLevelType w:val="hybridMultilevel"/>
    <w:lvl w:ilvl="0">
      <w:lvlJc w:val="left"/>
      <w:lvlText w:val="(%1)"/>
      <w:numFmt w:val="lowerRoman"/>
      <w:start w:val="4"/>
    </w:lvl>
    <w:lvl w:ilvl="1">
      <w:lvlJc w:val="left"/>
      <w:lvlText w:val="%2."/>
      <w:numFmt w:val="decimal"/>
      <w:start w:val="23"/>
    </w:lvl>
  </w:abstractNum>
  <w:abstractNum w:abstractNumId="13">
    <w:nsid w:val="22221A70"/>
    <w:multiLevelType w:val="hybridMultilevel"/>
    <w:lvl w:ilvl="0">
      <w:lvlJc w:val="left"/>
      <w:lvlText w:val="%1"/>
      <w:numFmt w:val="lowerLetter"/>
      <w:start w:val="1"/>
    </w:lvl>
    <w:lvl w:ilvl="1">
      <w:lvlJc w:val="left"/>
      <w:lvlText w:val="(%2)"/>
      <w:numFmt w:val="lowerLetter"/>
      <w:start w:val="1"/>
    </w:lvl>
  </w:abstractNum>
  <w:abstractNum w:abstractNumId="14">
    <w:nsid w:val="4516DDE9"/>
    <w:multiLevelType w:val="hybridMultilevel"/>
    <w:lvl w:ilvl="0">
      <w:lvlJc w:val="left"/>
      <w:lvlText w:val="(%1)"/>
      <w:numFmt w:val="lowerLetter"/>
      <w:start w:val="9"/>
    </w:lvl>
    <w:lvl w:ilvl="1">
      <w:lvlJc w:val="left"/>
      <w:lvlText w:val="(%2)"/>
      <w:numFmt w:val="lowerLetter"/>
      <w:start w:val="5"/>
    </w:lvl>
  </w:abstractNum>
  <w:abstractNum w:abstractNumId="15">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
    <w:nsid w:val="614FD4A1"/>
    <w:multiLevelType w:val="hybridMultilevel"/>
    <w:lvl w:ilvl="0">
      <w:lvlJc w:val="left"/>
      <w:lvlText w:val="(%1)"/>
      <w:numFmt w:val="lowerLetter"/>
      <w:start w:val="2"/>
    </w:lvl>
  </w:abstractNum>
  <w:abstractNum w:abstractNumId="17">
    <w:nsid w:val="419AC24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
    <w:nsid w:val="5577F8E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
    <w:nsid w:val="440BADFC"/>
    <w:multiLevelType w:val="hybridMultilevel"/>
    <w:lvl w:ilvl="0">
      <w:lvlJc w:val="left"/>
      <w:lvlText w:val="%1."/>
      <w:numFmt w:val="decimal"/>
      <w:start w:val="7"/>
    </w:lvl>
  </w:abstractNum>
  <w:abstractNum w:abstractNumId="20">
    <w:nsid w:val="5072367"/>
    <w:multiLevelType w:val="hybridMultilevel"/>
    <w:lvl w:ilvl="0">
      <w:lvlJc w:val="left"/>
      <w:lvlText w:val="%1."/>
      <w:numFmt w:val="decimal"/>
      <w:start w:val="16"/>
    </w:lvl>
  </w:abstractNum>
  <w:abstractNum w:abstractNumId="21">
    <w:nsid w:val="3804823E"/>
    <w:multiLevelType w:val="hybridMultilevel"/>
    <w:lvl w:ilvl="0">
      <w:lvlJc w:val="left"/>
      <w:lvlText w:val="%1"/>
      <w:numFmt w:val="lowerRoman"/>
      <w:start w:val="1"/>
    </w:lvl>
    <w:lvl w:ilvl="1">
      <w:lvlJc w:val="left"/>
      <w:lvlText w:val="%2."/>
      <w:numFmt w:val="decimal"/>
      <w:start w:val="18"/>
    </w:lvl>
    <w:lvl w:ilvl="2">
      <w:lvlJc w:val="left"/>
      <w:lvlText w:val="(%3)"/>
      <w:numFmt w:val="lowerLetter"/>
      <w:start w:val="1"/>
    </w:lvl>
  </w:abstractNum>
  <w:abstractNum w:abstractNumId="22">
    <w:nsid w:val="77465F01"/>
    <w:multiLevelType w:val="hybridMultilevel"/>
    <w:lvl w:ilvl="0">
      <w:lvlJc w:val="left"/>
      <w:lvlText w:val="(%1)"/>
      <w:numFmt w:val="lowerRoman"/>
      <w:start w:val="4"/>
    </w:lvl>
    <w:lvl w:ilvl="1">
      <w:lvlJc w:val="left"/>
      <w:lvlText w:val="%2."/>
      <w:numFmt w:val="decimal"/>
      <w:start w:val="23"/>
    </w:lvl>
    <w:lvl w:ilvl="2">
      <w:lvlJc w:val="left"/>
      <w:lvlText w:val="%3"/>
      <w:numFmt w:val="lowerLetter"/>
      <w:start w:val="1"/>
    </w:lvl>
  </w:abstractNum>
  <w:abstractNum w:abstractNumId="23">
    <w:nsid w:val="7724C67E"/>
    <w:multiLevelType w:val="hybridMultilevel"/>
    <w:lvl w:ilvl="0">
      <w:lvlJc w:val="left"/>
      <w:lvlText w:val="%1"/>
      <w:numFmt w:val="lowerLetter"/>
      <w:start w:val="1"/>
    </w:lvl>
    <w:lvl w:ilvl="1">
      <w:lvlJc w:val="left"/>
      <w:lvlText w:val="(%2)"/>
      <w:numFmt w:val="lowerLetter"/>
      <w:start w:val="1"/>
    </w:lvl>
  </w:abstractNum>
  <w:abstractNum w:abstractNumId="24">
    <w:nsid w:val="5C482A97"/>
    <w:multiLevelType w:val="hybridMultilevel"/>
    <w:lvl w:ilvl="0">
      <w:lvlJc w:val="left"/>
      <w:lvlText w:val="(%1)"/>
      <w:numFmt w:val="lowerLetter"/>
      <w:start w:val="9"/>
    </w:lvl>
    <w:lvl w:ilvl="1">
      <w:lvlJc w:val="left"/>
      <w:lvlText w:val="(%2)"/>
      <w:numFmt w:val="lowerLetter"/>
      <w:start w:val="5"/>
    </w:lvl>
  </w:abstractNum>
  <w:abstractNum w:abstractNumId="25">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
    <w:nsid w:val="5E884ADC"/>
    <w:multiLevelType w:val="hybridMultilevel"/>
    <w:lvl w:ilvl="0">
      <w:lvlJc w:val="left"/>
      <w:lvlText w:val="(%1)"/>
      <w:numFmt w:val="lowerLetter"/>
      <w:start w:val="2"/>
    </w:lvl>
  </w:abstractNum>
  <w:abstractNum w:abstractNumId="27">
    <w:nsid w:val="51EAD36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8">
    <w:nsid w:val="2D51779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
    <w:nsid w:val="580BD78F"/>
    <w:multiLevelType w:val="hybridMultilevel"/>
    <w:lvl w:ilvl="0">
      <w:lvlJc w:val="left"/>
      <w:lvlText w:val="%1."/>
      <w:numFmt w:val="decimal"/>
      <w:start w:val="9"/>
    </w:lvl>
  </w:abstractNum>
  <w:abstractNum w:abstractNumId="30">
    <w:nsid w:val="153EA438"/>
    <w:multiLevelType w:val="hybridMultilevel"/>
    <w:lvl w:ilvl="0">
      <w:lvlJc w:val="left"/>
      <w:lvlText w:val="%1."/>
      <w:numFmt w:val="decimal"/>
      <w:start w:val="17"/>
    </w:lvl>
    <w:lvl w:ilvl="1">
      <w:lvlJc w:val="left"/>
      <w:lvlText w:val="(%2)"/>
      <w:numFmt w:val="lowerLetter"/>
      <w:start w:val="1"/>
    </w:lvl>
  </w:abstractNum>
  <w:abstractNum w:abstractNumId="31">
    <w:nsid w:val="3855585C"/>
    <w:multiLevelType w:val="hybridMultilevel"/>
    <w:lvl w:ilvl="0">
      <w:lvlJc w:val="left"/>
      <w:lvlText w:val="%1"/>
      <w:numFmt w:val="lowerRoman"/>
      <w:start w:val="1"/>
    </w:lvl>
    <w:lvl w:ilvl="1">
      <w:lvlJc w:val="left"/>
      <w:lvlText w:val="%2."/>
      <w:numFmt w:val="decimal"/>
      <w:start w:val="19"/>
    </w:lvl>
  </w:abstractNum>
  <w:abstractNum w:abstractNumId="32">
    <w:nsid w:val="70A64E2A"/>
    <w:multiLevelType w:val="hybridMultilevel"/>
    <w:lvl w:ilvl="0">
      <w:lvlJc w:val="left"/>
      <w:lvlText w:val="(%1)"/>
      <w:numFmt w:val="lowerRoman"/>
      <w:start w:val="4"/>
    </w:lvl>
    <w:lvl w:ilvl="1">
      <w:lvlJc w:val="left"/>
      <w:lvlText w:val="%2"/>
      <w:numFmt w:val="decimal"/>
      <w:start w:val="1"/>
    </w:lvl>
  </w:abstractNum>
  <w:abstractNum w:abstractNumId="33">
    <w:nsid w:val="6A2342EC"/>
    <w:multiLevelType w:val="hybridMultilevel"/>
    <w:lvl w:ilvl="0">
      <w:lvlJc w:val="left"/>
      <w:lvlText w:val="(%1)"/>
      <w:numFmt w:val="lowerRoman"/>
      <w:start w:val="6"/>
    </w:lvl>
    <w:lvl w:ilvl="1">
      <w:lvlJc w:val="left"/>
      <w:lvlText w:val="%2."/>
      <w:numFmt w:val="decimal"/>
      <w:start w:val="22"/>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decimal"/>
      <w:start w:val="1"/>
    </w:lvl>
    <w:lvl w:ilvl="1">
      <w:lvlJc w:val="left"/>
      <w:lvlText w:val="(%2)"/>
      <w:numFmt w:val="lowerLetter"/>
      <w:start w:val="1"/>
    </w:lvl>
  </w:abstractNum>
  <w:abstractNum w:abstractNumId="36">
    <w:nsid w:val="725A06FB"/>
    <w:multiLevelType w:val="hybridMultilevel"/>
    <w:lvl w:ilvl="0">
      <w:lvlJc w:val="left"/>
      <w:lvlText w:val="%1."/>
      <w:numFmt w:val="decimal"/>
      <w:start w:val="8"/>
    </w:lvl>
    <w:lvl w:ilvl="1">
      <w:lvlJc w:val="left"/>
      <w:lvlText w:val="(%2)"/>
      <w:numFmt w:val="lowerLetter"/>
      <w:start w:val="1"/>
    </w:lvl>
  </w:abstractNum>
  <w:abstractNum w:abstractNumId="37">
    <w:nsid w:val="2CD89A32"/>
    <w:multiLevelType w:val="hybridMultilevel"/>
    <w:lvl w:ilvl="0">
      <w:lvlJc w:val="left"/>
      <w:lvlText w:val="%1."/>
      <w:numFmt w:val="decimal"/>
      <w:start w:val="17"/>
    </w:lvl>
  </w:abstractNum>
  <w:abstractNum w:abstractNumId="38">
    <w:nsid w:val="57E4CCAF"/>
    <w:multiLevelType w:val="hybridMultilevel"/>
    <w:lvl w:ilvl="0">
      <w:lvlJc w:val="left"/>
      <w:lvlText w:val="%1"/>
      <w:numFmt w:val="lowerLetter"/>
      <w:start w:val="1"/>
    </w:lvl>
    <w:lvl w:ilvl="1">
      <w:lvlJc w:val="left"/>
      <w:lvlText w:val="(%2)"/>
      <w:numFmt w:val="lowerLetter"/>
      <w:start w:val="1"/>
    </w:lvl>
  </w:abstractNum>
  <w:abstractNum w:abstractNumId="39">
    <w:nsid w:val="7A6D8D3C"/>
    <w:multiLevelType w:val="hybridMultilevel"/>
    <w:lvl w:ilvl="0">
      <w:lvlJc w:val="left"/>
      <w:lvlText w:val="(%1)"/>
      <w:numFmt w:val="lowerLetter"/>
      <w:start w:val="9"/>
    </w:lvl>
    <w:lvl w:ilvl="1">
      <w:lvlJc w:val="left"/>
      <w:lvlText w:val="(%2)"/>
      <w:numFmt w:val="lowerLetter"/>
      <w:start w:val="4"/>
    </w:lvl>
  </w:abstractNum>
  <w:abstractNum w:abstractNumId="40">
    <w:nsid w:val="4B588F54"/>
    <w:multiLevelType w:val="hybridMultilevel"/>
    <w:lvl w:ilvl="0">
      <w:lvlJc w:val="left"/>
      <w:lvlText w:val="%1."/>
      <w:numFmt w:val="decimal"/>
      <w:start w:val="1"/>
    </w:lvl>
    <w:lvl w:ilvl="1">
      <w:lvlJc w:val="left"/>
      <w:lvlText w:val="(%2)"/>
      <w:numFmt w:val="lowerLetter"/>
      <w:start w:val="1"/>
    </w:lvl>
  </w:abstractNum>
  <w:abstractNum w:abstractNumId="41">
    <w:nsid w:val="542289EC"/>
    <w:multiLevelType w:val="hybridMultilevel"/>
    <w:lvl w:ilvl="0">
      <w:lvlJc w:val="left"/>
      <w:lvlText w:val="%1."/>
      <w:numFmt w:val="decimal"/>
      <w:start w:val="6"/>
    </w:lvl>
    <w:lvl w:ilvl="1">
      <w:lvlJc w:val="left"/>
      <w:lvlText w:val="(%2)"/>
      <w:numFmt w:val="lowerLetter"/>
      <w:start w:val="1"/>
    </w:lvl>
  </w:abstractNum>
  <w:abstractNum w:abstractNumId="42">
    <w:nsid w:val="6DE91B18"/>
    <w:multiLevelType w:val="hybridMultilevel"/>
    <w:lvl w:ilvl="0">
      <w:lvlJc w:val="left"/>
      <w:lvlText w:val="%1."/>
      <w:numFmt w:val="decimal"/>
      <w:start w:val="13"/>
    </w:lvl>
  </w:abstractNum>
  <w:abstractNum w:abstractNumId="43">
    <w:nsid w:val="38437FDB"/>
    <w:multiLevelType w:val="hybridMultilevel"/>
    <w:lvl w:ilvl="0">
      <w:lvlJc w:val="left"/>
      <w:lvlText w:val="%1"/>
      <w:numFmt w:val="lowerLetter"/>
      <w:start w:val="1"/>
    </w:lvl>
    <w:lvl w:ilvl="1">
      <w:lvlJc w:val="left"/>
      <w:lvlText w:val="(%2)"/>
      <w:numFmt w:val="lowerLetter"/>
      <w:start w:val="1"/>
    </w:lvl>
  </w:abstractNum>
  <w:abstractNum w:abstractNumId="44">
    <w:nsid w:val="7644A45C"/>
    <w:multiLevelType w:val="hybridMultilevel"/>
    <w:lvl w:ilvl="0">
      <w:lvlJc w:val="left"/>
      <w:lvlText w:val="(%1)"/>
      <w:numFmt w:val="lowerLetter"/>
      <w:start w:val="9"/>
    </w:lvl>
    <w:lvl w:ilvl="1">
      <w:lvlJc w:val="left"/>
      <w:lvlText w:val="(%2)"/>
      <w:numFmt w:val="lowerLetter"/>
      <w:start w:val="6"/>
    </w:lvl>
  </w:abstractNum>
  <w:abstractNum w:abstractNumId="45">
    <w:nsid w:val="32FFF902"/>
    <w:multiLevelType w:val="hybridMultilevel"/>
    <w:lvl w:ilvl="0">
      <w:lvlJc w:val="left"/>
      <w:lvlText w:val="%1."/>
      <w:numFmt w:val="upperLetter"/>
      <w:start w:val="35"/>
    </w:lvl>
  </w:abstractNum>
  <w:abstractNum w:abstractNumId="46">
    <w:nsid w:val="684A481A"/>
    <w:multiLevelType w:val="hybridMultilevel"/>
    <w:lvl w:ilvl="0">
      <w:lvlJc w:val="left"/>
      <w:lvlText w:val="%1"/>
      <w:numFmt w:val="upperLetter"/>
      <w:start w:val="1"/>
    </w:lvl>
    <w:lvl w:ilvl="1">
      <w:lvlJc w:val="left"/>
      <w:lvlText w:val="%2."/>
      <w:numFmt w:val="decimal"/>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2019-12-15T02:45:35Z</dcterms:created>
  <dcterms:modified xsi:type="dcterms:W3CDTF">2019-12-15T02:45:35Z</dcterms:modified>
</cp:coreProperties>
</file>