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242570</wp:posOffset>
            </wp:positionH>
            <wp:positionV relativeFrom="page">
              <wp:posOffset>817880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852170</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27" w:lineRule="exact"/>
        <w:rPr>
          <w:sz w:val="24"/>
          <w:szCs w:val="24"/>
          <w:color w:val="auto"/>
        </w:rPr>
      </w:pPr>
    </w:p>
    <w:p>
      <w:pPr>
        <w:ind w:left="680" w:hanging="41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0" w:lineRule="exact"/>
        <w:rPr>
          <w:sz w:val="24"/>
          <w:szCs w:val="24"/>
          <w:color w:val="auto"/>
        </w:rPr>
      </w:pPr>
    </w:p>
    <w:p>
      <w:pPr>
        <w:ind w:left="680" w:hanging="411"/>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 ROWE PRICE GROUP, INC.</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419" w:right="359" w:bottom="1440" w:gutter="0" w:footer="0" w:header="0"/>
        </w:sectPr>
      </w:pPr>
    </w:p>
    <w:p>
      <w:pPr>
        <w:spacing w:after="0" w:line="122"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5" w:lineRule="exact"/>
        <w:rPr>
          <w:sz w:val="24"/>
          <w:szCs w:val="24"/>
          <w:color w:val="auto"/>
        </w:rPr>
      </w:pPr>
    </w:p>
    <w:p>
      <w:pPr>
        <w:sectPr>
          <w:pgSz w:w="11900" w:h="16838" w:orient="portrait"/>
          <w:cols w:equalWidth="0" w:num="2">
            <w:col w:w="7240" w:space="720"/>
            <w:col w:w="3260"/>
          </w:cols>
          <w:pgMar w:left="320" w:top="1419" w:right="35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9" w:lineRule="exact"/>
        <w:rPr>
          <w:sz w:val="24"/>
          <w:szCs w:val="24"/>
          <w:color w:val="auto"/>
        </w:rPr>
      </w:pPr>
    </w:p>
    <w:p>
      <w:pPr>
        <w:sectPr>
          <w:pgSz w:w="11900" w:h="16838" w:orient="portrait"/>
          <w:cols w:equalWidth="0" w:num="2">
            <w:col w:w="6540" w:space="720"/>
            <w:col w:w="3960"/>
          </w:cols>
          <w:pgMar w:left="320" w:top="1419" w:right="35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7"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(410) 345-2000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2"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89"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89"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4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7" w:lineRule="exact"/>
        <w:rPr>
          <w:sz w:val="24"/>
          <w:szCs w:val="24"/>
          <w:color w:val="auto"/>
        </w:rPr>
      </w:pPr>
    </w:p>
    <w:p>
      <w:pPr>
        <w:ind w:right="460"/>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0" w:lineRule="exact"/>
        <w:rPr>
          <w:sz w:val="24"/>
          <w:szCs w:val="24"/>
          <w:color w:val="auto"/>
        </w:rPr>
      </w:pPr>
    </w:p>
    <w:p>
      <w:pPr>
        <w:ind w:right="6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both"/>
        <w:ind w:right="120"/>
        <w:spacing w:after="0" w:line="21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3"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9" w:lineRule="exact"/>
        <w:rPr>
          <w:sz w:val="24"/>
          <w:szCs w:val="24"/>
          <w:color w:val="auto"/>
        </w:rPr>
      </w:pPr>
    </w:p>
    <w:p>
      <w:pPr>
        <w:ind w:right="3060"/>
        <w:spacing w:after="0" w:line="293"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July 26, 2023, is 224,295,099.</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12/31/2022</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sponsored investment products ($1,707.3 million at June 30, 2023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1,946.1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$1,375.6 million at December 31, 2022, related to variable interest entities)</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12,621.4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11,643.3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sponsored investment products ($47.2 million at June 30, 2023 and $39.1</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million at December 31, 2022, related to variable interest entities)</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36"/>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101"/>
        </w:trPr>
        <w:tc>
          <w:tcPr>
            <w:tcW w:w="8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115"/>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8240" w:type="dxa"/>
            <w:vAlign w:val="bottom"/>
          </w:tcPr>
          <w:p>
            <w:pPr>
              <w:ind w:left="140"/>
              <w:spacing w:after="0" w:line="189" w:lineRule="exact"/>
              <w:rPr>
                <w:sz w:val="20"/>
                <w:szCs w:val="20"/>
                <w:color w:val="auto"/>
              </w:rPr>
            </w:pPr>
            <w:r>
              <w:rPr>
                <w:rFonts w:ascii="Arial" w:cs="Arial" w:eastAsia="Arial" w:hAnsi="Arial"/>
                <w:sz w:val="18"/>
                <w:szCs w:val="18"/>
                <w:color w:val="auto"/>
              </w:rPr>
              <w:t>Common stock, $.20 par value—authorized 750,000,000; issued 224,281,000 shares at June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2023 and 224,310,000 at December 31, 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6"/>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8,409.7</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9,263.8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8,839.5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9,030.2</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5180"/>
        <w:spacing w:after="0" w:line="301"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4"/>
            <w:shd w:val="clear" w:color="auto" w:fill="CCEEFF"/>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1,430.8</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1,496.7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2,822.6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3,158.8</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6"/>
        </w:trPr>
        <w:tc>
          <w:tcPr>
            <w:tcW w:w="56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1,830.0</w:t>
            </w:r>
          </w:p>
        </w:tc>
        <w:tc>
          <w:tcPr>
            <w:tcW w:w="0" w:type="dxa"/>
            <w:vAlign w:val="bottom"/>
          </w:tcPr>
          <w:p>
            <w:pPr>
              <w:spacing w:after="0"/>
              <w:rPr>
                <w:sz w:val="1"/>
                <w:szCs w:val="1"/>
                <w:color w:val="auto"/>
              </w:rPr>
            </w:pPr>
          </w:p>
        </w:tc>
      </w:tr>
      <w:tr>
        <w:trPr>
          <w:trHeight w:val="277"/>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1,546.0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losses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476.4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339.6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897.9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907.5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3.89</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60"/>
        <w:spacing w:after="0" w:line="301"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4"/>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6/30/2022</w:t>
            </w:r>
          </w:p>
        </w:tc>
      </w:tr>
      <w:tr>
        <w:trPr>
          <w:trHeight w:val="25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w:t>
            </w:r>
          </w:p>
        </w:tc>
      </w:tr>
      <w:tr>
        <w:trPr>
          <w:trHeight w:val="237"/>
        </w:trPr>
        <w:tc>
          <w:tcPr>
            <w:tcW w:w="54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400" w:type="dxa"/>
            <w:vAlign w:val="bottom"/>
          </w:tcPr>
          <w:p>
            <w:pPr>
              <w:ind w:left="22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(gains) losses recognized in non-operating</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upon deconsolidation of certain T. Rowe Price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2"/>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4"/>
        </w:trPr>
        <w:tc>
          <w:tcPr>
            <w:tcW w:w="5400" w:type="dxa"/>
            <w:vAlign w:val="bottom"/>
          </w:tcPr>
          <w:p>
            <w:pPr>
              <w:ind w:left="220"/>
              <w:spacing w:after="0"/>
              <w:rPr>
                <w:sz w:val="20"/>
                <w:szCs w:val="20"/>
                <w:color w:val="auto"/>
              </w:rPr>
            </w:pPr>
            <w:r>
              <w:rPr>
                <w:rFonts w:ascii="Arial" w:cs="Arial" w:eastAsia="Arial" w:hAnsi="Arial"/>
                <w:sz w:val="18"/>
                <w:szCs w:val="18"/>
                <w:color w:val="auto"/>
              </w:rPr>
              <w:t>Total currency translation adjustments of consolidated T. Rowe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5400" w:type="dxa"/>
            <w:vAlign w:val="bottom"/>
          </w:tcPr>
          <w:p>
            <w:pPr>
              <w:ind w:left="220"/>
              <w:spacing w:after="0"/>
              <w:rPr>
                <w:sz w:val="20"/>
                <w:szCs w:val="20"/>
                <w:color w:val="auto"/>
              </w:rPr>
            </w:pPr>
            <w:r>
              <w:rPr>
                <w:rFonts w:ascii="Arial" w:cs="Arial" w:eastAsia="Arial" w:hAnsi="Arial"/>
                <w:sz w:val="18"/>
                <w:szCs w:val="18"/>
                <w:color w:val="auto"/>
              </w:rPr>
              <w:t>Price investment products - variable interest entities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57"/>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57"/>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(expense) benefits</w:t>
            </w: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63"/>
        </w:trPr>
        <w:tc>
          <w:tcPr>
            <w:tcW w:w="54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755.8</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(loss) attributable to redeemable</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2"/>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480.1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902.9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886.6</w:t>
            </w: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right="4700"/>
        <w:spacing w:after="0" w:line="301"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922.9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Net redemptions in sponsored investment products used to economically hedge supplemental</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1,727.0</w:t>
            </w: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6"/>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sponsored investment products on deconsolidation</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and cash equivalents at beginning of period, including $119.1 million at December 31, 2022, and</w:t>
            </w:r>
          </w:p>
        </w:tc>
        <w:tc>
          <w:tcPr>
            <w:tcW w:w="2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1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 million at December 31, 2021, held by consolidated sponsored investment products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240" w:type="dxa"/>
            <w:vAlign w:val="bottom"/>
          </w:tcPr>
          <w:p>
            <w:pPr>
              <w:ind w:left="20"/>
              <w:spacing w:after="0" w:line="170" w:lineRule="exact"/>
              <w:rPr>
                <w:sz w:val="20"/>
                <w:szCs w:val="20"/>
                <w:color w:val="auto"/>
              </w:rPr>
            </w:pPr>
            <w:r>
              <w:rPr>
                <w:rFonts w:ascii="Arial" w:cs="Arial" w:eastAsia="Arial" w:hAnsi="Arial"/>
                <w:sz w:val="18"/>
                <w:szCs w:val="18"/>
                <w:color w:val="auto"/>
              </w:rPr>
              <w:t>Cash and cash equivalents at end of period, including $76.5 million at June 30, 2023, and $71.2 million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2,326.2</w:t>
            </w: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8"/>
                <w:szCs w:val="18"/>
                <w:color w:val="auto"/>
              </w:rPr>
              <w:t>at June 30, 2022, held by consolidated sponsored investment products</w:t>
            </w:r>
          </w:p>
        </w:tc>
        <w:tc>
          <w:tcPr>
            <w:tcW w:w="2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3540"/>
        <w:spacing w:after="0" w:line="301"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gridSpan w:val="1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Three months ended 6/30/2023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9"/>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spacing w:after="0" w:line="127"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80"/>
              <w:spacing w:after="0" w:line="130" w:lineRule="exact"/>
              <w:rPr>
                <w:sz w:val="20"/>
                <w:szCs w:val="20"/>
                <w:color w:val="auto"/>
              </w:rPr>
            </w:pPr>
            <w:r>
              <w:rPr>
                <w:rFonts w:ascii="Arial" w:cs="Arial" w:eastAsia="Arial" w:hAnsi="Arial"/>
                <w:sz w:val="13"/>
                <w:szCs w:val="13"/>
                <w:b w:val="1"/>
                <w:bCs w:val="1"/>
                <w:color w:val="auto"/>
                <w:w w:val="93"/>
              </w:rPr>
              <w:t>equity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5"/>
              </w:rPr>
              <w:t>controlling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4"/>
            <w:vMerge w:val="restart"/>
          </w:tcPr>
          <w:p>
            <w:pPr>
              <w:jc w:val="center"/>
              <w:ind w:right="20"/>
              <w:spacing w:after="0"/>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0"/>
                <w:szCs w:val="10"/>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27"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spacing w:after="0" w:line="127"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spacing w:after="0" w:line="127" w:lineRule="exact"/>
              <w:rPr>
                <w:sz w:val="20"/>
                <w:szCs w:val="20"/>
                <w:color w:val="auto"/>
              </w:rPr>
            </w:pPr>
            <w:r>
              <w:rPr>
                <w:rFonts w:ascii="Arial" w:cs="Arial" w:eastAsia="Arial" w:hAnsi="Arial"/>
                <w:sz w:val="13"/>
                <w:szCs w:val="13"/>
                <w:b w:val="1"/>
                <w:bCs w:val="1"/>
                <w:color w:val="auto"/>
                <w:w w:val="93"/>
              </w:rPr>
              <w:t>T. Rowe Price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4"/>
          </w:tcPr>
          <w:p>
            <w:pPr>
              <w:jc w:val="center"/>
              <w:ind w:right="80"/>
              <w:spacing w:after="0" w:line="127" w:lineRule="exact"/>
              <w:rPr>
                <w:sz w:val="20"/>
                <w:szCs w:val="20"/>
                <w:color w:val="auto"/>
              </w:rPr>
            </w:pPr>
            <w:r>
              <w:rPr>
                <w:rFonts w:ascii="Arial" w:cs="Arial" w:eastAsia="Arial" w:hAnsi="Arial"/>
                <w:sz w:val="13"/>
                <w:szCs w:val="13"/>
                <w:b w:val="1"/>
                <w:bCs w:val="1"/>
                <w:color w:val="auto"/>
                <w:w w:val="94"/>
              </w:rPr>
              <w:t>consolidated</w:t>
            </w:r>
          </w:p>
        </w:tc>
        <w:tc>
          <w:tcPr>
            <w:tcW w:w="920" w:type="dxa"/>
            <w:vAlign w:val="bottom"/>
            <w:gridSpan w:val="5"/>
          </w:tcPr>
          <w:p>
            <w:pPr>
              <w:ind w:left="20"/>
              <w:spacing w:after="0" w:line="127" w:lineRule="exact"/>
              <w:rPr>
                <w:sz w:val="20"/>
                <w:szCs w:val="20"/>
                <w:color w:val="auto"/>
              </w:rPr>
            </w:pPr>
            <w:r>
              <w:rPr>
                <w:rFonts w:ascii="Arial" w:cs="Arial" w:eastAsia="Arial" w:hAnsi="Arial"/>
                <w:sz w:val="13"/>
                <w:szCs w:val="13"/>
                <w:b w:val="1"/>
                <w:bCs w:val="1"/>
                <w:color w:val="auto"/>
              </w:rPr>
              <w:t>stockholders’</w:t>
            </w:r>
          </w:p>
        </w:tc>
        <w:tc>
          <w:tcPr>
            <w:tcW w:w="20" w:type="dxa"/>
            <w:vAlign w:val="bottom"/>
          </w:tcPr>
          <w:p>
            <w:pPr>
              <w:spacing w:after="0"/>
              <w:rPr>
                <w:sz w:val="11"/>
                <w:szCs w:val="11"/>
                <w:color w:val="auto"/>
              </w:rPr>
            </w:pPr>
          </w:p>
        </w:tc>
        <w:tc>
          <w:tcPr>
            <w:tcW w:w="800" w:type="dxa"/>
            <w:vAlign w:val="bottom"/>
            <w:gridSpan w:val="3"/>
          </w:tcPr>
          <w:p>
            <w:pPr>
              <w:jc w:val="center"/>
              <w:spacing w:after="0" w:line="127"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6"/>
              </w:rPr>
              <w:t>outstanding</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4"/>
              </w:rPr>
              <w:t>stock</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6"/>
              </w:rPr>
              <w:t>Group, Inc.</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w w:val="96"/>
              </w:rPr>
              <w:t>entities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equity</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224,527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44.9</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501.8</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$8,550.4</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9,045.4</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9,239.8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834.1</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476.4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476.4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487.0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Dividends declared ($1.22 per share)</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(280.5)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(280.5)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5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Restricted shares issued, net of shares withheld for</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taxes</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56.8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56.8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5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5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Net subscriptions into T. Rowe Price investment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35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consolidations of T. Rowe Price investment</w:t>
            </w:r>
          </w:p>
        </w:tc>
        <w:tc>
          <w:tcPr>
            <w:tcW w:w="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2"/>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60" w:type="dxa"/>
            <w:vAlign w:val="bottom"/>
            <w:gridSpan w:val="2"/>
          </w:tcPr>
          <w:p>
            <w:pPr>
              <w:ind w:left="20"/>
              <w:spacing w:after="0"/>
              <w:rPr>
                <w:sz w:val="20"/>
                <w:szCs w:val="20"/>
                <w:color w:val="auto"/>
              </w:rPr>
            </w:pPr>
            <w:r>
              <w:rPr>
                <w:rFonts w:ascii="Arial" w:cs="Arial" w:eastAsia="Arial" w:hAnsi="Arial"/>
                <w:sz w:val="14"/>
                <w:szCs w:val="14"/>
                <w:color w:val="auto"/>
              </w:rPr>
              <w:t>Balances at June 30, 2023</w:t>
            </w:r>
          </w:p>
        </w:tc>
        <w:tc>
          <w:tcPr>
            <w:tcW w:w="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224,281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44.8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520.6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8,746.2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(47.8)</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9,263.8</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9,465.9</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gridSpan w:val="5"/>
          </w:tcPr>
          <w:p>
            <w:pPr>
              <w:spacing w:after="0"/>
              <w:rPr>
                <w:sz w:val="24"/>
                <w:szCs w:val="24"/>
                <w:color w:val="auto"/>
              </w:rPr>
            </w:pPr>
          </w:p>
        </w:tc>
        <w:tc>
          <w:tcPr>
            <w:tcW w:w="9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35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tcBorders>
            <w:gridSpan w:val="1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Three months ended 6/30/2022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320"/>
              <w:spacing w:after="0" w:line="120"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249"/>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6"/>
          </w:tcPr>
          <w:p>
            <w:pPr>
              <w:jc w:val="center"/>
              <w:ind w:right="100"/>
              <w:spacing w:after="0" w:line="130" w:lineRule="exact"/>
              <w:rPr>
                <w:sz w:val="20"/>
                <w:szCs w:val="20"/>
                <w:color w:val="auto"/>
              </w:rPr>
            </w:pPr>
            <w:r>
              <w:rPr>
                <w:rFonts w:ascii="Arial" w:cs="Arial" w:eastAsia="Arial" w:hAnsi="Arial"/>
                <w:sz w:val="13"/>
                <w:szCs w:val="13"/>
                <w:b w:val="1"/>
                <w:bCs w:val="1"/>
                <w:color w:val="auto"/>
                <w:w w:val="94"/>
              </w:rPr>
              <w:t>stockholders’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6"/>
            <w:vMerge w:val="restart"/>
          </w:tcPr>
          <w:p>
            <w:pPr>
              <w:jc w:val="center"/>
              <w:ind w:right="16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320"/>
              <w:spacing w:after="0" w:line="122" w:lineRule="exact"/>
              <w:rPr>
                <w:sz w:val="20"/>
                <w:szCs w:val="20"/>
                <w:color w:val="auto"/>
              </w:rPr>
            </w:pPr>
            <w:r>
              <w:rPr>
                <w:rFonts w:ascii="Arial" w:cs="Arial" w:eastAsia="Arial" w:hAnsi="Arial"/>
                <w:sz w:val="13"/>
                <w:szCs w:val="13"/>
                <w:b w:val="1"/>
                <w:bCs w:val="1"/>
                <w:color w:val="auto"/>
                <w:w w:val="93"/>
              </w:rPr>
              <w:t>equity</w:t>
            </w:r>
          </w:p>
        </w:tc>
        <w:tc>
          <w:tcPr>
            <w:tcW w:w="20" w:type="dxa"/>
            <w:vAlign w:val="bottom"/>
          </w:tcPr>
          <w:p>
            <w:pPr>
              <w:spacing w:after="0"/>
              <w:rPr>
                <w:sz w:val="10"/>
                <w:szCs w:val="10"/>
                <w:color w:val="auto"/>
              </w:rPr>
            </w:pPr>
          </w:p>
        </w:tc>
        <w:tc>
          <w:tcPr>
            <w:tcW w:w="880" w:type="dxa"/>
            <w:vAlign w:val="bottom"/>
            <w:gridSpan w:val="3"/>
          </w:tcPr>
          <w:p>
            <w:pPr>
              <w:jc w:val="center"/>
              <w:ind w:right="69"/>
              <w:spacing w:after="0" w:line="122" w:lineRule="exact"/>
              <w:rPr>
                <w:sz w:val="20"/>
                <w:szCs w:val="20"/>
                <w:color w:val="auto"/>
              </w:rPr>
            </w:pPr>
            <w:r>
              <w:rPr>
                <w:rFonts w:ascii="Arial" w:cs="Arial" w:eastAsia="Arial" w:hAnsi="Arial"/>
                <w:sz w:val="13"/>
                <w:szCs w:val="13"/>
                <w:b w:val="1"/>
                <w:bCs w:val="1"/>
                <w:color w:val="auto"/>
                <w:w w:val="98"/>
              </w:rPr>
              <w:t>controlling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5"/>
            <w:vMerge w:val="restart"/>
          </w:tcPr>
          <w:p>
            <w:pPr>
              <w:ind w:left="60"/>
              <w:spacing w:after="0"/>
              <w:rPr>
                <w:sz w:val="20"/>
                <w:szCs w:val="20"/>
                <w:color w:val="auto"/>
              </w:rPr>
            </w:pPr>
            <w:r>
              <w:rPr>
                <w:rFonts w:ascii="Arial" w:cs="Arial" w:eastAsia="Arial" w:hAnsi="Arial"/>
                <w:sz w:val="13"/>
                <w:szCs w:val="13"/>
                <w:b w:val="1"/>
                <w:bCs w:val="1"/>
                <w:color w:val="auto"/>
              </w:rPr>
              <w:t>Common</w:t>
            </w:r>
          </w:p>
        </w:tc>
        <w:tc>
          <w:tcPr>
            <w:tcW w:w="740" w:type="dxa"/>
            <w:vAlign w:val="bottom"/>
            <w:gridSpan w:val="5"/>
          </w:tcPr>
          <w:p>
            <w:pPr>
              <w:jc w:val="center"/>
              <w:ind w:right="120"/>
              <w:spacing w:after="0" w:line="127" w:lineRule="exact"/>
              <w:rPr>
                <w:sz w:val="20"/>
                <w:szCs w:val="20"/>
                <w:color w:val="auto"/>
              </w:rPr>
            </w:pPr>
            <w:r>
              <w:rPr>
                <w:rFonts w:ascii="Arial" w:cs="Arial" w:eastAsia="Arial" w:hAnsi="Arial"/>
                <w:sz w:val="13"/>
                <w:szCs w:val="13"/>
                <w:b w:val="1"/>
                <w:bCs w:val="1"/>
                <w:color w:val="auto"/>
                <w:w w:val="95"/>
              </w:rPr>
              <w:t>capital in</w:t>
            </w: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6"/>
          </w:tcPr>
          <w:p>
            <w:pPr>
              <w:jc w:val="center"/>
              <w:ind w:right="100"/>
              <w:spacing w:after="0" w:line="127" w:lineRule="exact"/>
              <w:rPr>
                <w:sz w:val="20"/>
                <w:szCs w:val="20"/>
                <w:color w:val="auto"/>
              </w:rPr>
            </w:pPr>
            <w:r>
              <w:rPr>
                <w:rFonts w:ascii="Arial" w:cs="Arial" w:eastAsia="Arial" w:hAnsi="Arial"/>
                <w:sz w:val="13"/>
                <w:szCs w:val="13"/>
                <w:b w:val="1"/>
                <w:bCs w:val="1"/>
                <w:color w:val="auto"/>
                <w:w w:val="96"/>
              </w:rPr>
              <w:t>attributable to</w:t>
            </w:r>
          </w:p>
        </w:tc>
        <w:tc>
          <w:tcPr>
            <w:tcW w:w="20" w:type="dxa"/>
            <w:vAlign w:val="bottom"/>
          </w:tcPr>
          <w:p>
            <w:pPr>
              <w:spacing w:after="0"/>
              <w:rPr>
                <w:sz w:val="11"/>
                <w:szCs w:val="11"/>
                <w:color w:val="auto"/>
              </w:rPr>
            </w:pPr>
          </w:p>
        </w:tc>
        <w:tc>
          <w:tcPr>
            <w:tcW w:w="880" w:type="dxa"/>
            <w:vAlign w:val="bottom"/>
            <w:gridSpan w:val="3"/>
          </w:tcPr>
          <w:p>
            <w:pPr>
              <w:jc w:val="center"/>
              <w:ind w:right="69"/>
              <w:spacing w:after="0" w:line="127" w:lineRule="exact"/>
              <w:rPr>
                <w:sz w:val="20"/>
                <w:szCs w:val="20"/>
                <w:color w:val="auto"/>
              </w:rPr>
            </w:pPr>
            <w:r>
              <w:rPr>
                <w:rFonts w:ascii="Arial" w:cs="Arial" w:eastAsia="Arial" w:hAnsi="Arial"/>
                <w:sz w:val="13"/>
                <w:szCs w:val="13"/>
                <w:b w:val="1"/>
                <w:bCs w:val="1"/>
                <w:color w:val="auto"/>
                <w:w w:val="95"/>
              </w:rPr>
              <w:t>interests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380"/>
              <w:spacing w:after="0" w:line="127"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5"/>
              </w:rPr>
              <w:t>shares</w:t>
            </w:r>
          </w:p>
        </w:tc>
        <w:tc>
          <w:tcPr>
            <w:tcW w:w="760" w:type="dxa"/>
            <w:vAlign w:val="bottom"/>
            <w:gridSpan w:val="5"/>
            <w:vMerge w:val="continue"/>
          </w:tcPr>
          <w:p>
            <w:pPr>
              <w:spacing w:after="0"/>
              <w:rPr>
                <w:sz w:val="11"/>
                <w:szCs w:val="11"/>
                <w:color w:val="auto"/>
              </w:rPr>
            </w:pPr>
          </w:p>
        </w:tc>
        <w:tc>
          <w:tcPr>
            <w:tcW w:w="740" w:type="dxa"/>
            <w:vAlign w:val="bottom"/>
            <w:gridSpan w:val="5"/>
          </w:tcPr>
          <w:p>
            <w:pPr>
              <w:jc w:val="center"/>
              <w:ind w:right="120"/>
              <w:spacing w:after="0" w:line="130" w:lineRule="exact"/>
              <w:rPr>
                <w:sz w:val="20"/>
                <w:szCs w:val="20"/>
                <w:color w:val="auto"/>
              </w:rPr>
            </w:pPr>
            <w:r>
              <w:rPr>
                <w:rFonts w:ascii="Arial" w:cs="Arial" w:eastAsia="Arial" w:hAnsi="Arial"/>
                <w:sz w:val="13"/>
                <w:szCs w:val="13"/>
                <w:b w:val="1"/>
                <w:bCs w:val="1"/>
                <w:color w:val="auto"/>
                <w:w w:val="97"/>
              </w:rPr>
              <w:t>excess of</w:t>
            </w:r>
          </w:p>
        </w:tc>
        <w:tc>
          <w:tcPr>
            <w:tcW w:w="7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5"/>
          </w:tcPr>
          <w:p>
            <w:pPr>
              <w:jc w:val="center"/>
              <w:ind w:right="140"/>
              <w:spacing w:after="0" w:line="130" w:lineRule="exact"/>
              <w:rPr>
                <w:sz w:val="20"/>
                <w:szCs w:val="20"/>
                <w:color w:val="auto"/>
              </w:rPr>
            </w:pPr>
            <w:r>
              <w:rPr>
                <w:rFonts w:ascii="Arial" w:cs="Arial" w:eastAsia="Arial" w:hAnsi="Arial"/>
                <w:sz w:val="13"/>
                <w:szCs w:val="13"/>
                <w:b w:val="1"/>
                <w:bCs w:val="1"/>
                <w:color w:val="auto"/>
                <w:w w:val="93"/>
              </w:rPr>
              <w:t>T. Rowe Price</w:t>
            </w:r>
          </w:p>
        </w:tc>
        <w:tc>
          <w:tcPr>
            <w:tcW w:w="900" w:type="dxa"/>
            <w:vAlign w:val="bottom"/>
            <w:gridSpan w:val="4"/>
          </w:tcPr>
          <w:p>
            <w:pPr>
              <w:jc w:val="center"/>
              <w:ind w:right="49"/>
              <w:spacing w:after="0" w:line="130" w:lineRule="exact"/>
              <w:rPr>
                <w:sz w:val="20"/>
                <w:szCs w:val="20"/>
                <w:color w:val="auto"/>
              </w:rPr>
            </w:pPr>
            <w:r>
              <w:rPr>
                <w:rFonts w:ascii="Arial" w:cs="Arial" w:eastAsia="Arial" w:hAnsi="Arial"/>
                <w:sz w:val="13"/>
                <w:szCs w:val="13"/>
                <w:b w:val="1"/>
                <w:bCs w:val="1"/>
                <w:color w:val="auto"/>
                <w:w w:val="97"/>
              </w:rPr>
              <w:t>consolidated</w:t>
            </w:r>
          </w:p>
        </w:tc>
        <w:tc>
          <w:tcPr>
            <w:tcW w:w="920" w:type="dxa"/>
            <w:vAlign w:val="bottom"/>
            <w:gridSpan w:val="5"/>
          </w:tcPr>
          <w:p>
            <w:pPr>
              <w:spacing w:after="0" w:line="130" w:lineRule="exact"/>
              <w:rPr>
                <w:sz w:val="20"/>
                <w:szCs w:val="20"/>
                <w:color w:val="auto"/>
              </w:rPr>
            </w:pPr>
            <w:r>
              <w:rPr>
                <w:rFonts w:ascii="Arial" w:cs="Arial" w:eastAsia="Arial" w:hAnsi="Arial"/>
                <w:sz w:val="13"/>
                <w:szCs w:val="13"/>
                <w:b w:val="1"/>
                <w:bCs w:val="1"/>
                <w:color w:val="auto"/>
              </w:rPr>
              <w:t>stockholders’</w:t>
            </w:r>
          </w:p>
        </w:tc>
        <w:tc>
          <w:tcPr>
            <w:tcW w:w="60" w:type="dxa"/>
            <w:vAlign w:val="bottom"/>
          </w:tcPr>
          <w:p>
            <w:pPr>
              <w:spacing w:after="0"/>
              <w:rPr>
                <w:sz w:val="11"/>
                <w:szCs w:val="11"/>
                <w:color w:val="auto"/>
              </w:rPr>
            </w:pPr>
          </w:p>
        </w:tc>
        <w:tc>
          <w:tcPr>
            <w:tcW w:w="880" w:type="dxa"/>
            <w:vAlign w:val="bottom"/>
            <w:gridSpan w:val="5"/>
          </w:tcPr>
          <w:p>
            <w:pPr>
              <w:jc w:val="center"/>
              <w:ind w:right="220"/>
              <w:spacing w:after="0" w:line="130"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earnings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Group, Inc.</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9"/>
              <w:spacing w:after="0"/>
              <w:rPr>
                <w:sz w:val="20"/>
                <w:szCs w:val="20"/>
                <w:color w:val="auto"/>
              </w:rPr>
            </w:pPr>
            <w:r>
              <w:rPr>
                <w:rFonts w:ascii="Arial" w:cs="Arial" w:eastAsia="Arial" w:hAnsi="Arial"/>
                <w:sz w:val="13"/>
                <w:szCs w:val="13"/>
                <w:b w:val="1"/>
                <w:bCs w:val="1"/>
                <w:color w:val="auto"/>
                <w:w w:val="96"/>
              </w:rPr>
              <w:t>entities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March 31, 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227,283</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$8,372.2</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272.2</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9,326.6</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339.6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288.7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Dividends declared ($1.20 per share)</w:t>
            </w:r>
          </w:p>
        </w:tc>
        <w:tc>
          <w:tcPr>
            <w:tcW w:w="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(277.2)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distributions from non-controlling interests in</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consolidated entities</w:t>
            </w:r>
          </w:p>
        </w:tc>
        <w:tc>
          <w:tcPr>
            <w:tcW w:w="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redemptions from T. Rowe Price investment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(155.2)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products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225,715</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$ 8,311.9</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8,964.2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208.8</w:t>
            </w: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9,173.0</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6" w:name="page7"/>
    <w:bookmarkEnd w:id="6"/>
    <w:p>
      <w:pPr>
        <w:ind w:right="3580"/>
        <w:spacing w:after="0" w:line="301"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66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7"/>
            <w:shd w:val="clear" w:color="auto" w:fill="CCEEFF"/>
          </w:tcPr>
          <w:p>
            <w:pPr>
              <w:jc w:val="right"/>
              <w:ind w:right="70"/>
              <w:spacing w:after="0"/>
              <w:rPr>
                <w:sz w:val="20"/>
                <w:szCs w:val="20"/>
                <w:color w:val="auto"/>
              </w:rPr>
            </w:pPr>
            <w:r>
              <w:rPr>
                <w:rFonts w:ascii="Arial" w:cs="Arial" w:eastAsia="Arial" w:hAnsi="Arial"/>
                <w:sz w:val="13"/>
                <w:szCs w:val="13"/>
                <w:b w:val="1"/>
                <w:bCs w:val="1"/>
                <w:color w:val="auto"/>
              </w:rPr>
              <w:t>Six months ended 6/30/2023</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0"/>
              <w:spacing w:after="0" w:line="115" w:lineRule="exact"/>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line="127" w:lineRule="exact"/>
              <w:rPr>
                <w:sz w:val="20"/>
                <w:szCs w:val="20"/>
                <w:color w:val="auto"/>
              </w:rPr>
            </w:pPr>
            <w:r>
              <w:rPr>
                <w:rFonts w:ascii="Arial" w:cs="Arial" w:eastAsia="Arial" w:hAnsi="Arial"/>
                <w:sz w:val="13"/>
                <w:szCs w:val="13"/>
                <w:b w:val="1"/>
                <w:bCs w:val="1"/>
                <w:color w:val="auto"/>
                <w:w w:val="99"/>
              </w:rPr>
              <w:t>stockholders’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9"/>
              </w:rPr>
              <w:t>Redeemable</w:t>
            </w: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0"/>
              <w:spacing w:after="0" w:line="130" w:lineRule="exact"/>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1"/>
                <w:szCs w:val="11"/>
                <w:color w:val="auto"/>
              </w:rPr>
            </w:pP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0"/>
                <w:szCs w:val="10"/>
                <w:color w:val="auto"/>
              </w:rPr>
            </w:pPr>
          </w:p>
        </w:tc>
        <w:tc>
          <w:tcPr>
            <w:tcW w:w="6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99"/>
              </w:rPr>
              <w:t>attributable to</w:t>
            </w:r>
          </w:p>
        </w:tc>
        <w:tc>
          <w:tcPr>
            <w:tcW w:w="8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7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1"/>
                <w:szCs w:val="11"/>
                <w:color w:val="auto"/>
              </w:rPr>
            </w:pPr>
          </w:p>
        </w:tc>
        <w:tc>
          <w:tcPr>
            <w:tcW w:w="900" w:type="dxa"/>
            <w:vAlign w:val="bottom"/>
            <w:gridSpan w:val="2"/>
          </w:tcPr>
          <w:p>
            <w:pPr>
              <w:ind w:left="40"/>
              <w:spacing w:after="0" w:line="127" w:lineRule="exact"/>
              <w:rPr>
                <w:sz w:val="20"/>
                <w:szCs w:val="20"/>
                <w:color w:val="auto"/>
              </w:rPr>
            </w:pPr>
            <w:r>
              <w:rPr>
                <w:rFonts w:ascii="Arial" w:cs="Arial" w:eastAsia="Arial" w:hAnsi="Arial"/>
                <w:sz w:val="13"/>
                <w:szCs w:val="13"/>
                <w:b w:val="1"/>
                <w:bCs w:val="1"/>
                <w:color w:val="auto"/>
                <w:w w:val="98"/>
              </w:rPr>
              <w:t>T. Rowe Price</w:t>
            </w:r>
          </w:p>
        </w:tc>
        <w:tc>
          <w:tcPr>
            <w:tcW w:w="80" w:type="dxa"/>
            <w:vAlign w:val="bottom"/>
          </w:tcPr>
          <w:p>
            <w:pPr>
              <w:spacing w:after="0"/>
              <w:rPr>
                <w:sz w:val="11"/>
                <w:szCs w:val="11"/>
                <w:color w:val="auto"/>
              </w:rPr>
            </w:pPr>
          </w:p>
        </w:tc>
        <w:tc>
          <w:tcPr>
            <w:tcW w:w="82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3"/>
                <w:szCs w:val="13"/>
                <w:b w:val="1"/>
                <w:bCs w:val="1"/>
                <w:color w:val="auto"/>
                <w:w w:val="95"/>
              </w:rPr>
              <w:t>Stockholders’</w:t>
            </w:r>
          </w:p>
        </w:tc>
        <w:tc>
          <w:tcPr>
            <w:tcW w:w="80" w:type="dxa"/>
            <w:vAlign w:val="bottom"/>
          </w:tcPr>
          <w:p>
            <w:pPr>
              <w:spacing w:after="0"/>
              <w:rPr>
                <w:sz w:val="11"/>
                <w:szCs w:val="11"/>
                <w:color w:val="auto"/>
              </w:rPr>
            </w:pPr>
          </w:p>
        </w:tc>
        <w:tc>
          <w:tcPr>
            <w:tcW w:w="82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4"/>
        </w:trPr>
        <w:tc>
          <w:tcPr>
            <w:tcW w:w="36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9"/>
              </w:rPr>
              <w:t>stock</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Group, Inc.</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2022</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224,310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$8,409.7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8,839.5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($2.44 per share)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tcPr>
          <w:p>
            <w:pPr>
              <w:ind w:left="20"/>
              <w:spacing w:after="0" w:line="157" w:lineRule="exact"/>
              <w:rPr>
                <w:sz w:val="20"/>
                <w:szCs w:val="20"/>
                <w:color w:val="auto"/>
              </w:rPr>
            </w:pPr>
            <w:r>
              <w:rPr>
                <w:rFonts w:ascii="Arial" w:cs="Arial" w:eastAsia="Arial" w:hAnsi="Arial"/>
                <w:sz w:val="14"/>
                <w:szCs w:val="14"/>
                <w:color w:val="auto"/>
              </w:rPr>
              <w:t>Restricted shares issued, net of shares withheld for</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taxes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consolidations of T. Rowe Price investment products</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3"/>
        </w:trPr>
        <w:tc>
          <w:tcPr>
            <w:tcW w:w="3660" w:type="dxa"/>
            <w:vAlign w:val="bottom"/>
          </w:tcPr>
          <w:p>
            <w:pPr>
              <w:ind w:left="20"/>
              <w:spacing w:after="0"/>
              <w:rPr>
                <w:sz w:val="20"/>
                <w:szCs w:val="20"/>
                <w:color w:val="auto"/>
              </w:rPr>
            </w:pPr>
            <w:r>
              <w:rPr>
                <w:rFonts w:ascii="Arial" w:cs="Arial" w:eastAsia="Arial" w:hAnsi="Arial"/>
                <w:sz w:val="14"/>
                <w:szCs w:val="14"/>
                <w:color w:val="auto"/>
              </w:rPr>
              <w:t>Balances at June 30, 2023</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224,281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44.8</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520.6</w:t>
            </w: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8,746.2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(47.8)</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9,263.8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202.1</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9,465.</w:t>
            </w:r>
            <w:r>
              <w:rPr>
                <w:rFonts w:ascii="Arial" w:cs="Arial" w:eastAsia="Arial" w:hAnsi="Arial"/>
                <w:sz w:val="14"/>
                <w:szCs w:val="14"/>
                <w:u w:val="single" w:color="auto"/>
                <w:color w:val="auto"/>
              </w:rPr>
              <w:t>9</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46"/>
        </w:trPr>
        <w:tc>
          <w:tcPr>
            <w:tcW w:w="366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9"/>
        </w:trPr>
        <w:tc>
          <w:tcPr>
            <w:tcW w:w="36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gridSpan w:val="2"/>
          </w:tcPr>
          <w:p>
            <w:pPr>
              <w:spacing w:after="0"/>
              <w:rPr>
                <w:sz w:val="24"/>
                <w:szCs w:val="24"/>
                <w:color w:val="auto"/>
              </w:rPr>
            </w:pPr>
          </w:p>
        </w:tc>
        <w:tc>
          <w:tcPr>
            <w:tcW w:w="720" w:type="dxa"/>
            <w:vAlign w:val="bottom"/>
            <w:tcBorders>
              <w:top w:val="single" w:sz="8" w:color="CCEEFF"/>
            </w:tcBorders>
            <w:gridSpan w:val="3"/>
          </w:tcPr>
          <w:p>
            <w:pPr>
              <w:spacing w:after="0"/>
              <w:rPr>
                <w:sz w:val="24"/>
                <w:szCs w:val="24"/>
                <w:color w:val="auto"/>
              </w:rPr>
            </w:pPr>
          </w:p>
        </w:tc>
        <w:tc>
          <w:tcPr>
            <w:tcW w:w="90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gridSpan w:val="7"/>
            <w:shd w:val="clear" w:color="auto" w:fill="CCEEFF"/>
          </w:tcPr>
          <w:p>
            <w:pPr>
              <w:jc w:val="right"/>
              <w:ind w:right="70"/>
              <w:spacing w:after="0"/>
              <w:rPr>
                <w:sz w:val="20"/>
                <w:szCs w:val="20"/>
                <w:color w:val="auto"/>
              </w:rPr>
            </w:pPr>
            <w:r>
              <w:rPr>
                <w:rFonts w:ascii="Arial" w:cs="Arial" w:eastAsia="Arial" w:hAnsi="Arial"/>
                <w:sz w:val="13"/>
                <w:szCs w:val="13"/>
                <w:b w:val="1"/>
                <w:bCs w:val="1"/>
                <w:color w:val="auto"/>
              </w:rPr>
              <w:t>Six months ended 6/30/2022</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0"/>
              <w:spacing w:after="0" w:line="120" w:lineRule="exact"/>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3"/>
                <w:szCs w:val="13"/>
                <w:b w:val="1"/>
                <w:bCs w:val="1"/>
                <w:color w:val="auto"/>
                <w:w w:val="99"/>
              </w:rPr>
              <w:t>stockholders’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0"/>
              <w:spacing w:after="0" w:line="122" w:lineRule="exact"/>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0"/>
                <w:szCs w:val="10"/>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66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3"/>
                <w:szCs w:val="13"/>
                <w:b w:val="1"/>
                <w:bCs w:val="1"/>
                <w:color w:val="auto"/>
                <w:w w:val="99"/>
              </w:rPr>
              <w:t>attributable to</w:t>
            </w:r>
          </w:p>
        </w:tc>
        <w:tc>
          <w:tcPr>
            <w:tcW w:w="80" w:type="dxa"/>
            <w:vAlign w:val="bottom"/>
          </w:tcPr>
          <w:p>
            <w:pPr>
              <w:spacing w:after="0"/>
              <w:rPr>
                <w:sz w:val="11"/>
                <w:szCs w:val="11"/>
                <w:color w:val="auto"/>
              </w:rPr>
            </w:pPr>
          </w:p>
        </w:tc>
        <w:tc>
          <w:tcPr>
            <w:tcW w:w="82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9"/>
              <w:spacing w:after="0" w:line="127"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30"/>
        </w:trPr>
        <w:tc>
          <w:tcPr>
            <w:tcW w:w="366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3"/>
                <w:szCs w:val="13"/>
                <w:b w:val="1"/>
                <w:bCs w:val="1"/>
                <w:color w:val="auto"/>
                <w:w w:val="98"/>
              </w:rPr>
              <w:t>T. Rowe Price</w:t>
            </w:r>
          </w:p>
        </w:tc>
        <w:tc>
          <w:tcPr>
            <w:tcW w:w="80" w:type="dxa"/>
            <w:vAlign w:val="bottom"/>
          </w:tcPr>
          <w:p>
            <w:pPr>
              <w:spacing w:after="0"/>
              <w:rPr>
                <w:sz w:val="11"/>
                <w:szCs w:val="11"/>
                <w:color w:val="auto"/>
              </w:rPr>
            </w:pP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w w:val="95"/>
              </w:rPr>
              <w:t>Stockholders’</w:t>
            </w:r>
          </w:p>
        </w:tc>
        <w:tc>
          <w:tcPr>
            <w:tcW w:w="80" w:type="dxa"/>
            <w:vAlign w:val="bottom"/>
          </w:tcPr>
          <w:p>
            <w:pPr>
              <w:spacing w:after="0"/>
              <w:rPr>
                <w:sz w:val="11"/>
                <w:szCs w:val="11"/>
                <w:color w:val="auto"/>
              </w:rPr>
            </w:pP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9"/>
              </w:rPr>
              <w:t>stock</w:t>
            </w:r>
          </w:p>
        </w:tc>
        <w:tc>
          <w:tcPr>
            <w:tcW w:w="80" w:type="dxa"/>
            <w:vAlign w:val="bottom"/>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6"/>
              </w:rPr>
              <w:t>Group, Inc.</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3"/>
              </w:rPr>
              <w:t>equity</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229,175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9,022.7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9,271.4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907.5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907.5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9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color w:val="auto"/>
              </w:rPr>
              <w:t>Dividends declared ($2.40 per share)</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660" w:type="dxa"/>
            <w:vAlign w:val="bottom"/>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redemptions from T. Rowe Price investment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60" w:type="dxa"/>
            <w:vAlign w:val="bottom"/>
          </w:tcPr>
          <w:p>
            <w:pPr>
              <w:ind w:left="20"/>
              <w:spacing w:after="0" w:line="157" w:lineRule="exact"/>
              <w:rPr>
                <w:sz w:val="20"/>
                <w:szCs w:val="20"/>
                <w:color w:val="auto"/>
              </w:rPr>
            </w:pPr>
            <w:r>
              <w:rPr>
                <w:rFonts w:ascii="Arial" w:cs="Arial" w:eastAsia="Arial" w:hAnsi="Arial"/>
                <w:sz w:val="14"/>
                <w:szCs w:val="14"/>
                <w:color w:val="auto"/>
              </w:rPr>
              <w:t>Net deconsolidations of T. Rowe Price investment</w:t>
            </w: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products</w:t>
            </w: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225,715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$ 8,311.9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i w:val="1"/>
          <w:iCs w:val="1"/>
          <w:color w:val="auto"/>
          <w:vertAlign w:val="superscript"/>
        </w:rPr>
      </w:pPr>
      <w:r>
        <w:rPr>
          <w:rFonts w:ascii="Arial" w:cs="Arial" w:eastAsia="Arial" w:hAnsi="Arial"/>
          <w:sz w:val="10"/>
          <w:szCs w:val="10"/>
          <w:i w:val="1"/>
          <w:iCs w:val="1"/>
          <w:color w:val="auto"/>
        </w:rPr>
        <w:t>Accumulated other comprehensive income.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 Rowe Price Group, Inc. (“T. Rowe Price”, “us”, or “we”)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2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1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2022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revenues are derived primarily from investment advisory services provided to individual and institutional investors through the use of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w:t>
      </w:r>
    </w:p>
    <w:p>
      <w:pPr>
        <w:spacing w:after="0" w:line="2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1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01"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manage a broad mix of equity, fixed income, multi-asset, and alternative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 w:name="page9"/>
    <w:bookmarkEnd w:id="8"/>
    <w:p>
      <w:pPr>
        <w:ind w:right="20"/>
        <w:spacing w:after="0" w:line="263" w:lineRule="auto"/>
        <w:rPr>
          <w:sz w:val="20"/>
          <w:szCs w:val="20"/>
          <w:color w:val="auto"/>
        </w:rPr>
      </w:pPr>
      <w:r>
        <w:rPr>
          <w:rFonts w:ascii="Arial" w:cs="Arial" w:eastAsia="Arial" w:hAnsi="Arial"/>
          <w:sz w:val="18"/>
          <w:szCs w:val="18"/>
          <w:color w:val="auto"/>
        </w:rPr>
        <w:t>Net revenues earned for the three and six months ended June 30, 2023 and 2022, are included in the table below along with details of investment advisory revenues earned from clients by their underlying asset class. We have also included average assets under management by asset class, on which we earn the investment advisory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4"/>
            <w:shd w:val="clear" w:color="auto" w:fill="CCEEFF"/>
          </w:tcPr>
          <w:p>
            <w:pPr>
              <w:jc w:val="right"/>
              <w:ind w:right="29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gridSpan w:val="4"/>
            <w:shd w:val="clear" w:color="auto" w:fill="CCEEFF"/>
          </w:tcPr>
          <w:p>
            <w:pPr>
              <w:jc w:val="right"/>
              <w:ind w:right="371"/>
              <w:spacing w:after="0"/>
              <w:rPr>
                <w:sz w:val="20"/>
                <w:szCs w:val="20"/>
                <w:color w:val="auto"/>
              </w:rPr>
            </w:pPr>
            <w:r>
              <w:rPr>
                <w:rFonts w:ascii="Arial" w:cs="Arial" w:eastAsia="Arial" w:hAnsi="Arial"/>
                <w:sz w:val="13"/>
                <w:szCs w:val="13"/>
                <w:b w:val="1"/>
                <w:bCs w:val="1"/>
                <w:color w:val="auto"/>
              </w:rPr>
              <w:t>Six months ended</w:t>
            </w:r>
          </w:p>
        </w:tc>
      </w:tr>
      <w:tr>
        <w:trPr>
          <w:trHeight w:val="19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6/30/2023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6/30/2022</w:t>
            </w:r>
          </w:p>
        </w:tc>
      </w:tr>
      <w:tr>
        <w:trPr>
          <w:trHeight w:val="250"/>
        </w:trPr>
        <w:tc>
          <w:tcPr>
            <w:tcW w:w="6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w:t>
            </w: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29"/>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Multi-asset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r>
      <w:tr>
        <w:trPr>
          <w:trHeight w:val="243"/>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Alternatives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advisory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12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Total administrative, distribution, and servicing fees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allocation-based income</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1,513.0</w:t>
            </w:r>
          </w:p>
        </w:tc>
        <w:tc>
          <w:tcPr>
            <w:tcW w:w="120" w:type="dxa"/>
            <w:vAlign w:val="bottom"/>
            <w:tcBorders>
              <w:right w:val="single" w:sz="8" w:color="auto"/>
            </w:tcBorders>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3,376.0</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176.3</w:t>
            </w:r>
          </w:p>
        </w:tc>
      </w:tr>
      <w:tr>
        <w:trPr>
          <w:trHeight w:val="229"/>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Multi-asset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43"/>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Alternatives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r>
      <w:tr>
        <w:trPr>
          <w:trHeight w:val="24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Total net revenues earned from our sponsored products, primarily our sponsored U.S. mutual funds and collective investment trusts, aggregate $1,324.4 million and $1,221.1 million for the three months ended June 30, 2023 and 2022, respectively. For the six months ended June 30, 2023 and 2022, total net revenues earned from our sponsored products aggregate $ 2,592.4 million and $2,757.5 million, respectively. Accounts receivable from our sponsored products aggregate to $493.0 million at June 30, 2023 and $492.4 million at December 31, 2022.</w:t>
      </w:r>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8.9%, 8.9%, and 9.1% of our assets under management at June 30, 2023, March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sponsored investment products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6/30/2023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12/31/2022</w:t>
            </w: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6"/>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43"/>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36"/>
        </w:trPr>
        <w:tc>
          <w:tcPr>
            <w:tcW w:w="87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870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36"/>
        </w:trPr>
        <w:tc>
          <w:tcPr>
            <w:tcW w:w="870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467.8</w:t>
            </w:r>
          </w:p>
        </w:tc>
      </w:tr>
      <w:tr>
        <w:trPr>
          <w:trHeight w:val="236"/>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8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U.S. Treasury note</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During the three- and six- months ended June 30, 2023, net gains on investments included $28.3 million and $75.0 million, respectively, of net unrealized gains related to investments held at fair value that were still held at June 30, 2023. For the same periods of 2022, net losses on investments included $131.2 million and $225.5 million of net unrealized losses related to investments held at fair value that were still held at June 30, 2022.</w:t>
      </w:r>
    </w:p>
    <w:p>
      <w:pPr>
        <w:spacing w:after="0" w:line="2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six months ended June 30, 2023 and 2022, certain sponsored investment products in which we provided initial seed capital at the time of formation were deconsolidated, as we no longer had a controlling interest. Depending on our ownership interest, we are now reporting our residual interests in these sponsored investment products as either an equity method investment or an investment held at fair value. Additionally, during the six months ended June 30, 2023 and 2022, certain sponsored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8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4"/>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4"/>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6/30/2022</w:t>
            </w:r>
          </w:p>
        </w:tc>
      </w:tr>
      <w:tr>
        <w:trPr>
          <w:trHeight w:val="22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assets of consolidated sponsored investment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Net decrease in liabilities of consolidated sponsored investment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148"/>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upon deconsolidation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ind w:right="180"/>
        <w:spacing w:after="0" w:line="263" w:lineRule="auto"/>
        <w:rPr>
          <w:sz w:val="20"/>
          <w:szCs w:val="20"/>
          <w:color w:val="auto"/>
        </w:rPr>
      </w:pPr>
      <w:r>
        <w:rPr>
          <w:rFonts w:ascii="Arial" w:cs="Arial" w:eastAsia="Arial" w:hAnsi="Arial"/>
          <w:sz w:val="18"/>
          <w:szCs w:val="18"/>
          <w:color w:val="auto"/>
        </w:rPr>
        <w:t>The gains recognized upon deconsolidation were the result of reclassifying currency translation adjustments accumulated on certain sponsored investment products with non-USD functional currencies from accumulated other comprehensive income (loss) to non-operating income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debt associated with our long-term investments in affiliated collateralized loan obligations (“CLOs”). As of June 30, 2023 and December 31, 2022, the debt is carried at $100.0 million and $103.0 million, respectively, and is reported in accounts payable and accrued expenses in our unaudited condensed consolidated balance sheets. The debt includes outstanding repurchase agreements of € 65.7 million (equivalent to $71.7 million at June 30, 2023 and $71.3 million at December 31, 2022 at the respective EUR spot rates) that are collateralized by the CLO investments. The debt also includes outstanding note facilities of € 35.6 million (equivalent to $28.3 million at June 30, 2023 and $ 31.7 million at December 31, 2022 at the respective EUR spot rates) that are collateralized by first priority security interests in the assets of a consolidated subsidiary that is party to the notes. These note facilities bear interest at rates based on EURIBOR plus the initial margin, which equals all-in rates ranging from 1.15% to 12.07% as of June 30, 2023. The debt matures on various dates through 2035 or if the investments are paid back in full or cancelled, whichever is sooner.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6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Our investments at June 30, 2023 and December 31, 2022 include interests in variable interest entities that we do not consolidate as we are not deemed the primary beneficiary. Our maximum risk of loss related to our involvement with these entities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12/31/2022</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762.2</w:t>
            </w:r>
          </w:p>
        </w:tc>
      </w:tr>
      <w:tr>
        <w:trPr>
          <w:trHeight w:val="23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50"/>
        </w:trPr>
        <w:tc>
          <w:tcPr>
            <w:tcW w:w="8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unfunded capital commitments, totaling $125.9 million at June 30, 2023 and $84.7 million at December 31, 2022, relate primarily to the affiliated private investment funds and the investment partnerships in which we have an existing investment. In addition to such amounts, a percentage of prior distributions may be called under certain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FUNDS.</w:t>
      </w:r>
    </w:p>
    <w:p>
      <w:pPr>
        <w:spacing w:after="0" w:line="2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2021, as part of the OHA acquisition, we acquired a majority of the equity interests in entities that have interests in general partners of affiliated private investment funds and are entitled to a disproportionate allocation of income. These entities are considered variable interest entities and are consolidated as T. Rowe Price was determined to be the primary beneficiary.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6/30/2023</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Assets</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558.3</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526.2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60" w:type="dxa"/>
            <w:vAlign w:val="bottom"/>
            <w:tcBorders>
              <w:bottom w:val="single" w:sz="8" w:color="auto"/>
            </w:tcBorders>
            <w:shd w:val="clear" w:color="auto" w:fill="CCEEFF"/>
          </w:tcPr>
          <w:p>
            <w:pPr>
              <w:jc w:val="right"/>
              <w:ind w:right="135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6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60" w:type="dxa"/>
            <w:vAlign w:val="bottom"/>
          </w:tcPr>
          <w:p>
            <w:pPr>
              <w:jc w:val="right"/>
              <w:ind w:right="135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202.1</w:t>
            </w:r>
          </w:p>
        </w:tc>
        <w:tc>
          <w:tcPr>
            <w:tcW w:w="540" w:type="dxa"/>
            <w:vAlign w:val="bottom"/>
            <w:gridSpan w:val="2"/>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190.7</w:t>
            </w:r>
          </w:p>
        </w:tc>
      </w:tr>
      <w:tr>
        <w:trPr>
          <w:trHeight w:val="21"/>
        </w:trPr>
        <w:tc>
          <w:tcPr>
            <w:tcW w:w="66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1"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20" w:hanging="728"/>
        <w:spacing w:after="0" w:line="25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on our unaudited condensed consolidated balance sheets and are detailed in Note 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6/30/2023</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12/31/2022</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3,005.7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$75.7 million at June 30, 2023, and $86.4 million at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was contingent</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The amount recorded as compensation expense for the three- and six- months ended June 30, 2023 was immaterial.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ind w:right="480"/>
        <w:spacing w:after="0" w:line="275"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5"/>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Contingent Consideration Liability</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83"/>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6/30/2023</w:t>
            </w:r>
          </w:p>
        </w:tc>
        <w:tc>
          <w:tcPr>
            <w:tcW w:w="5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6/30/2023</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6/30/2022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46.2</w:t>
            </w:r>
          </w:p>
        </w:tc>
        <w:tc>
          <w:tcPr>
            <w:tcW w:w="5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3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period adjustment</w:t>
            </w: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Unrealized gains, included in earnings</w:t>
            </w: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(23.2) (23.2)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and six- months ended June 30, 2023, the amounts recognized as part of compensation expense in our unaudited condensed consolidated statements of income were immaterial.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PRODUCTS.</w:t>
      </w:r>
    </w:p>
    <w:p>
      <w:pPr>
        <w:spacing w:after="0" w:line="26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12/31/2022</w:t>
            </w:r>
          </w:p>
        </w:tc>
        <w:tc>
          <w:tcPr>
            <w:tcW w:w="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w w:val="96"/>
              </w:rPr>
              <w:t>Voting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96"/>
              <w:spacing w:after="0" w:line="143" w:lineRule="exact"/>
              <w:rPr>
                <w:sz w:val="20"/>
                <w:szCs w:val="20"/>
                <w:color w:val="auto"/>
              </w:rPr>
            </w:pPr>
            <w:r>
              <w:rPr>
                <w:rFonts w:ascii="Arial" w:cs="Arial" w:eastAsia="Arial" w:hAnsi="Arial"/>
                <w:sz w:val="14"/>
                <w:szCs w:val="14"/>
                <w:b w:val="1"/>
                <w:bCs w:val="1"/>
                <w:color w:val="auto"/>
                <w:w w:val="99"/>
              </w:rPr>
              <w:t>Variable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5"/>
              <w:spacing w:after="0" w:line="143" w:lineRule="exact"/>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3" w:lineRule="exact"/>
              <w:rPr>
                <w:sz w:val="20"/>
                <w:szCs w:val="20"/>
                <w:color w:val="auto"/>
              </w:rPr>
            </w:pPr>
            <w:r>
              <w:rPr>
                <w:rFonts w:ascii="Arial" w:cs="Arial" w:eastAsia="Arial" w:hAnsi="Arial"/>
                <w:sz w:val="14"/>
                <w:szCs w:val="14"/>
                <w:b w:val="1"/>
                <w:bCs w:val="1"/>
                <w:color w:val="auto"/>
                <w:w w:val="99"/>
              </w:rPr>
              <w:t>Variable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1,460.8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1,660.1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1,336.5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738.4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889.2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1,660.1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1,336.5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$1.4 million at June 30, 2023, and $2.6 million at December 31, 2022, of investments in T. Rowe Price money market mutual funds.</w:t>
      </w:r>
    </w:p>
    <w:p>
      <w:pPr>
        <w:spacing w:after="0" w:line="5" w:lineRule="exact"/>
        <w:rPr>
          <w:rFonts w:ascii="Arial" w:cs="Arial" w:eastAsia="Arial" w:hAnsi="Arial"/>
          <w:sz w:val="16"/>
          <w:szCs w:val="16"/>
          <w:i w:val="1"/>
          <w:iCs w:val="1"/>
          <w:color w:val="auto"/>
          <w:vertAlign w:val="superscript"/>
        </w:rPr>
      </w:pPr>
    </w:p>
    <w:p>
      <w:pPr>
        <w:ind w:left="140" w:hanging="132"/>
        <w:spacing w:after="0" w:line="224"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$6.3 million at June 30, 2023, and $7.6 million at December 31, 2022 of other sponsored investment products.</w:t>
      </w:r>
    </w:p>
    <w:p>
      <w:pPr>
        <w:spacing w:after="0" w:line="2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ind w:right="20"/>
        <w:spacing w:after="0" w:line="256"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sponsored investment products is limited to valuation changes associated with our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operating results of the consolidated sponsored investment products for the three- and six- months ended June 30, 2023 and 2022, are reflected in our unaudited condensed consolidated statements of income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8"/>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6/30/2023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6/30/2022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Variable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300" w:type="dxa"/>
            <w:vAlign w:val="bottom"/>
            <w:tcBorders>
              <w:top w:val="single" w:sz="8" w:color="CCEEFF"/>
            </w:tcBorders>
            <w:gridSpan w:val="2"/>
          </w:tcPr>
          <w:p>
            <w:pPr>
              <w:ind w:left="20"/>
              <w:spacing w:after="0" w:line="170" w:lineRule="exact"/>
              <w:rPr>
                <w:sz w:val="20"/>
                <w:szCs w:val="20"/>
                <w:color w:val="auto"/>
              </w:rPr>
            </w:pPr>
            <w:r>
              <w:rPr>
                <w:rFonts w:ascii="Arial" w:cs="Arial" w:eastAsia="Arial" w:hAnsi="Arial"/>
                <w:sz w:val="18"/>
                <w:szCs w:val="18"/>
                <w:color w:val="auto"/>
              </w:rPr>
              <w:t>Operating expenses reflected in net operating</w:t>
            </w: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center"/>
              <w:ind w:left="357"/>
              <w:spacing w:after="0"/>
              <w:rPr>
                <w:sz w:val="20"/>
                <w:szCs w:val="20"/>
                <w:color w:val="auto"/>
              </w:rPr>
            </w:pPr>
            <w:r>
              <w:rPr>
                <w:rFonts w:ascii="Arial" w:cs="Arial" w:eastAsia="Arial" w:hAnsi="Arial"/>
                <w:sz w:val="18"/>
                <w:szCs w:val="18"/>
                <w:color w:val="auto"/>
              </w:rPr>
              <w:t>(2.6)</w:t>
            </w: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center"/>
              <w:ind w:left="275"/>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r>
              <w:rPr>
                <w:rFonts w:ascii="Arial" w:cs="Arial" w:eastAsia="Arial" w:hAnsi="Arial"/>
                <w:sz w:val="18"/>
                <w:szCs w:val="18"/>
                <w:u w:val="single" w:color="auto"/>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3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10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8"/>
            <w:shd w:val="clear" w:color="auto" w:fill="CCEEFF"/>
          </w:tcPr>
          <w:p>
            <w:pPr>
              <w:ind w:left="28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6/30/2023</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6/30/2022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6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Variable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8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entities</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entities</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260" w:type="dxa"/>
            <w:vAlign w:val="bottom"/>
          </w:tcPr>
          <w:p>
            <w:pPr>
              <w:ind w:left="20"/>
              <w:spacing w:after="0" w:line="170" w:lineRule="exact"/>
              <w:rPr>
                <w:sz w:val="20"/>
                <w:szCs w:val="20"/>
                <w:color w:val="auto"/>
              </w:rPr>
            </w:pPr>
            <w:r>
              <w:rPr>
                <w:rFonts w:ascii="Arial" w:cs="Arial" w:eastAsia="Arial" w:hAnsi="Arial"/>
                <w:sz w:val="18"/>
                <w:szCs w:val="18"/>
                <w:color w:val="auto"/>
              </w:rPr>
              <w:t>Operating expenses reflected in net operating</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4"/>
                <w:szCs w:val="14"/>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4"/>
                <w:szCs w:val="14"/>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4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4"/>
                <w:szCs w:val="14"/>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4"/>
                <w:szCs w:val="1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4"/>
                <w:szCs w:val="14"/>
                <w:color w:val="auto"/>
              </w:rPr>
            </w:pPr>
          </w:p>
        </w:tc>
        <w:tc>
          <w:tcPr>
            <w:tcW w:w="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center"/>
              <w:ind w:left="357"/>
              <w:spacing w:after="0"/>
              <w:rPr>
                <w:sz w:val="20"/>
                <w:szCs w:val="20"/>
                <w:color w:val="auto"/>
              </w:rPr>
            </w:pPr>
            <w:r>
              <w:rPr>
                <w:rFonts w:ascii="Arial" w:cs="Arial" w:eastAsia="Arial" w:hAnsi="Arial"/>
                <w:sz w:val="18"/>
                <w:szCs w:val="18"/>
                <w:color w:val="auto"/>
                <w:w w:val="96"/>
              </w:rPr>
              <w:t>57.1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center"/>
              <w:ind w:left="275"/>
              <w:spacing w:after="0"/>
              <w:rPr>
                <w:sz w:val="20"/>
                <w:szCs w:val="20"/>
                <w:color w:val="auto"/>
              </w:rPr>
            </w:pPr>
            <w:r>
              <w:rPr>
                <w:rFonts w:ascii="Arial" w:cs="Arial" w:eastAsia="Arial" w:hAnsi="Arial"/>
                <w:sz w:val="18"/>
                <w:szCs w:val="18"/>
                <w:color w:val="auto"/>
                <w:w w:val="96"/>
              </w:rPr>
              <w:t>69.8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(191.3)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357"/>
              <w:spacing w:after="0"/>
              <w:rPr>
                <w:sz w:val="20"/>
                <w:szCs w:val="20"/>
                <w:color w:val="auto"/>
              </w:rPr>
            </w:pPr>
            <w:r>
              <w:rPr>
                <w:rFonts w:ascii="Arial" w:cs="Arial" w:eastAsia="Arial" w:hAnsi="Arial"/>
                <w:sz w:val="18"/>
                <w:szCs w:val="18"/>
                <w:color w:val="auto"/>
                <w:w w:val="96"/>
              </w:rPr>
              <w:t>52.2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5"/>
              <w:spacing w:after="0"/>
              <w:rPr>
                <w:sz w:val="20"/>
                <w:szCs w:val="20"/>
                <w:color w:val="auto"/>
              </w:rPr>
            </w:pPr>
            <w:r>
              <w:rPr>
                <w:rFonts w:ascii="Arial" w:cs="Arial" w:eastAsia="Arial" w:hAnsi="Arial"/>
                <w:sz w:val="18"/>
                <w:szCs w:val="18"/>
                <w:color w:val="auto"/>
                <w:w w:val="96"/>
              </w:rPr>
              <w:t>62.4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357"/>
              <w:spacing w:after="0"/>
              <w:rPr>
                <w:sz w:val="20"/>
                <w:szCs w:val="20"/>
                <w:color w:val="auto"/>
              </w:rPr>
            </w:pPr>
            <w:r>
              <w:rPr>
                <w:rFonts w:ascii="Arial" w:cs="Arial" w:eastAsia="Arial" w:hAnsi="Arial"/>
                <w:sz w:val="18"/>
                <w:szCs w:val="18"/>
                <w:color w:val="auto"/>
                <w:w w:val="96"/>
              </w:rPr>
              <w:t>29.3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5"/>
              <w:spacing w:after="0"/>
              <w:rPr>
                <w:sz w:val="20"/>
                <w:szCs w:val="20"/>
                <w:color w:val="auto"/>
              </w:rPr>
            </w:pPr>
            <w:r>
              <w:rPr>
                <w:rFonts w:ascii="Arial" w:cs="Arial" w:eastAsia="Arial" w:hAnsi="Arial"/>
                <w:sz w:val="18"/>
                <w:szCs w:val="18"/>
                <w:color w:val="auto"/>
                <w:w w:val="96"/>
              </w:rPr>
              <w:t>37.4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center"/>
              <w:ind w:left="357"/>
              <w:spacing w:after="0"/>
              <w:rPr>
                <w:sz w:val="20"/>
                <w:szCs w:val="20"/>
                <w:color w:val="auto"/>
              </w:rPr>
            </w:pPr>
            <w:r>
              <w:rPr>
                <w:rFonts w:ascii="Arial" w:cs="Arial" w:eastAsia="Arial" w:hAnsi="Arial"/>
                <w:sz w:val="18"/>
                <w:szCs w:val="18"/>
                <w:color w:val="auto"/>
                <w:w w:val="96"/>
              </w:rPr>
              <w:t>22.9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center"/>
              <w:ind w:left="275"/>
              <w:spacing w:after="0"/>
              <w:rPr>
                <w:sz w:val="20"/>
                <w:szCs w:val="20"/>
                <w:color w:val="auto"/>
              </w:rPr>
            </w:pPr>
            <w:r>
              <w:rPr>
                <w:rFonts w:ascii="Arial" w:cs="Arial" w:eastAsia="Arial" w:hAnsi="Arial"/>
                <w:sz w:val="18"/>
                <w:szCs w:val="18"/>
                <w:color w:val="auto"/>
                <w:w w:val="96"/>
              </w:rPr>
              <w:t>25.0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center"/>
              <w:ind w:left="357"/>
              <w:spacing w:after="0"/>
              <w:rPr>
                <w:sz w:val="20"/>
                <w:szCs w:val="20"/>
                <w:color w:val="auto"/>
              </w:rPr>
            </w:pPr>
            <w:r>
              <w:rPr>
                <w:rFonts w:ascii="Arial" w:cs="Arial" w:eastAsia="Arial" w:hAnsi="Arial"/>
                <w:sz w:val="18"/>
                <w:szCs w:val="18"/>
                <w:color w:val="auto"/>
                <w:w w:val="96"/>
              </w:rPr>
              <w:t>52.2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275"/>
              <w:spacing w:after="0"/>
              <w:rPr>
                <w:sz w:val="20"/>
                <w:szCs w:val="20"/>
                <w:color w:val="auto"/>
              </w:rPr>
            </w:pPr>
            <w:r>
              <w:rPr>
                <w:rFonts w:ascii="Arial" w:cs="Arial" w:eastAsia="Arial" w:hAnsi="Arial"/>
                <w:sz w:val="18"/>
                <w:szCs w:val="18"/>
                <w:color w:val="auto"/>
                <w:w w:val="96"/>
              </w:rPr>
              <w:t>62.4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$0.3 million and $0.6 million for the three months ended June 30, 2023 and 2022, respectively, against the investment advisory and administrative fees earned from these products. Operating expenses eliminated for the six months ended June 30, 2023 and 2022, were $0.9 million and $1.5 million, respectively. The net investment income (loss) reflected in non-operating income (loss) includes dividend and interest income as well as realized and unrealized gains and losses on the underlying securities held by the consolidated sponsored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14" w:name="page15"/>
    <w:bookmarkEnd w:id="14"/>
    <w:p>
      <w:pPr>
        <w:ind w:right="1040"/>
        <w:spacing w:after="0" w:line="275"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2023 and 2022.</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4"/>
            <w:shd w:val="clear" w:color="auto" w:fill="CCEEFF"/>
          </w:tcPr>
          <w:p>
            <w:pPr>
              <w:jc w:val="right"/>
              <w:ind w:right="41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5"/>
              <w:spacing w:after="0" w:line="143" w:lineRule="exact"/>
              <w:rPr>
                <w:sz w:val="20"/>
                <w:szCs w:val="20"/>
                <w:color w:val="auto"/>
              </w:rPr>
            </w:pPr>
            <w:r>
              <w:rPr>
                <w:rFonts w:ascii="Arial" w:cs="Arial" w:eastAsia="Arial" w:hAnsi="Arial"/>
                <w:sz w:val="14"/>
                <w:szCs w:val="14"/>
                <w:b w:val="1"/>
                <w:bCs w:val="1"/>
                <w:color w:val="auto"/>
              </w:rPr>
              <w:t>Voting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3" w:lineRule="exact"/>
              <w:rPr>
                <w:sz w:val="20"/>
                <w:szCs w:val="20"/>
                <w:color w:val="auto"/>
              </w:rPr>
            </w:pPr>
            <w:r>
              <w:rPr>
                <w:rFonts w:ascii="Arial" w:cs="Arial" w:eastAsia="Arial" w:hAnsi="Arial"/>
                <w:sz w:val="14"/>
                <w:szCs w:val="14"/>
                <w:b w:val="1"/>
                <w:bCs w:val="1"/>
                <w:color w:val="auto"/>
              </w:rPr>
              <w:t>Variable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95"/>
              <w:spacing w:after="0" w:line="143" w:lineRule="exact"/>
              <w:rPr>
                <w:sz w:val="20"/>
                <w:szCs w:val="20"/>
                <w:color w:val="auto"/>
              </w:rPr>
            </w:pPr>
            <w:r>
              <w:rPr>
                <w:rFonts w:ascii="Arial" w:cs="Arial" w:eastAsia="Arial" w:hAnsi="Arial"/>
                <w:sz w:val="14"/>
                <w:szCs w:val="14"/>
                <w:b w:val="1"/>
                <w:bCs w:val="1"/>
                <w:color w:val="auto"/>
              </w:rPr>
              <w:t>Voting</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77"/>
              <w:spacing w:after="0" w:line="143" w:lineRule="exact"/>
              <w:rPr>
                <w:sz w:val="20"/>
                <w:szCs w:val="20"/>
                <w:color w:val="auto"/>
              </w:rPr>
            </w:pPr>
            <w:r>
              <w:rPr>
                <w:rFonts w:ascii="Arial" w:cs="Arial" w:eastAsia="Arial" w:hAnsi="Arial"/>
                <w:sz w:val="14"/>
                <w:szCs w:val="14"/>
                <w:b w:val="1"/>
                <w:bCs w:val="1"/>
                <w:color w:val="auto"/>
              </w:rPr>
              <w:t>Variable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95"/>
              <w:spacing w:after="0" w:line="135" w:lineRule="exact"/>
              <w:rPr>
                <w:sz w:val="20"/>
                <w:szCs w:val="20"/>
                <w:color w:val="auto"/>
              </w:rPr>
            </w:pPr>
            <w:r>
              <w:rPr>
                <w:rFonts w:ascii="Arial" w:cs="Arial" w:eastAsia="Arial" w:hAnsi="Arial"/>
                <w:sz w:val="14"/>
                <w:szCs w:val="14"/>
                <w:b w:val="1"/>
                <w:bCs w:val="1"/>
                <w:color w:val="auto"/>
              </w:rPr>
              <w:t>interest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4"/>
                <w:szCs w:val="14"/>
                <w:b w:val="1"/>
                <w:bCs w:val="1"/>
                <w:color w:val="auto"/>
              </w:rPr>
              <w:t>interest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95"/>
              <w:spacing w:after="0" w:line="135" w:lineRule="exact"/>
              <w:rPr>
                <w:sz w:val="20"/>
                <w:szCs w:val="20"/>
                <w:color w:val="auto"/>
              </w:rPr>
            </w:pPr>
            <w:r>
              <w:rPr>
                <w:rFonts w:ascii="Arial" w:cs="Arial" w:eastAsia="Arial" w:hAnsi="Arial"/>
                <w:sz w:val="14"/>
                <w:szCs w:val="14"/>
                <w:b w:val="1"/>
                <w:bCs w:val="1"/>
                <w:color w:val="auto"/>
              </w:rPr>
              <w:t>interest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4"/>
                <w:szCs w:val="14"/>
                <w:b w:val="1"/>
                <w:bCs w:val="1"/>
                <w:color w:val="auto"/>
              </w:rPr>
              <w:t>interest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97"/>
              <w:spacing w:after="0"/>
              <w:rPr>
                <w:sz w:val="20"/>
                <w:szCs w:val="20"/>
                <w:color w:val="auto"/>
              </w:rPr>
            </w:pPr>
            <w:r>
              <w:rPr>
                <w:rFonts w:ascii="Arial" w:cs="Arial" w:eastAsia="Arial" w:hAnsi="Arial"/>
                <w:sz w:val="14"/>
                <w:szCs w:val="14"/>
                <w:b w:val="1"/>
                <w:bCs w:val="1"/>
                <w:color w:val="auto"/>
              </w:rPr>
              <w:t>entities</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0"/>
        </w:trPr>
        <w:tc>
          <w:tcPr>
            <w:tcW w:w="43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68"/>
        </w:trPr>
        <w:tc>
          <w:tcPr>
            <w:tcW w:w="43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equivalents of consolidated sponsored investment products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6"/>
        </w:trPr>
        <w:tc>
          <w:tcPr>
            <w:tcW w:w="43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net cash provided by financing activities during the six months ended June 30, 2023 and 2022 includes $ 41.6 million and $ 26.9 million, respectively, of net redemptions we received from the consolidated sponsored investment products, including dividends. These cash flows were eliminated in consolidation.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determine the fair value of investments held by consolidated sponsored investment products using the following broad levels of inputs as defined by related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1"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reflecting our own assumptions based on the best information available.</w:t>
      </w:r>
    </w:p>
    <w:p>
      <w:pPr>
        <w:spacing w:after="0" w:line="2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6"/>
        </w:trPr>
        <w:tc>
          <w:tcPr>
            <w:tcW w:w="34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34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1,598.9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ind w:left="660"/>
              <w:spacing w:after="0"/>
              <w:rPr>
                <w:sz w:val="20"/>
                <w:szCs w:val="20"/>
                <w:color w:val="auto"/>
              </w:rPr>
            </w:pPr>
            <w:r>
              <w:rPr>
                <w:rFonts w:ascii="Arial" w:cs="Arial" w:eastAsia="Arial" w:hAnsi="Arial"/>
                <w:sz w:val="18"/>
                <w:szCs w:val="18"/>
                <w:color w:val="auto"/>
              </w:rPr>
              <w:t>— $— $</w:t>
            </w:r>
          </w:p>
        </w:tc>
        <w:tc>
          <w:tcPr>
            <w:tcW w:w="940" w:type="dxa"/>
            <w:vAlign w:val="bottom"/>
          </w:tcPr>
          <w:p>
            <w:pPr>
              <w:jc w:val="right"/>
              <w:spacing w:after="0"/>
              <w:rPr>
                <w:sz w:val="20"/>
                <w:szCs w:val="20"/>
                <w:color w:val="auto"/>
              </w:rPr>
            </w:pPr>
            <w:r>
              <w:rPr>
                <w:rFonts w:ascii="Arial" w:cs="Arial" w:eastAsia="Arial" w:hAnsi="Arial"/>
                <w:sz w:val="18"/>
                <w:szCs w:val="18"/>
                <w:color w:val="auto"/>
              </w:rPr>
              <w:t>144.4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During the three months ended June 30, 2023, certain sponsored investment products in which we provided initial seed capital at the time of formation were deconsolidated, as we no longer had a controlling interest. The residual interest is now reported as an equity method investment, and as such, the underlying investment holdings in these products previously classified as level 3 were removed from the fair value measurements table at June 30, 2023 above.</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6/30/2023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2,642.8</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36"/>
        </w:trPr>
        <w:tc>
          <w:tcPr>
            <w:tcW w:w="67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3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3,220.2</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3,272.6</w:t>
            </w:r>
          </w:p>
        </w:tc>
      </w:tr>
      <w:tr>
        <w:trPr>
          <w:trHeight w:val="21"/>
        </w:trPr>
        <w:tc>
          <w:tcPr>
            <w:tcW w:w="6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Amortization expense for the definite-lived investment advisory agreements intangible assets was $26.4 million and $52.4 million for the three- and six- months ended June 30, 2023, respectively. For the three- and six- months ended June 30, 2022, amortization expense for the definite-lived investment advisory agreements intangible assets was $27.2 million and $54.3 millions, respectively. Estimated amortization expense for the definite-lived investment advisory agreements intangible assets for the remainder of 2023 is $52.4 million, $92.2 million for 2024, $90.8 million for 2025, $73.7 million for 2026, and $49.5 million for 2027.</w:t>
      </w: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evaluate the carrying amount of goodwill in our unaudited condensed consolidated balance sheets for possible impairment on an annual basis in the fourth quarter of each year or if triggering events occur that require us to evaluate for impairment earlier. We did not record any impairment charges for goodwill in either the three or six months ended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7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2,218,506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(335,616)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1,882,890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1,882,890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6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275"/>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6700" w:type="dxa"/>
            <w:vAlign w:val="bottom"/>
            <w:shd w:val="clear" w:color="auto" w:fill="CCEEFF"/>
          </w:tcPr>
          <w:p>
            <w:pPr>
              <w:spacing w:after="0"/>
              <w:rPr>
                <w:sz w:val="11"/>
                <w:szCs w:val="11"/>
                <w:color w:val="auto"/>
              </w:rPr>
            </w:pPr>
          </w:p>
        </w:tc>
        <w:tc>
          <w:tcPr>
            <w:tcW w:w="14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Nonvested at December 31, 2022</w:t>
            </w:r>
          </w:p>
        </w:tc>
        <w:tc>
          <w:tcPr>
            <w:tcW w:w="1440" w:type="dxa"/>
            <w:vAlign w:val="bottom"/>
          </w:tcPr>
          <w:p>
            <w:pPr>
              <w:jc w:val="right"/>
              <w:spacing w:after="0"/>
              <w:rPr>
                <w:sz w:val="20"/>
                <w:szCs w:val="20"/>
                <w:color w:val="auto"/>
              </w:rPr>
            </w:pPr>
            <w:r>
              <w:rPr>
                <w:rFonts w:ascii="Arial" w:cs="Arial" w:eastAsia="Arial" w:hAnsi="Arial"/>
                <w:sz w:val="18"/>
                <w:szCs w:val="18"/>
                <w:color w:val="auto"/>
              </w:rPr>
              <w:t>8,715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5,901,600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(90,547)</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(68,297)</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140.51</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5,786,240</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ind w:right="140"/>
        <w:spacing w:after="0" w:line="275" w:lineRule="auto"/>
        <w:rPr>
          <w:sz w:val="20"/>
          <w:szCs w:val="20"/>
          <w:color w:val="auto"/>
        </w:rPr>
      </w:pPr>
      <w:r>
        <w:rPr>
          <w:rFonts w:ascii="Arial" w:cs="Arial" w:eastAsia="Arial" w:hAnsi="Arial"/>
          <w:sz w:val="18"/>
          <w:szCs w:val="18"/>
          <w:color w:val="auto"/>
        </w:rPr>
        <w:t>Nonvested at June 30, 2023, includes performance-based restricted stock units of 320,326. These nonvested performance-based restricted stock units include 105,106 units for which the performance period has lapsed, and the performance threshold has been met.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6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2023. Estimated future compensation expense will change to reflect future grants of restricted stock awards and units, future option grants, changes in the probability of performance thresholds being met, and adjustments for actual forfeitures.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36"/>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3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through 2029</w:t>
            </w: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r>
      <w:tr>
        <w:trPr>
          <w:trHeight w:val="21"/>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6/30/2022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6/30/2022</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5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2"/>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1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changes in currency translation adjustments included in accumulated other comprehensive loss for the three months ended June 30, 2023 and 2022 are presented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800" w:type="dxa"/>
            <w:vAlign w:val="bottom"/>
            <w:tcBorders>
              <w:bottom w:val="single" w:sz="8" w:color="auto"/>
            </w:tcBorders>
            <w:gridSpan w:val="7"/>
            <w:shd w:val="clear" w:color="auto" w:fill="CCEEFF"/>
          </w:tcPr>
          <w:p>
            <w:pPr>
              <w:jc w:val="right"/>
              <w:ind w:right="862"/>
              <w:spacing w:after="0"/>
              <w:rPr>
                <w:sz w:val="20"/>
                <w:szCs w:val="20"/>
                <w:color w:val="auto"/>
              </w:rPr>
            </w:pPr>
            <w:r>
              <w:rPr>
                <w:rFonts w:ascii="Arial" w:cs="Arial" w:eastAsia="Arial" w:hAnsi="Arial"/>
                <w:sz w:val="14"/>
                <w:szCs w:val="14"/>
                <w:b w:val="1"/>
                <w:bCs w:val="1"/>
                <w:color w:val="auto"/>
              </w:rPr>
              <w:t>Three months ended 6/30/2023</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800" w:type="dxa"/>
            <w:vAlign w:val="bottom"/>
            <w:tcBorders>
              <w:bottom w:val="single" w:sz="8" w:color="auto"/>
            </w:tcBorders>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6/30/2022</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3"/>
              <w:spacing w:after="0" w:line="142"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3"/>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16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3"/>
              <w:spacing w:after="0" w:line="148"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Equity method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3"/>
              <w:spacing w:after="0" w:line="148"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entities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entities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59"/>
        </w:trPr>
        <w:tc>
          <w:tcPr>
            <w:tcW w:w="3200" w:type="dxa"/>
            <w:vAlign w:val="bottom"/>
            <w:tcBorders>
              <w:top w:val="single" w:sz="8" w:color="CCEEFF"/>
            </w:tcBorders>
          </w:tcPr>
          <w:p>
            <w:pPr>
              <w:ind w:left="20"/>
              <w:spacing w:after="0" w:line="159" w:lineRule="exact"/>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5.0</w:t>
            </w:r>
          </w:p>
        </w:tc>
        <w:tc>
          <w:tcPr>
            <w:tcW w:w="16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other comprehensive income (loss) in the table above excludes net gains of $5.5 million in the 2023 period and net losses of $15.6 million in the 2022 period of other comprehensive income (loss) related to redeemable non-controlling interests held in our consolidated products.</w:t>
      </w:r>
    </w:p>
    <w:p>
      <w:pPr>
        <w:spacing w:after="0" w:line="13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six months ended June 30, 2023 and 2022, are presented in the table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0" w:type="dxa"/>
            <w:vAlign w:val="bottom"/>
            <w:tcBorders>
              <w:bottom w:val="single" w:sz="8" w:color="auto"/>
            </w:tcBorders>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Six months ended 6/30/2023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840" w:type="dxa"/>
            <w:vAlign w:val="bottom"/>
            <w:tcBorders>
              <w:bottom w:val="single" w:sz="8" w:color="auto"/>
            </w:tcBorders>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Six months ended 6/30/2022</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3"/>
              <w:spacing w:after="0" w:line="142"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Equity method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43"/>
              <w:spacing w:after="0" w:line="148"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3"/>
              <w:spacing w:after="0" w:line="148"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201"/>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entities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743"/>
              <w:spacing w:after="0"/>
              <w:rPr>
                <w:sz w:val="20"/>
                <w:szCs w:val="20"/>
                <w:color w:val="auto"/>
              </w:rPr>
            </w:pPr>
            <w:r>
              <w:rPr>
                <w:rFonts w:ascii="Arial" w:cs="Arial" w:eastAsia="Arial" w:hAnsi="Arial"/>
                <w:sz w:val="16"/>
                <w:szCs w:val="16"/>
                <w:color w:val="auto"/>
              </w:rPr>
              <w:t>(2.5)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45"/>
        </w:trPr>
        <w:tc>
          <w:tcPr>
            <w:tcW w:w="3080" w:type="dxa"/>
            <w:vAlign w:val="bottom"/>
          </w:tcPr>
          <w:p>
            <w:pPr>
              <w:ind w:left="20"/>
              <w:spacing w:after="0" w:line="145" w:lineRule="exact"/>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40" w:type="dxa"/>
            <w:vAlign w:val="bottom"/>
          </w:tcPr>
          <w:p>
            <w:pPr>
              <w:spacing w:after="0"/>
              <w:rPr>
                <w:sz w:val="14"/>
                <w:szCs w:val="14"/>
                <w:color w:val="auto"/>
              </w:rPr>
            </w:pPr>
          </w:p>
        </w:tc>
        <w:tc>
          <w:tcPr>
            <w:tcW w:w="1060" w:type="dxa"/>
            <w:vAlign w:val="bottom"/>
            <w:vMerge w:val="restart"/>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center"/>
              <w:ind w:left="763"/>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Reclassification adjustments recognized</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left="763"/>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43"/>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63"/>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(50.5)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center"/>
              <w:ind w:left="763"/>
              <w:spacing w:after="0"/>
              <w:rPr>
                <w:sz w:val="20"/>
                <w:szCs w:val="20"/>
                <w:color w:val="auto"/>
              </w:rPr>
            </w:pPr>
            <w:r>
              <w:rPr>
                <w:rFonts w:ascii="Arial" w:cs="Arial" w:eastAsia="Arial" w:hAnsi="Arial"/>
                <w:sz w:val="16"/>
                <w:szCs w:val="16"/>
                <w:color w:val="auto"/>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80"/>
        <w:spacing w:after="0" w:line="306" w:lineRule="auto"/>
        <w:rPr>
          <w:sz w:val="20"/>
          <w:szCs w:val="20"/>
          <w:color w:val="auto"/>
        </w:rPr>
      </w:pPr>
      <w:r>
        <w:rPr>
          <w:rFonts w:ascii="Arial" w:cs="Arial" w:eastAsia="Arial" w:hAnsi="Arial"/>
          <w:sz w:val="17"/>
          <w:szCs w:val="17"/>
          <w:color w:val="auto"/>
        </w:rPr>
        <w:t>The other comprehensive income (loss) in the table above excludes net gains of $11.6 million for 2023 period and net losses of $25.5 million for the 2022 period of other comprehensive income (loss) related to redeemable non-controlling interests held in our consolidated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$481.5 million to fund OHA products over the next four years.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2023, the related condensed consolidated statements of income, comprehensive income, and stockholders’ equity for the three-month and six-month periods ended June 30, 2023 and 2022, the related condensed consolidated statements of cash flows for the six-month periods ended June 30, 2023 and 2022,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2022, and the related consolidated statements of income, comprehensive income, stockholders’ equity, and cash flows for the year then ended (not presented herein); and in our report dated February 15,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2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manage a broad mix of equity, fixed income, multi-asset, alternative and money market asset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1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April 20, 2023, we completed our acquisition of Retiree, Inc., a fintech firm that offers innovative retirement income planning software. The terms of the transaction are not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Major U.S. stock indexes rose in the second quarter of 2023, adding to first-quarter gains. Large-cap and growth stocks outperformed. Thanks in part to generally favorable corporate earnings and a resilient economy, equities overcame lingering uncertainty about regional banks’ health; uncertainty about Congress agreeing to raise the federal debt ceiling—the statutory limit on U.S. government borrowing— before the U.S. government ran out of money; and continued monetary policy tightening due to elevated inflation. The Federal Reserve raised short-term interest rates in early May but kept rates unchanged when policymakers met in mid-June. However, Fed officials projected two more rate increases by the end of the year.</w:t>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Developed non-U.S. equity markets rose but underperformed U.S. equities in the second quarter, even though the U.S. dollar weakened versus major European currencies. In dollar terms, European equity markets were mostly positive, whereas returns in several developed Asian markets were negative. Japanese shares, however, rose more than 6% in dollar terms, as central bank officials kept interest rates very low and as a weakening Yen supported Japan’s export-oriented businesses.</w:t>
      </w:r>
    </w:p>
    <w:p>
      <w:pPr>
        <w:spacing w:after="0" w:line="2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Emerging equity markets in aggregate rose slightly and underperformed equities in developed markets in U.S. dollar terms. In commodity-rich Latin America, many markets rose due in part to hopes that China, a major consumer of commodities, would take measures to help stimulate its economy. Markets in the emerging Europe, Middle East, and Africa (EMEA) region were mostly positive, though Turkish shares dropped more than 10% in dollar terms.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p>
      <w:pPr>
        <w:ind w:right="460"/>
        <w:spacing w:after="0" w:line="275" w:lineRule="auto"/>
        <w:rPr>
          <w:sz w:val="20"/>
          <w:szCs w:val="20"/>
          <w:color w:val="auto"/>
        </w:rPr>
      </w:pPr>
      <w:r>
        <w:rPr>
          <w:rFonts w:ascii="Arial" w:cs="Arial" w:eastAsia="Arial" w:hAnsi="Arial"/>
          <w:sz w:val="18"/>
          <w:szCs w:val="18"/>
          <w:color w:val="auto"/>
        </w:rPr>
        <w:t>Markets in emerging Asia were widely mixed, with Chinese shares falling almost 10% amid concerns that China’s economic growth was weakening. Indian shares climbed 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c>
          <w:tcPr>
            <w:tcW w:w="10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8.7%</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line="243"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rPr>
              <w:t>12.8%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5.2%</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8.1%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3.2%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1.0%</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3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Global bond returns were mixed in U.S. dollar terms in the second quarter. In the U.S., Treasury bill yields increased as the Fed lifted the fed funds target rate to the 5.00% to 5.25% range in early May and as investors prepared for possibly two more Fed interest rate increases by the end of the year due to persistent inflation. Intermediate-term Treasury yields climbed amid hawkish rhetoric from Fed officials and continued economic strength. Long-term yields rose to a lesser extent. The 10-year U.S. Treasury note yield increased from 3.48% to 3.81% during the quarter.</w:t>
      </w:r>
    </w:p>
    <w:p>
      <w:pPr>
        <w:spacing w:after="0" w:line="21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the U.S. investment-grade universe, Treasury securities performed worst. Mortgage-backed and commercial mortgage-backed securities fell to a lesser extent. Corporate bonds and asset-backed securities edged lower. Tax-free municipal bonds edged lower but outperformed the broad taxable investment-grade bond market. High yield corporate bonds, which are less sensitive to interest rate movements, strongly outperformed the high-quality fixed income market.</w:t>
      </w:r>
    </w:p>
    <w:p>
      <w:pPr>
        <w:spacing w:after="0" w:line="2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Bonds in developed non-U.S. markets declined in U.S. dollar terms. In Europe, bond yields pressed higher as several central banks raised short-term interest rates. However, major European currencies strengthened versus the U.S. dollar, which reduced local losses in dollar terms. In Japan, government bond yields remained very low, contained by the continuation of the central bank’s yield curve control policy, but the Yen declined nearly 8% versus the dollar. Emerging markets bonds appreciated in dollar terms. Bonds denominated in local currencies fared marginally better than dollar-denominated issues, as some emerging markets currencies appreciated versus the greenback. The Turkish Lira, however, plunged more than 26%.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ended</w:t>
            </w:r>
          </w:p>
        </w:tc>
        <w:tc>
          <w:tcPr>
            <w:tcW w:w="10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(0.8)%</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36"/>
        </w:trPr>
        <w:tc>
          <w:tcPr>
            <w:tcW w:w="8100" w:type="dxa"/>
            <w:vAlign w:val="bottom"/>
          </w:tcPr>
          <w:p>
            <w:pPr>
              <w:ind w:left="20"/>
              <w:spacing w:after="0"/>
              <w:rPr>
                <w:sz w:val="20"/>
                <w:szCs w:val="20"/>
                <w:color w:val="auto"/>
              </w:rPr>
            </w:pPr>
            <w:r>
              <w:rPr>
                <w:rFonts w:ascii="Arial" w:cs="Arial" w:eastAsia="Arial" w:hAnsi="Arial"/>
                <w:sz w:val="18"/>
                <w:szCs w:val="18"/>
                <w:color w:val="auto"/>
              </w:rPr>
              <w:t>JPMorgan Global High Yield Index</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1.8%</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5.4%</w:t>
            </w: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(0.1)%</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2.7%</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(2.2)%</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1.4%</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1.6%</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3.1%</w:t>
            </w:r>
          </w:p>
        </w:tc>
        <w:tc>
          <w:tcPr>
            <w:tcW w:w="15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20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Assets under management ended the second quarter of 2023 at $ 1,399.4 billion, an increase of $57.7 billion from March 31, 2023 and $124.7 million from the end of 2022. The increase in assets under management during the second quarter of 2023 was driven by market appreciation, net of distributions not reinvested, of $77.7 billion, offset by net cash outflows of $20.0 billion.</w:t>
      </w:r>
    </w:p>
    <w:p>
      <w:pPr>
        <w:spacing w:after="0" w:line="21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For the six months ended June 30, 2023, the increase in assets under management was driven by market appreciation, net of distributions not reinvested, of $160.8 billion, offset by net cash outflows of $36.1 billion.</w:t>
      </w:r>
    </w:p>
    <w:p>
      <w:pPr>
        <w:spacing w:after="0" w:line="20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following tables detail changes in our assets under management, by asset class, during the three- and six-month periods ended June 30, 2023:</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80" w:type="dxa"/>
            <w:vAlign w:val="bottom"/>
            <w:tcBorders>
              <w:bottom w:val="single" w:sz="8" w:color="auto"/>
            </w:tcBorders>
            <w:gridSpan w:val="7"/>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Three months ended 6/30/2023</w:t>
            </w: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gridSpan w:val="7"/>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Six months ended 6/30/2023</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including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Multi-</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rPr>
              <w:t>including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Multi-</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money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money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Alternatives</w:t>
            </w:r>
            <w:r>
              <w:rPr>
                <w:rFonts w:ascii="Arial" w:cs="Arial" w:eastAsia="Arial" w:hAnsi="Arial"/>
                <w:sz w:val="18"/>
                <w:szCs w:val="18"/>
                <w:b w:val="1"/>
                <w:bCs w:val="1"/>
                <w:color w:val="auto"/>
                <w:w w:val="99"/>
                <w:vertAlign w:val="superscript"/>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Assets under</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management at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695.1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431.9</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1,341.7</w:t>
            </w:r>
          </w:p>
        </w:tc>
        <w:tc>
          <w:tcPr>
            <w:tcW w:w="10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664.2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400.1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0" w:type="dxa"/>
            <w:vAlign w:val="bottom"/>
          </w:tcPr>
          <w:p>
            <w:pPr>
              <w:spacing w:after="0"/>
              <w:rPr>
                <w:sz w:val="1"/>
                <w:szCs w:val="1"/>
                <w:color w:val="auto"/>
              </w:rPr>
            </w:pPr>
          </w:p>
        </w:tc>
      </w:tr>
      <w:tr>
        <w:trPr>
          <w:trHeight w:val="181"/>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Arial" w:cs="Arial" w:eastAsia="Arial" w:hAnsi="Arial"/>
                <w:sz w:val="14"/>
                <w:szCs w:val="14"/>
                <w:color w:val="auto"/>
              </w:rPr>
              <w:t>Net cash flows</w:t>
            </w:r>
            <w:r>
              <w:rPr>
                <w:rFonts w:ascii="Arial" w:cs="Arial" w:eastAsia="Arial" w:hAnsi="Arial"/>
                <w:sz w:val="18"/>
                <w:szCs w:val="18"/>
                <w:color w:val="auto"/>
                <w:vertAlign w:val="superscript"/>
              </w:rPr>
              <w:t>(4)</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market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appreciation and</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(5)</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142"/>
        </w:trPr>
        <w:tc>
          <w:tcPr>
            <w:tcW w:w="1400" w:type="dxa"/>
            <w:vAlign w:val="bottom"/>
          </w:tcPr>
          <w:p>
            <w:pPr>
              <w:ind w:left="20"/>
              <w:spacing w:after="0" w:line="142" w:lineRule="exact"/>
              <w:rPr>
                <w:sz w:val="20"/>
                <w:szCs w:val="20"/>
                <w:color w:val="auto"/>
              </w:rPr>
            </w:pPr>
            <w:r>
              <w:rPr>
                <w:rFonts w:ascii="Arial" w:cs="Arial" w:eastAsia="Arial" w:hAnsi="Arial"/>
                <w:sz w:val="14"/>
                <w:szCs w:val="14"/>
                <w:color w:val="auto"/>
              </w:rPr>
              <w:t>Change during the</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57.7</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86"/>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Assets under</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management at June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1,399.4</w:t>
            </w:r>
          </w:p>
        </w:tc>
        <w:tc>
          <w:tcPr>
            <w:tcW w:w="100" w:type="dxa"/>
            <w:vAlign w:val="bottom"/>
            <w:tcBorders>
              <w:right w:val="single" w:sz="8" w:color="auto"/>
            </w:tcBorders>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453.2</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1,399.4</w:t>
            </w:r>
          </w:p>
        </w:tc>
        <w:tc>
          <w:tcPr>
            <w:tcW w:w="0" w:type="dxa"/>
            <w:vAlign w:val="bottom"/>
          </w:tcPr>
          <w:p>
            <w:pPr>
              <w:spacing w:after="0"/>
              <w:rPr>
                <w:sz w:val="1"/>
                <w:szCs w:val="1"/>
                <w:color w:val="auto"/>
              </w:rPr>
            </w:pPr>
          </w:p>
        </w:tc>
      </w:tr>
      <w:tr>
        <w:trPr>
          <w:trHeight w:val="182"/>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30, 2023</w:t>
            </w:r>
          </w:p>
        </w:tc>
        <w:tc>
          <w:tcPr>
            <w:tcW w:w="14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line="230" w:lineRule="auto"/>
        <w:tabs>
          <w:tab w:leader="none" w:pos="26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fee basis assets under management.</w:t>
      </w:r>
    </w:p>
    <w:p>
      <w:pPr>
        <w:ind w:left="240" w:hanging="232"/>
        <w:spacing w:after="0" w:line="198" w:lineRule="auto"/>
        <w:tabs>
          <w:tab w:leader="none" w:pos="2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180" w:right="100" w:hanging="172"/>
        <w:spacing w:after="0" w:line="223" w:lineRule="auto"/>
        <w:tabs>
          <w:tab w:leader="none" w:pos="158"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 xml:space="preserve">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as of </w:t>
      </w:r>
      <w:r>
        <w:rPr>
          <w:rFonts w:ascii="Arial" w:cs="Arial" w:eastAsia="Arial" w:hAnsi="Arial"/>
          <w:sz w:val="13"/>
          <w:szCs w:val="13"/>
          <w:color w:val="auto"/>
        </w:rPr>
        <w:t>June 30, 2023</w:t>
      </w:r>
      <w:r>
        <w:rPr>
          <w:rFonts w:ascii="Arial" w:cs="Arial" w:eastAsia="Arial" w:hAnsi="Arial"/>
          <w:sz w:val="13"/>
          <w:szCs w:val="13"/>
          <w:i w:val="1"/>
          <w:iCs w:val="1"/>
          <w:color w:val="auto"/>
        </w:rPr>
        <w:t xml:space="preserve"> were $12.2 billion and are not reflected in fee basis AUM above.</w:t>
      </w:r>
    </w:p>
    <w:p>
      <w:pPr>
        <w:spacing w:after="0" w:line="25" w:lineRule="exact"/>
        <w:rPr>
          <w:rFonts w:ascii="Arial" w:cs="Arial" w:eastAsia="Arial" w:hAnsi="Arial"/>
          <w:sz w:val="16"/>
          <w:szCs w:val="16"/>
          <w:i w:val="1"/>
          <w:iCs w:val="1"/>
          <w:color w:val="auto"/>
          <w:vertAlign w:val="superscript"/>
        </w:rPr>
      </w:pPr>
    </w:p>
    <w:p>
      <w:pPr>
        <w:ind w:left="180" w:right="440" w:hanging="172"/>
        <w:spacing w:after="0" w:line="224" w:lineRule="auto"/>
        <w:tabs>
          <w:tab w:leader="none" w:pos="258"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Alternatives net cash flows for the three- and six-month periods ended June 30, 2023 includes $0.4 billion and $0.8 billion, respectively, in outflows that represent investment manager-driven distributions.</w:t>
      </w:r>
    </w:p>
    <w:p>
      <w:pPr>
        <w:spacing w:after="0" w:line="1" w:lineRule="exact"/>
        <w:rPr>
          <w:rFonts w:ascii="Arial" w:cs="Arial" w:eastAsia="Arial" w:hAnsi="Arial"/>
          <w:sz w:val="16"/>
          <w:szCs w:val="16"/>
          <w:i w:val="1"/>
          <w:iCs w:val="1"/>
          <w:color w:val="auto"/>
          <w:vertAlign w:val="superscript"/>
        </w:rPr>
      </w:pPr>
    </w:p>
    <w:p>
      <w:pPr>
        <w:ind w:left="240" w:hanging="232"/>
        <w:spacing w:after="0" w:line="228" w:lineRule="auto"/>
        <w:tabs>
          <w:tab w:leader="none" w:pos="2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six-month periods ended June 30, 2023 of $0.2 billion and $0.4 billion, respectively.</w:t>
      </w:r>
    </w:p>
    <w:p>
      <w:pPr>
        <w:spacing w:after="0" w:line="23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Investment advisory clients outside the United States account for 8.9% of our assets under management at June 30, 2023, 8.9% at March 31, 2023, and 9.1% at December 31, 2022.</w:t>
      </w:r>
    </w:p>
    <w:p>
      <w:pPr>
        <w:spacing w:after="0" w:line="20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Assets under management in these portfolios, as well as net cash inflows (outflows), by vehicle,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gridSpan w:val="5"/>
            <w:shd w:val="clear" w:color="auto" w:fill="CCEEFF"/>
          </w:tcPr>
          <w:p>
            <w:pPr>
              <w:jc w:val="right"/>
              <w:ind w:right="182"/>
              <w:spacing w:after="0"/>
              <w:rPr>
                <w:sz w:val="20"/>
                <w:szCs w:val="20"/>
                <w:color w:val="auto"/>
              </w:rPr>
            </w:pPr>
            <w:r>
              <w:rPr>
                <w:rFonts w:ascii="Arial" w:cs="Arial" w:eastAsia="Arial" w:hAnsi="Arial"/>
                <w:sz w:val="14"/>
                <w:szCs w:val="14"/>
                <w:b w:val="1"/>
                <w:bCs w:val="1"/>
                <w:color w:val="auto"/>
              </w:rPr>
              <w:t>Net cash inflows (outflows)</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right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Assets under management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3/31/2023</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b w:val="1"/>
                <w:bCs w:val="1"/>
                <w:color w:val="auto"/>
              </w:rPr>
              <w:t>12/31/2022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6/30/2023</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6/30/2022</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4"/>
                <w:szCs w:val="14"/>
                <w:b w:val="1"/>
                <w:bCs w:val="1"/>
                <w:color w:val="auto"/>
              </w:rPr>
              <w:t>6/30/2023</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5"/>
                <w:szCs w:val="15"/>
                <w:color w:val="auto"/>
              </w:rPr>
              <w:t>U.S. mutual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162.8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156.6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148.8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462"/>
              <w:spacing w:after="0"/>
              <w:rPr>
                <w:sz w:val="20"/>
                <w:szCs w:val="20"/>
                <w:color w:val="auto"/>
              </w:rPr>
            </w:pPr>
            <w:r>
              <w:rPr>
                <w:rFonts w:ascii="Arial" w:cs="Arial" w:eastAsia="Arial" w:hAnsi="Arial"/>
                <w:sz w:val="16"/>
                <w:szCs w:val="16"/>
                <w:color w:val="auto"/>
              </w:rPr>
              <w:t>(0.7)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462"/>
              <w:spacing w:after="0"/>
              <w:rPr>
                <w:sz w:val="20"/>
                <w:szCs w:val="20"/>
                <w:color w:val="auto"/>
              </w:rPr>
            </w:pPr>
            <w:r>
              <w:rPr>
                <w:rFonts w:ascii="Arial" w:cs="Arial" w:eastAsia="Arial" w:hAnsi="Arial"/>
                <w:sz w:val="16"/>
                <w:szCs w:val="16"/>
                <w:color w:val="auto"/>
              </w:rPr>
              <w:t>(1.7)</w:t>
            </w:r>
          </w:p>
        </w:tc>
        <w:tc>
          <w:tcPr>
            <w:tcW w:w="14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Collective investment trusts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62"/>
              <w:spacing w:after="0"/>
              <w:rPr>
                <w:sz w:val="20"/>
                <w:szCs w:val="20"/>
                <w:color w:val="auto"/>
              </w:rPr>
            </w:pPr>
            <w:r>
              <w:rPr>
                <w:rFonts w:ascii="Arial" w:cs="Arial" w:eastAsia="Arial" w:hAnsi="Arial"/>
                <w:sz w:val="16"/>
                <w:szCs w:val="16"/>
                <w:color w:val="auto"/>
                <w:w w:val="98"/>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98"/>
              </w:rPr>
              <w:t>2.3</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49"/>
        </w:trPr>
        <w:tc>
          <w:tcPr>
            <w:tcW w:w="2620" w:type="dxa"/>
            <w:vAlign w:val="bottom"/>
          </w:tcPr>
          <w:p>
            <w:pPr>
              <w:ind w:left="20"/>
              <w:spacing w:after="0" w:line="149" w:lineRule="exact"/>
              <w:rPr>
                <w:sz w:val="20"/>
                <w:szCs w:val="20"/>
                <w:color w:val="auto"/>
              </w:rPr>
            </w:pPr>
            <w:r>
              <w:rPr>
                <w:rFonts w:ascii="Arial" w:cs="Arial" w:eastAsia="Arial" w:hAnsi="Arial"/>
                <w:sz w:val="15"/>
                <w:szCs w:val="15"/>
                <w:color w:val="auto"/>
              </w:rPr>
              <w:t>Subadvised and separately managed</w:t>
            </w: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8.1</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left="462"/>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center"/>
              <w:ind w:left="462"/>
              <w:spacing w:after="0"/>
              <w:rPr>
                <w:sz w:val="20"/>
                <w:szCs w:val="20"/>
                <w:color w:val="auto"/>
              </w:rPr>
            </w:pPr>
            <w:r>
              <w:rPr>
                <w:rFonts w:ascii="Arial" w:cs="Arial" w:eastAsia="Arial" w:hAnsi="Arial"/>
                <w:sz w:val="16"/>
                <w:szCs w:val="16"/>
                <w:color w:val="auto"/>
              </w:rPr>
              <w:t>(0.1)</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620" w:type="dxa"/>
            <w:vAlign w:val="bottom"/>
          </w:tcPr>
          <w:p>
            <w:pPr>
              <w:ind w:left="20"/>
              <w:spacing w:after="0"/>
              <w:rPr>
                <w:sz w:val="20"/>
                <w:szCs w:val="20"/>
                <w:color w:val="auto"/>
              </w:rPr>
            </w:pPr>
            <w:r>
              <w:rPr>
                <w:rFonts w:ascii="Arial" w:cs="Arial" w:eastAsia="Arial" w:hAnsi="Arial"/>
                <w:sz w:val="15"/>
                <w:szCs w:val="15"/>
                <w:color w:val="auto"/>
              </w:rPr>
              <w:t>accounts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462"/>
              <w:spacing w:after="0"/>
              <w:rPr>
                <w:sz w:val="20"/>
                <w:szCs w:val="20"/>
                <w:color w:val="auto"/>
              </w:rPr>
            </w:pPr>
            <w:r>
              <w:rPr>
                <w:rFonts w:ascii="Arial" w:cs="Arial" w:eastAsia="Arial" w:hAnsi="Arial"/>
                <w:sz w:val="16"/>
                <w:szCs w:val="16"/>
                <w:color w:val="auto"/>
                <w:w w:val="98"/>
              </w:rPr>
              <w:t>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502"/>
              <w:spacing w:after="0"/>
              <w:rPr>
                <w:sz w:val="20"/>
                <w:szCs w:val="20"/>
                <w:color w:val="auto"/>
              </w:rPr>
            </w:pPr>
            <w:r>
              <w:rPr>
                <w:rFonts w:ascii="Arial" w:cs="Arial" w:eastAsia="Arial" w:hAnsi="Arial"/>
                <w:sz w:val="16"/>
                <w:szCs w:val="16"/>
                <w:color w:val="auto"/>
                <w:w w:val="98"/>
              </w:rPr>
              <w:t>0.5</w:t>
            </w:r>
          </w:p>
        </w:tc>
        <w:tc>
          <w:tcPr>
            <w:tcW w:w="140" w:type="dxa"/>
            <w:vAlign w:val="bottom"/>
            <w:tcBorders>
              <w:right w:val="single" w:sz="8" w:color="auto"/>
            </w:tcBorders>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Certain accounts were reclassified from subadvised and separately managed accounts to collective investment trusts in Q2 2023 and prior period amounts were adjusted to reflect this change.</w:t>
      </w: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June 30, 2023, total assets in these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solutions were $465 billion, of which $456 billion are included in our reported assets under management in the tables above.</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provide participant accounting and plan administration for retirement plans that invest in the firm's U.S. mutual funds, collective investment trusts and funds outside of the firm's complex. As of June 30, 2023, our assets under administration were $243 billion, of which nearly $147 billion are assets we manage.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June 30, 2023.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13"/>
        </w:trPr>
        <w:tc>
          <w:tcPr>
            <w:tcW w:w="394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 year</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 years</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52%</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62%</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78%</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rPr>
              <w:t>49%</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59%</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68%</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65%</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56%</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75%</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86%</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tcPr>
          <w:p>
            <w:pPr>
              <w:jc w:val="center"/>
              <w:spacing w:after="0"/>
              <w:rPr>
                <w:sz w:val="20"/>
                <w:szCs w:val="20"/>
                <w:color w:val="auto"/>
              </w:rPr>
            </w:pPr>
            <w:r>
              <w:rPr>
                <w:rFonts w:ascii="Arial" w:cs="Arial" w:eastAsia="Arial" w:hAnsi="Arial"/>
                <w:sz w:val="16"/>
                <w:szCs w:val="16"/>
                <w:color w:val="auto"/>
              </w:rPr>
              <w:t>56%</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55%</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67%</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75%</w:t>
            </w:r>
          </w:p>
        </w:tc>
      </w:tr>
      <w:tr>
        <w:trPr>
          <w:trHeight w:val="111"/>
        </w:trPr>
        <w:tc>
          <w:tcPr>
            <w:tcW w:w="5680" w:type="dxa"/>
            <w:vAlign w:val="bottom"/>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r>
      <w:tr>
        <w:trPr>
          <w:trHeight w:val="216"/>
        </w:trPr>
        <w:tc>
          <w:tcPr>
            <w:tcW w:w="568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39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 year</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tcPr>
          <w:p>
            <w:pPr>
              <w:jc w:val="center"/>
              <w:spacing w:after="0"/>
              <w:rPr>
                <w:sz w:val="20"/>
                <w:szCs w:val="20"/>
                <w:color w:val="auto"/>
              </w:rPr>
            </w:pPr>
            <w:r>
              <w:rPr>
                <w:rFonts w:ascii="Arial" w:cs="Arial" w:eastAsia="Arial" w:hAnsi="Arial"/>
                <w:sz w:val="16"/>
                <w:szCs w:val="16"/>
                <w:color w:val="auto"/>
              </w:rPr>
              <w:t>51%</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41%</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58%</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61%</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59%</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59%</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52%</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Multi-Asset</w:t>
            </w:r>
          </w:p>
        </w:tc>
        <w:tc>
          <w:tcPr>
            <w:tcW w:w="1740" w:type="dxa"/>
            <w:vAlign w:val="bottom"/>
          </w:tcPr>
          <w:p>
            <w:pPr>
              <w:jc w:val="center"/>
              <w:spacing w:after="0"/>
              <w:rPr>
                <w:sz w:val="20"/>
                <w:szCs w:val="20"/>
                <w:color w:val="auto"/>
              </w:rPr>
            </w:pPr>
            <w:r>
              <w:rPr>
                <w:rFonts w:ascii="Arial" w:cs="Arial" w:eastAsia="Arial" w:hAnsi="Arial"/>
                <w:sz w:val="16"/>
                <w:szCs w:val="16"/>
                <w:color w:val="auto"/>
              </w:rPr>
              <w:t>67%</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59%</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61%</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75%</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Funds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52%</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59%</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61%</w:t>
            </w:r>
          </w:p>
        </w:tc>
      </w:tr>
      <w:tr>
        <w:trPr>
          <w:trHeight w:val="162"/>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 year</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 years</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32%</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49%</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71%</w:t>
            </w:r>
          </w:p>
        </w:tc>
      </w:tr>
      <w:tr>
        <w:trPr>
          <w:trHeight w:val="213"/>
        </w:trPr>
        <w:tc>
          <w:tcPr>
            <w:tcW w:w="3940" w:type="dxa"/>
            <w:vAlign w:val="bottom"/>
          </w:tcPr>
          <w:p>
            <w:pPr>
              <w:ind w:left="240"/>
              <w:spacing w:after="0"/>
              <w:rPr>
                <w:sz w:val="20"/>
                <w:szCs w:val="20"/>
                <w:color w:val="auto"/>
              </w:rPr>
            </w:pPr>
            <w:r>
              <w:rPr>
                <w:rFonts w:ascii="Arial" w:cs="Arial" w:eastAsia="Arial" w:hAnsi="Arial"/>
                <w:sz w:val="16"/>
                <w:szCs w:val="16"/>
                <w:color w:val="auto"/>
              </w:rPr>
              <w:t>Fixed Income</w:t>
            </w:r>
          </w:p>
        </w:tc>
        <w:tc>
          <w:tcPr>
            <w:tcW w:w="1740" w:type="dxa"/>
            <w:vAlign w:val="bottom"/>
          </w:tcPr>
          <w:p>
            <w:pPr>
              <w:jc w:val="center"/>
              <w:spacing w:after="0"/>
              <w:rPr>
                <w:sz w:val="20"/>
                <w:szCs w:val="20"/>
                <w:color w:val="auto"/>
              </w:rPr>
            </w:pPr>
            <w:r>
              <w:rPr>
                <w:rFonts w:ascii="Arial" w:cs="Arial" w:eastAsia="Arial" w:hAnsi="Arial"/>
                <w:sz w:val="16"/>
                <w:szCs w:val="16"/>
                <w:color w:val="auto"/>
              </w:rPr>
              <w:t>32%</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61%</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51%</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76%</w:t>
            </w:r>
          </w:p>
        </w:tc>
      </w:tr>
      <w:tr>
        <w:trPr>
          <w:trHeight w:val="219"/>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All Composites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38%</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44%</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50%</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73%</w:t>
            </w:r>
          </w:p>
        </w:tc>
      </w:tr>
      <w:tr>
        <w:trPr>
          <w:trHeight w:val="135"/>
        </w:trPr>
        <w:tc>
          <w:tcPr>
            <w:tcW w:w="39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4"/>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60%</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48%</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57%</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rPr>
              <w:t>58%</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67%</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87%</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90%</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87%</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94%</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97%</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rPr>
              <w:t>68%</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61%</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69%</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66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2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2"/>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rPr>
              <w:t>62%</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29%</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51%</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52%</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34%</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67%</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65%</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61%</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rPr>
              <w:t>95%</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88%</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95%</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70%</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50%</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65%</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65%</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40%</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36%</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34%</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63%</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rPr>
              <w:t>31%</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62%</w:t>
            </w:r>
          </w:p>
        </w:tc>
        <w:tc>
          <w:tcPr>
            <w:tcW w:w="18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46%</w:t>
            </w:r>
          </w:p>
        </w:tc>
        <w:tc>
          <w:tcPr>
            <w:tcW w:w="18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66%</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19"/>
              <w:spacing w:after="0"/>
              <w:rPr>
                <w:sz w:val="20"/>
                <w:szCs w:val="20"/>
                <w:color w:val="auto"/>
              </w:rPr>
            </w:pPr>
            <w:r>
              <w:rPr>
                <w:rFonts w:ascii="Arial" w:cs="Arial" w:eastAsia="Arial" w:hAnsi="Arial"/>
                <w:sz w:val="16"/>
                <w:szCs w:val="16"/>
                <w:color w:val="auto"/>
              </w:rPr>
              <w:t>38%</w:t>
            </w:r>
          </w:p>
        </w:tc>
        <w:tc>
          <w:tcPr>
            <w:tcW w:w="18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41%</w:t>
            </w:r>
          </w:p>
        </w:tc>
        <w:tc>
          <w:tcPr>
            <w:tcW w:w="188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36%</w:t>
            </w:r>
          </w:p>
        </w:tc>
        <w:tc>
          <w:tcPr>
            <w:tcW w:w="1840" w:type="dxa"/>
            <w:vAlign w:val="bottom"/>
            <w:gridSpan w:val="2"/>
          </w:tcPr>
          <w:p>
            <w:pPr>
              <w:jc w:val="center"/>
              <w:ind w:left="19"/>
              <w:spacing w:after="0"/>
              <w:rPr>
                <w:sz w:val="20"/>
                <w:szCs w:val="20"/>
                <w:color w:val="auto"/>
              </w:rPr>
            </w:pPr>
            <w:r>
              <w:rPr>
                <w:rFonts w:ascii="Arial" w:cs="Arial" w:eastAsia="Arial" w:hAnsi="Arial"/>
                <w:sz w:val="16"/>
                <w:szCs w:val="16"/>
                <w:color w:val="auto"/>
              </w:rPr>
              <w:t>64%</w:t>
            </w:r>
          </w:p>
        </w:tc>
      </w:tr>
    </w:tbl>
    <w:p>
      <w:pPr>
        <w:spacing w:after="0" w:line="331"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As of June 30, 2023, 66 of 125 (52.8%)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72%</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of AUM in the firm's rated U.S. mutual funds (across primary share classes) ended June 30, 2023 with an overall rating of 4 or 5 stars.</w:t>
      </w:r>
    </w:p>
    <w:p>
      <w:pPr>
        <w:spacing w:after="0" w:line="214"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left="140" w:hanging="132"/>
        <w:spacing w:after="0"/>
        <w:tabs>
          <w:tab w:leader="none" w:pos="140" w:val="left"/>
        </w:tabs>
        <w:numPr>
          <w:ilvl w:val="0"/>
          <w:numId w:val="8"/>
        </w:numPr>
        <w:rPr>
          <w:rFonts w:ascii="Arial" w:cs="Arial" w:eastAsia="Arial" w:hAnsi="Arial"/>
          <w:sz w:val="9"/>
          <w:szCs w:val="9"/>
          <w:i w:val="1"/>
          <w:iCs w:val="1"/>
          <w:color w:val="auto"/>
        </w:rPr>
      </w:pPr>
      <w:r>
        <w:rPr>
          <w:rFonts w:ascii="Arial" w:cs="Arial" w:eastAsia="Arial" w:hAnsi="Arial"/>
          <w:sz w:val="14"/>
          <w:szCs w:val="14"/>
          <w:i w:val="1"/>
          <w:iCs w:val="1"/>
          <w:color w:val="auto"/>
        </w:rPr>
        <w:t>Source: © 2023 Morningstar, Inc. All rights reserved. The information contained herein: (1) is proprietary to Morningstar and/or its content providers; (2) may not be copied or</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4"/>
          <w:szCs w:val="14"/>
          <w:i w:val="1"/>
          <w:iCs w:val="1"/>
          <w:color w:val="auto"/>
        </w:rPr>
        <w:t>distributed; and (3) is not warranted to be accurate, complete, or timely. Neither Morningstar nor its content providers are responsible for any damages or losses arising from any use of this information.</w:t>
      </w:r>
    </w:p>
    <w:p>
      <w:pPr>
        <w:ind w:right="60" w:firstLine="8"/>
        <w:spacing w:after="0" w:line="229" w:lineRule="auto"/>
        <w:tabs>
          <w:tab w:leader="none" w:pos="154"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$321B for 1 year, $321B for 3 years, $320B for 5 years, and $316B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29" w:lineRule="auto"/>
        <w:tabs>
          <w:tab w:leader="none" w:pos="154"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$306B for 1 year, $273B for 3 years, $271B for 5 years, and $255B for 10 years.</w:t>
      </w:r>
    </w:p>
    <w:p>
      <w:pPr>
        <w:spacing w:after="0" w:line="1" w:lineRule="exact"/>
        <w:rPr>
          <w:rFonts w:ascii="Arial" w:cs="Arial" w:eastAsia="Arial" w:hAnsi="Arial"/>
          <w:sz w:val="9"/>
          <w:szCs w:val="9"/>
          <w:i w:val="1"/>
          <w:iCs w:val="1"/>
          <w:color w:val="auto"/>
        </w:rPr>
      </w:pPr>
    </w:p>
    <w:p>
      <w:pPr>
        <w:ind w:right="200" w:firstLine="8"/>
        <w:spacing w:after="0" w:line="270" w:lineRule="auto"/>
        <w:tabs>
          <w:tab w:leader="none" w:pos="114" w:val="left"/>
        </w:tabs>
        <w:numPr>
          <w:ilvl w:val="0"/>
          <w:numId w:val="9"/>
        </w:numPr>
        <w:rPr>
          <w:rFonts w:ascii="Arial" w:cs="Arial" w:eastAsia="Arial" w:hAnsi="Arial"/>
          <w:sz w:val="8"/>
          <w:szCs w:val="8"/>
          <w:i w:val="1"/>
          <w:iCs w:val="1"/>
          <w:color w:val="auto"/>
        </w:rPr>
      </w:pPr>
      <w:r>
        <w:rPr>
          <w:rFonts w:ascii="Arial" w:cs="Arial" w:eastAsia="Arial" w:hAnsi="Arial"/>
          <w:sz w:val="12"/>
          <w:szCs w:val="12"/>
          <w:i w:val="1"/>
          <w:iCs w:val="1"/>
          <w:color w:val="auto"/>
        </w:rPr>
        <w:t>Composite net returns are calculated using the highest applicable separate account fee schedule. Excludes money market composites. All composites compared with the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$1,243B for 1 year, $1,238B for 3 years, $1,230B for 5 years, and $1,190B for 10 years.</w:t>
      </w:r>
    </w:p>
    <w:p>
      <w:pPr>
        <w:ind w:right="100" w:firstLine="8"/>
        <w:spacing w:after="0" w:line="239" w:lineRule="auto"/>
        <w:tabs>
          <w:tab w:leader="none" w:pos="154"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6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 months ended June 30, 2023 and 2022 on a U.S. GAAP basis as well as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20" w:type="dxa"/>
            <w:vAlign w:val="bottom"/>
            <w:tcBorders>
              <w:bottom w:val="single" w:sz="8" w:color="auto"/>
            </w:tcBorders>
            <w:gridSpan w:val="3"/>
            <w:shd w:val="clear" w:color="auto" w:fill="CCEEFF"/>
          </w:tcPr>
          <w:p>
            <w:pPr>
              <w:jc w:val="right"/>
              <w:ind w:right="261"/>
              <w:spacing w:after="0"/>
              <w:rPr>
                <w:sz w:val="20"/>
                <w:szCs w:val="20"/>
                <w:color w:val="auto"/>
              </w:rPr>
            </w:pPr>
            <w:r>
              <w:rPr>
                <w:rFonts w:ascii="Arial" w:cs="Arial" w:eastAsia="Arial" w:hAnsi="Arial"/>
                <w:sz w:val="14"/>
                <w:szCs w:val="14"/>
                <w:b w:val="1"/>
                <w:bCs w:val="1"/>
                <w:color w:val="auto"/>
              </w:rPr>
              <w:t>Q2 2023 vs. Q2 2022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gridSpan w:val="3"/>
            <w:shd w:val="clear" w:color="auto" w:fill="CCEEFF"/>
          </w:tcPr>
          <w:p>
            <w:pPr>
              <w:jc w:val="right"/>
              <w:ind w:right="181"/>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9"/>
                <w:szCs w:val="9"/>
                <w:b w:val="1"/>
                <w:bCs w:val="1"/>
                <w:color w:val="auto"/>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6/30/2023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U.S. GAAP basis</w:t>
            </w:r>
          </w:p>
        </w:tc>
        <w:tc>
          <w:tcPr>
            <w:tcW w:w="164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1,430.8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1,496.7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2,822.6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3,158.8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line="219"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Net revenues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1,610.2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1,513.0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3,147.8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3,376.0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533.5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1,017.7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1,546.0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(528.3)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gridSpan w:val="5"/>
          </w:tcPr>
          <w:p>
            <w:pPr>
              <w:spacing w:after="0"/>
              <w:rPr>
                <w:sz w:val="20"/>
                <w:szCs w:val="20"/>
                <w:color w:val="auto"/>
              </w:rPr>
            </w:pPr>
            <w:r>
              <w:rPr>
                <w:rFonts w:ascii="Arial" w:cs="Arial" w:eastAsia="Arial" w:hAnsi="Arial"/>
                <w:sz w:val="16"/>
                <w:szCs w:val="16"/>
                <w:color w:val="auto"/>
              </w:rPr>
              <w:t>Net income attributable to T. Rowe Price $</w:t>
            </w:r>
          </w:p>
        </w:tc>
        <w:tc>
          <w:tcPr>
            <w:tcW w:w="780" w:type="dxa"/>
            <w:vAlign w:val="bottom"/>
          </w:tcPr>
          <w:p>
            <w:pPr>
              <w:jc w:val="right"/>
              <w:spacing w:after="0"/>
              <w:rPr>
                <w:sz w:val="20"/>
                <w:szCs w:val="20"/>
                <w:color w:val="auto"/>
              </w:rPr>
            </w:pPr>
            <w:r>
              <w:rPr>
                <w:rFonts w:ascii="Arial" w:cs="Arial" w:eastAsia="Arial" w:hAnsi="Arial"/>
                <w:sz w:val="16"/>
                <w:szCs w:val="16"/>
                <w:color w:val="auto"/>
              </w:rPr>
              <w:t>476.4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339.6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136.8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40.3 %</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897.9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907.5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gridSpan w:val="4"/>
          </w:tcPr>
          <w:p>
            <w:pPr>
              <w:spacing w:after="0" w:line="165" w:lineRule="exact"/>
              <w:rPr>
                <w:sz w:val="20"/>
                <w:szCs w:val="20"/>
                <w:color w:val="auto"/>
              </w:rPr>
            </w:pPr>
            <w:r>
              <w:rPr>
                <w:rFonts w:ascii="Arial" w:cs="Arial" w:eastAsia="Arial" w:hAnsi="Arial"/>
                <w:sz w:val="16"/>
                <w:szCs w:val="16"/>
                <w:color w:val="auto"/>
              </w:rPr>
              <w:t>Weighted average common shares</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227.9</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228.8</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outstanding assuming dilution</w:t>
            </w: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gridSpan w:val="4"/>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596.6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579.7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1,124.6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1,417.7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(293.1)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gridSpan w:val="5"/>
          </w:tcPr>
          <w:p>
            <w:pPr>
              <w:spacing w:after="0"/>
              <w:rPr>
                <w:sz w:val="20"/>
                <w:szCs w:val="20"/>
                <w:color w:val="auto"/>
              </w:rPr>
            </w:pPr>
            <w:r>
              <w:rPr>
                <w:rFonts w:ascii="Arial" w:cs="Arial" w:eastAsia="Arial" w:hAnsi="Arial"/>
                <w:sz w:val="16"/>
                <w:szCs w:val="16"/>
                <w:color w:val="auto"/>
              </w:rPr>
              <w:t>Net income attributable to T. Rowe Price $</w:t>
            </w:r>
          </w:p>
        </w:tc>
        <w:tc>
          <w:tcPr>
            <w:tcW w:w="780" w:type="dxa"/>
            <w:vAlign w:val="bottom"/>
          </w:tcPr>
          <w:p>
            <w:pPr>
              <w:jc w:val="right"/>
              <w:spacing w:after="0"/>
              <w:rPr>
                <w:sz w:val="20"/>
                <w:szCs w:val="20"/>
                <w:color w:val="auto"/>
              </w:rPr>
            </w:pPr>
            <w:r>
              <w:rPr>
                <w:rFonts w:ascii="Arial" w:cs="Arial" w:eastAsia="Arial" w:hAnsi="Arial"/>
                <w:sz w:val="16"/>
                <w:szCs w:val="16"/>
                <w:color w:val="auto"/>
              </w:rPr>
              <w:t>466.5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417.7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855.9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94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gridSpan w:val="4"/>
          </w:tcPr>
          <w:p>
            <w:pPr>
              <w:spacing w:after="0"/>
              <w:rPr>
                <w:sz w:val="20"/>
                <w:szCs w:val="20"/>
                <w:color w:val="auto"/>
              </w:rPr>
            </w:pPr>
            <w:r>
              <w:rPr>
                <w:rFonts w:ascii="Arial" w:cs="Arial" w:eastAsia="Arial" w:hAnsi="Arial"/>
                <w:sz w:val="16"/>
                <w:szCs w:val="16"/>
                <w:color w:val="auto"/>
              </w:rPr>
              <w:t>Average assets under management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1,357.4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1,407.1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1,340.2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1,483.0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Ending assets under management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spacing w:after="0" w:line="5" w:lineRule="exact"/>
        <w:rPr>
          <w:rFonts w:ascii="Arial" w:cs="Arial" w:eastAsia="Arial" w:hAnsi="Arial"/>
          <w:sz w:val="16"/>
          <w:szCs w:val="16"/>
          <w:i w:val="1"/>
          <w:iCs w:val="1"/>
          <w:color w:val="auto"/>
          <w:vertAlign w:val="superscript"/>
        </w:rPr>
      </w:pP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spacing w:after="0" w:line="3" w:lineRule="exact"/>
        <w:rPr>
          <w:rFonts w:ascii="Arial" w:cs="Arial" w:eastAsia="Arial" w:hAnsi="Arial"/>
          <w:sz w:val="16"/>
          <w:szCs w:val="16"/>
          <w:i w:val="1"/>
          <w:iCs w:val="1"/>
          <w:color w:val="auto"/>
          <w:vertAlign w:val="superscript"/>
        </w:rPr>
      </w:pP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90% of our net revenues are related to investment advisory fees. Total net revenues were $1,610.2 million in the second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2023, a 6.4% increase compared with $1,513.0 million in the second quarter of 2022. The increase was primarily driven by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$165.0 million increase in accrued carried interest from investments in affiliated investment funds as the change in accrued carried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negative in the second quarter of 2022 and reduced net revenues. The increase in accrued carried interest in 2023 was partially offset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 4.4% decrease in investment advisory fee revenue as lower overall markets and net outflows reduced average assets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by 3.5%.</w:t>
      </w:r>
    </w:p>
    <w:p>
      <w:pPr>
        <w:spacing w:after="0" w:line="2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the affiliated funds assuming the funds’ underlying investments were realized as of the end of the period, regardless of whether the funds’ underlying investments have been realized.</w:t>
      </w:r>
    </w:p>
    <w:p>
      <w:pPr>
        <w:spacing w:after="0" w:line="20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$1,076.7 million in the second quarter of 2023 compared with $844.4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2022. On a non-GAAP basis, operating expenses were $1,026.2 million, a 8.3% increase over the comparable 2022 period.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comparison to the second quarter of 2022, more than 50% of the increase in U.S. GAAP operating expenses is due to the increase in the supplemental savings plan liability in the second quarter of 2023, compared to a decrease in the supplemental savings plan liability in the 2022 period.</w:t>
      </w:r>
    </w:p>
    <w:p>
      <w:pPr>
        <w:spacing w:after="0" w:line="21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Higher accrued carried interest-related compensation and salaries and related benefits along with higher costs associates with ongoing investments in our technology capabilities also contributed to the increase in both U.S. GAAP operating expense and non-GAAP operating expenses. These increases were partially offset by lower distribution and servicing costs due to lower average assets under management, and a lower interim bonus accrual. Accrued carried interest-related compensation reduced operating expenses in the comparable 2022 period.</w:t>
      </w:r>
    </w:p>
    <w:p>
      <w:pPr>
        <w:spacing w:after="0" w:line="2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2023 was 33.1% on a U.S. GAAP basis, compared to 44.2% earned in the 2022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U.S. GAAP operating margin for the second quarter of 2023 compared to the 2022 period was primarily driven by the increase in operating expenses, primarily due to the increase in the supplemental savings plan liability, which increased expenses. For the comparable 2022 period, the supplemental savings plan decreased, which lowered expenses in that period. This increase was partially offset by an increase in net revenues.</w:t>
      </w:r>
    </w:p>
    <w:p>
      <w:pPr>
        <w:spacing w:after="0" w:line="21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$2.06 for the second quarter of 2023 as compared to $1.46 for the second quarter of 2022.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net investment gains recognized in the second quarter of 2023 as compared to net investment losses recognized in the second quarter of 2022, as market returns in the second quarter of 2023 were stronger than those in the 2022 period. These gains were partially offset by lower operating income.</w:t>
      </w:r>
    </w:p>
    <w:p>
      <w:pPr>
        <w:spacing w:after="0" w:line="213"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On a non-GAAP basis, diluted earnings per share was $2.02 for the second quarter of 2023 as compared to $1.79 for the second quarter of 2022. The increase is largely attributable to net investment gains on our cash investment strategy recognized in the second quarter of 2023 as compared to net investment losses recognized in the second quarter of 2022 as well as higher operating income. These increases were partially offset by a higher effective tax rate compared to the 2022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2023</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for the six months ended June 30, 2023 are related to investment advisory fees. Total net revenues were $3,147.8 million in the six months ended June 30, 2023, a 6.8% decline compared with $3,376.0 million in the 2022 period. The decline was primarily driven by a 10.6% decrease in investment advisory fee revenue as average assets under management declined by 9.6%. This decrease was partially offset by a $137.5 million increase in accrued carried interest from investments in affiliated investment funds. The change in accrued carried interest in the six months ended June 30, 2022 reduced net revenues.</w:t>
      </w:r>
    </w:p>
    <w:p>
      <w:pPr>
        <w:spacing w:after="0" w:line="2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$2,130.1 million in the six months ended June 30, 2023 compared with $1,830.0 million in the 2022 period.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basis, our operating expenses for the six months ended June 30, 2023 increased 3.1% to $2,048.7 million compared to the 2022 period.</w:t>
      </w:r>
    </w:p>
    <w:p>
      <w:pPr>
        <w:spacing w:after="0" w:line="2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comparison to the six months ended June 30, 2022, more than two-thirds of the increase in U.S. GAAP operating expenses is due to the increase in the supplemental savings plan liability in the six months ended June 30, 2023, compared to a decrease in the supplemental savings plan liability in the 2022 period.</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Additionally, higher salaries and related benefits along with higher accrued carried interest-related compensation and higher costs related to the ongoing investments in our technology capabilities also contributed to the increase.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27" w:name="page28"/>
    <w:bookmarkEnd w:id="27"/>
    <w:p>
      <w:pPr>
        <w:ind w:right="500"/>
        <w:spacing w:after="0" w:line="275" w:lineRule="auto"/>
        <w:rPr>
          <w:sz w:val="20"/>
          <w:szCs w:val="20"/>
          <w:color w:val="auto"/>
        </w:rPr>
      </w:pPr>
      <w:r>
        <w:rPr>
          <w:rFonts w:ascii="Arial" w:cs="Arial" w:eastAsia="Arial" w:hAnsi="Arial"/>
          <w:sz w:val="18"/>
          <w:szCs w:val="18"/>
          <w:color w:val="auto"/>
        </w:rPr>
        <w:t>These increases were partially offset by lower distribution and servicing costs due to lower average assets under management, a lower interim bonus accrual, lower recordkeeping costs, and lower employee-related costs, including stock-based compensation expense.</w:t>
      </w:r>
    </w:p>
    <w:p>
      <w:pPr>
        <w:spacing w:after="0" w:line="19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June 30, 2023 was 32.3%, compared to 45.8% earned in the 2022 period. The decrease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the six months ended June 30, 2023 compared to the 2022 period was primarily driven by the decrease in investment advisory fee revenue and the higher market-driven compensation expense related to the change in the supplemental savings plan liability.</w:t>
      </w:r>
    </w:p>
    <w:p>
      <w:pPr>
        <w:spacing w:after="0" w:line="20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$3.89 for the six months ended June 30, 2023 as compared to $3.88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0.3% increase was primarily driven by net investment gains recognized in the six months ended June 30, 2023 as compared to net investment losses recognized in the six months ended June 30, 2022, as market returns in the six months ended June 30, 2023 were stronger than those in the 2022 period as well as lower shares outstanding. These increases were almost entirely offset by lower operating income and a higher effective tax rate.</w:t>
      </w:r>
    </w:p>
    <w:p>
      <w:pPr>
        <w:spacing w:after="0" w:line="2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On a non-GAAP basis, diluted earnings per share was $3.71 for the six months ended June 30, 2023 as compared to $4.42 for the 2022 period. The decrease is largely attributable to lower operating income and a higher effective tax rate compared to the 2022 period. These declines were partially offset by net investment gains on our cash investment strategy recognized in the six months ended June 30, 2023 as compared to net investment losses recognized in the six months ended June 30, 2022 as well as lower shares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gridSpan w:val="3"/>
            <w:shd w:val="clear" w:color="auto" w:fill="CCEEFF"/>
          </w:tcPr>
          <w:p>
            <w:pPr>
              <w:jc w:val="right"/>
              <w:ind w:right="341"/>
              <w:spacing w:after="0"/>
              <w:rPr>
                <w:sz w:val="20"/>
                <w:szCs w:val="20"/>
                <w:color w:val="auto"/>
              </w:rPr>
            </w:pPr>
            <w:r>
              <w:rPr>
                <w:rFonts w:ascii="Arial" w:cs="Arial" w:eastAsia="Arial" w:hAnsi="Arial"/>
                <w:sz w:val="14"/>
                <w:szCs w:val="14"/>
                <w:b w:val="1"/>
                <w:bCs w:val="1"/>
                <w:color w:val="auto"/>
              </w:rPr>
              <w:t>Q2 2023 vs. Q2 2022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gridSpan w:val="4"/>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gridSpan w:val="3"/>
            <w:shd w:val="clear" w:color="auto" w:fill="CCEEFF"/>
          </w:tcPr>
          <w:p>
            <w:pPr>
              <w:jc w:val="right"/>
              <w:ind w:right="281"/>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6/30/2023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9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Investment advisory</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862.3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941.0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1,696.2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2,027.0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(330.8)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1,430.8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(336.2)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Administrative,</w:t>
            </w: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distribution, and</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servicing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68"/>
        </w:trPr>
        <w:tc>
          <w:tcPr>
            <w:tcW w:w="1960" w:type="dxa"/>
            <w:vAlign w:val="bottom"/>
            <w:shd w:val="clear" w:color="auto" w:fill="CCEEFF"/>
          </w:tcPr>
          <w:p>
            <w:pPr>
              <w:ind w:left="140"/>
              <w:spacing w:after="0" w:line="168" w:lineRule="exact"/>
              <w:rPr>
                <w:sz w:val="20"/>
                <w:szCs w:val="20"/>
                <w:color w:val="auto"/>
              </w:rPr>
            </w:pPr>
            <w:r>
              <w:rPr>
                <w:rFonts w:ascii="Arial" w:cs="Arial" w:eastAsia="Arial" w:hAnsi="Arial"/>
                <w:sz w:val="16"/>
                <w:szCs w:val="16"/>
                <w:color w:val="auto"/>
              </w:rPr>
              <w:t>Distribution and</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vMerge w:val="restart"/>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vMerge w:val="restart"/>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9"/>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servicing fees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59"/>
        </w:trPr>
        <w:tc>
          <w:tcPr>
            <w:tcW w:w="19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Capital allocation-based</w:t>
            </w: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3"/>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1,610.2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1,513.0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97.2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Borders>
              <w:right w:val="single" w:sz="8" w:color="auto"/>
            </w:tcBorders>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3,376.0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(228.2)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Average assets under</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line="171" w:lineRule="exact"/>
              <w:rPr>
                <w:sz w:val="20"/>
                <w:szCs w:val="20"/>
                <w:color w:val="auto"/>
              </w:rPr>
            </w:pPr>
            <w:r>
              <w:rPr>
                <w:rFonts w:ascii="Arial" w:cs="Arial" w:eastAsia="Arial" w:hAnsi="Arial"/>
                <w:sz w:val="16"/>
                <w:szCs w:val="16"/>
                <w:b w:val="1"/>
                <w:bCs w:val="1"/>
                <w:color w:val="auto"/>
              </w:rPr>
              <w:t>management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Fixed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155"/>
        </w:trPr>
        <w:tc>
          <w:tcPr>
            <w:tcW w:w="19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Average assets under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1,407.1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right w:val="single" w:sz="8" w:color="auto"/>
            </w:tcBorders>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1,340.2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1,483.0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management</w:t>
            </w: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Investment advisory</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effective fee rate</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 bps)</w:t>
            </w: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Investment advisory revenues earned in the second quarter of 2023 decreased over the comparable 2022 quarter as average assets under management decreased $49.7 billion or 3.5%, to $1,357.4 million. For the six months ended June 30, 2023, investment advisory revenues decreased over the comparable 2022 period as average assets under management decreased $142.8 million, or 9.6%, to $1,340.2 million.</w:t>
      </w:r>
    </w:p>
    <w:p>
      <w:pPr>
        <w:spacing w:after="0" w:line="2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six months ended June 30, 2022, we voluntarily waived $9.3 million, or less than 1%, of our investment advisory fees. We did not waive a significant level of money market investment advisory fees in the second quarter of 2022. We also have not waived money market investment advisory fees in the six months ended June 30, 2023.</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total average annualized effective fee rate earned during the second quarter of 2023 declined compared to the three- and six-month periods ended June 30, 2022 due to a mix shift to lower fee asset classes and products as a result of overall market declines and net outflows over the last twelve months.</w:t>
      </w:r>
    </w:p>
    <w:p>
      <w:pPr>
        <w:spacing w:after="0" w:line="20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2023 were $140.7 million, a decrease of $1.9 million, or 1.3%,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2022 quarter. The decrease in the second quarter of 2023 is primarily due to lower 12b-1 fees earned on the Advisor and R share classes of the U.S. mutual funds. The decrease in 12b-1 revenue is offset entirely by a decrease in the costs paid to third-party intermediaries that source these assets and are reported in distribution and servicing expense.</w:t>
      </w:r>
    </w:p>
    <w:p>
      <w:pPr>
        <w:spacing w:after="0" w:line="21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six months ended June 30, 2023, these fees were $269.6 million, a decrease of $29.5 million, or 9.9%, from the 2022 period. The decrease in the six months ended June 30, 2023 was primarily due to lower transfer agent servicing activities provided to the T. Rowe Price mutual funds and lower 12b-1 revenue as a result of lower assets under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sponsored investment products. The corresponding expenses recognized by these products, and consolidated in our financial statements, were also eliminated from operating expenses. For the second quarter, we eliminated net revenue of $0.3 million in 2023 and $0.6 million in 2022. For the six months ended June 30, we eliminated net revenue of $0.9 million in 2023 and $1.5 million in 2022.</w:t>
      </w:r>
    </w:p>
    <w:p>
      <w:pPr>
        <w:spacing w:after="0" w:line="21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2023 increased net revenues by $38.7 million. The second quarter of 2023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 increase of $51.0 million in accrued carried interest from investments in affiliated investment funds, partially offset by $12.3 million in non-cash acquisition-related amortization. Comparatively, capital allocation-based income in the second quarter of 2022 reduced net revenues by $126.3 million, which consists of market-related reductions of accrued carried interest from investments in affiliated investment funds of $113.0 million and $13.3 million in non-cash amortization.</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six months ended June 30, 2023, capital allocation-based income increased net revenues by $ 55.6 million. This amount represents an increase of $80.2 million in accrued carried interest from investments in affiliated investment funds, partially offset by $24.6 million in non-cash acquisition-related amortization. Comparatively, capital allocation-based income reduced net revenues for the six months ended June 30, 2022 by $81.9 million. This amount represents $55.4 million in market-related reductions of accrued carried interest from investments in affiliated investment funds and $26.5 million in non-cash acquisition-related amortization.</w:t>
      </w:r>
    </w:p>
    <w:p>
      <w:pPr>
        <w:spacing w:after="0" w:line="21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gridSpan w:val="3"/>
            <w:shd w:val="clear" w:color="auto" w:fill="CCEEFF"/>
          </w:tcPr>
          <w:p>
            <w:pPr>
              <w:jc w:val="right"/>
              <w:ind w:right="221"/>
              <w:spacing w:after="0"/>
              <w:rPr>
                <w:sz w:val="20"/>
                <w:szCs w:val="20"/>
                <w:color w:val="auto"/>
              </w:rPr>
            </w:pPr>
            <w:r>
              <w:rPr>
                <w:rFonts w:ascii="Arial" w:cs="Arial" w:eastAsia="Arial" w:hAnsi="Arial"/>
                <w:sz w:val="14"/>
                <w:szCs w:val="14"/>
                <w:b w:val="1"/>
                <w:bCs w:val="1"/>
                <w:color w:val="auto"/>
              </w:rPr>
              <w:t>Q2 2023 vs. Q2 2022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181"/>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6/30/2023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9"/>
              </w:rPr>
              <w:t>6/30/2023</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6/30/2022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benefits and related costs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Acquisition-related retention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Capital allocation-based income</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compensation and related costs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39.9 %</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occupancy, and facility costs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Change in fair value of contingent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consideration</w:t>
            </w: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Acquisition-related amortization</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27.5 %</w:t>
            </w:r>
          </w:p>
        </w:tc>
        <w:tc>
          <w:tcPr>
            <w:tcW w:w="10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2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$591.0 million in the second quarter of 2023, an increase of $1.2 million, or 0.2%,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2022 quarter. Higher salaries and related benefits in the second quarter of 2023 were almost entirely offset by a lower interim bonus accrual and other employee-related costs in the second quarter of 2023.</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six months ended June 30, 2023, these costs were $1,184.3 million, a decrease of $1.4 million, or 0.1%, compared to the 2022 period. The decrease in the six months ended June 30, 2023 was primarily due to a lower interim bonus accrual and stock-based compensation expense. These decreases were almost entirely offset by higher salaries and related benefits, primarily due to base salary increases in July 2022 and January 2023, and higher headcount. The firm employed 7,903 associates at June 30, 2023, an increase of 0.4% from the end of 2022, and an increase of 1.7% from June 30, 2022.</w:t>
      </w:r>
    </w:p>
    <w:p>
      <w:pPr>
        <w:spacing w:after="0" w:line="21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$67.8 million for the second quarter of 2023, a decrease of $7.9 million, or 10.4%, from the $75.7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2022 quarter. The decrease from 2022 was primarily driven by lower average assets under management in certain SICAV share classes.</w:t>
      </w:r>
    </w:p>
    <w:p>
      <w:pPr>
        <w:spacing w:after="0" w:line="20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For the six months ended June 30, 2023, these costs were $139.3 million, a decrease of $22.3 million, or 13.8%, compared with the 2022 period. The decrease in the six months ended June 30, 2023 was primarily driven by lower average assets under management in certain share classes of the U.S. mutual funds that earn 12(b)-1 fees and certain SICAV share classes.</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and our international products, such as our Japanese ITMs and SICAVs. These costs are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w:t>
      </w:r>
    </w:p>
    <w:p>
      <w:pPr>
        <w:spacing w:after="0" w:line="21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$22.9 million in the second quarter of 2023, an increase of $ 1.5 million, or 7.0%,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$21.4 million recognized in the 2022 quarter. For the six months ended June 30, 2023, these costs were $48.7 million, an increase of $3.9 million, or 8.7%, compared with the 2022 period. The increase in both periods was driven primarily by an increase in promotional and digital advertising costs.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ind w:right="100"/>
        <w:spacing w:after="0" w:line="243"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$77.7 million in the second quarter of 2023, an increase of $1.4 million, or 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$76.3 million in the 2022 quarter. The increase is primarily due to the timing of certain printing and mailing services. For the six months ended June 30, 2023, these costs were $ 149.8 million, a decrease of $6.9 million, or 4.4%, compared with the 2022 period. The decrease in the six months ended June 30, 2023 was driven primarily due to lower recordkeeping related costs.</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$154.7 million in the second quarter of 2023, an increase of $20.4 million, or 15.2%,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$134.3 million recognized in the 2022 quarter. For the six months ended June 30, 2023, these costs were $301.3 million, an increase of $33.1 million, or 12.3%, compared with the 2022 period. The increase in both periods was primarily due to increased office facility costs, mainly related to rent expense associated with a new UK facility we expect to occupy later this year, and higher costs from the firm's ongoing investment in its technology capabilities, including hosted solution licenses and depreciation.</w:t>
      </w:r>
    </w:p>
    <w:p>
      <w:pPr>
        <w:spacing w:after="0" w:line="214"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$100.0 million in the second quarter of 2023, an increase of $3.6 million, or 3.7%,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$96.4 million recognized in the 2022 quarter. Higher professional fees and external research costs were partially offset by certain nonrecurring costs that were incurred during the 2022 quarter.</w:t>
      </w:r>
    </w:p>
    <w:p>
      <w:pPr>
        <w:spacing w:after="0" w:line="2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six months ended June 30, 2023, these costs were $207.5 million, an increase of $12.3 million, or 6.3%, compared with the 2022 period. The increase was primarily related to higher travel, professional and legal fees, and information services expenses. These increases were partially offset by lower external research costs and certain nonrecurring costs that were incurred during the 2022 period.</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our contingent consideration relates to an earnout arrangement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OHA in which additional purchase price may be due upon satisfying or exceeding certain defined revenue targets. Every reporting period, we record the potential amount due under this arrangement at fair value. During the second quarter of 2023 and 2022, we recognized reductions in the fair value of the contingent consideration liability of $23.2 million and $50.3 million, respectively. During the six months ended June 30, 2023 and 2022, we recognized reductions in the fair value of the contingent consideration liability of $72.8 million and $95.8 million, respectively. Challenging market conditions in all periods have reduced revenue expectations used in the fair value determinations.</w:t>
      </w:r>
    </w:p>
    <w:p>
      <w:pPr>
        <w:spacing w:after="0" w:line="21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fair value certain intangible assets. During the second quarter of 2023 and 2022, we recognized $28.6 million and $27.2 million, respectively, in amortization related to the definite-lived intangible assets. During the six months ended June 30, 2023 and 2022, we recognized $54.6 million and $54.3 million, respectively, in amortization. No impairment costs were recognized during any period presented. However, should conditions deteriorate, impairments may be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Non-operating income for the second quarter of 2023 was $106.2 million as compared to non-operating loss of $279.9 million in the 2022 quarter. The following table details the components of non-operating income (loss) for both the second quarter and six months ended June 30, 2023 and 2022.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4"/>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6/30/2022</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discretionary investments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6420" w:type="dxa"/>
            <w:vAlign w:val="bottom"/>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Total net gains (losses) from non-consolidated T. Rowe Price investment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w:t>
            </w: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 income (losses)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Net gains (losses) on consolidated sponsored investment portfolios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losses, including foreign currency losses</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investment portfolio recognized gains during the second quarter and six months ended June 30, 2023 primarily due to market activity that resulted in higher valuations at the end of the second quarter of 2023 and higher dividends earned on our cash equivalents. Our investment portfolio recognized losses in the second quarter of 2022 as the fear of inflation, the continued Russian invasion of Ukraine, and Federal Reserve interest rate increases weighed on the global economy and markets resulting in lower valuations at the end of the second quarter of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 Rowe Price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gridSpan w:val="4"/>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6/30/2022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6/30/2022</w:t>
            </w:r>
          </w:p>
        </w:tc>
        <w:tc>
          <w:tcPr>
            <w:tcW w:w="0" w:type="dxa"/>
            <w:vAlign w:val="bottom"/>
          </w:tcPr>
          <w:p>
            <w:pPr>
              <w:spacing w:after="0"/>
              <w:rPr>
                <w:sz w:val="1"/>
                <w:szCs w:val="1"/>
                <w:color w:val="auto"/>
              </w:rPr>
            </w:pPr>
          </w:p>
        </w:tc>
      </w:tr>
      <w:tr>
        <w:trPr>
          <w:trHeight w:val="237"/>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4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(loss) attributable to our interest in the consolidated T. Rowe Price</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line="176" w:lineRule="exact"/>
              <w:rPr>
                <w:sz w:val="20"/>
                <w:szCs w:val="20"/>
                <w:color w:val="auto"/>
              </w:rPr>
            </w:pPr>
            <w:r>
              <w:rPr>
                <w:rFonts w:ascii="Arial" w:cs="Arial" w:eastAsia="Arial" w:hAnsi="Arial"/>
                <w:sz w:val="18"/>
                <w:szCs w:val="18"/>
                <w:color w:val="auto"/>
                <w:w w:val="99"/>
              </w:rPr>
              <w:t>Net income (loss) attributable to redeemable non-controlling interests (unrelated</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third-party investors)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6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both the three- and six-months ended June 30,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shd w:val="clear" w:color="auto" w:fill="CCEEFF"/>
          </w:tcPr>
          <w:p>
            <w:pPr>
              <w:spacing w:after="0"/>
              <w:rPr>
                <w:sz w:val="17"/>
                <w:szCs w:val="17"/>
                <w:color w:val="auto"/>
              </w:rPr>
            </w:pPr>
          </w:p>
        </w:tc>
        <w:tc>
          <w:tcPr>
            <w:tcW w:w="254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shd w:val="clear" w:color="auto" w:fill="CCEEFF"/>
          </w:tcPr>
          <w:p>
            <w:pPr>
              <w:spacing w:after="0"/>
              <w:rPr>
                <w:sz w:val="17"/>
                <w:szCs w:val="17"/>
                <w:color w:val="auto"/>
              </w:rPr>
            </w:pPr>
          </w:p>
        </w:tc>
        <w:tc>
          <w:tcPr>
            <w:tcW w:w="252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060" w:type="dxa"/>
            <w:vAlign w:val="bottom"/>
          </w:tcPr>
          <w:p>
            <w:pPr>
              <w:spacing w:after="0"/>
              <w:rPr>
                <w:sz w:val="15"/>
                <w:szCs w:val="15"/>
                <w:color w:val="auto"/>
              </w:rPr>
            </w:pP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6/30/2023</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6/30/2022</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6/30/2022</w:t>
            </w:r>
          </w:p>
        </w:tc>
      </w:tr>
      <w:tr>
        <w:trPr>
          <w:trHeight w:val="237"/>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06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139"/>
              <w:spacing w:after="0"/>
              <w:rPr>
                <w:sz w:val="20"/>
                <w:szCs w:val="20"/>
                <w:color w:val="auto"/>
              </w:rPr>
            </w:pPr>
            <w:r>
              <w:rPr>
                <w:rFonts w:ascii="Arial" w:cs="Arial" w:eastAsia="Arial" w:hAnsi="Arial"/>
                <w:sz w:val="18"/>
                <w:szCs w:val="18"/>
                <w:color w:val="auto"/>
              </w:rPr>
              <w:t>3.9</w:t>
            </w: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159"/>
              <w:spacing w:after="0"/>
              <w:rPr>
                <w:sz w:val="20"/>
                <w:szCs w:val="20"/>
                <w:color w:val="auto"/>
              </w:rPr>
            </w:pPr>
            <w:r>
              <w:rPr>
                <w:rFonts w:ascii="Arial" w:cs="Arial" w:eastAsia="Arial" w:hAnsi="Arial"/>
                <w:sz w:val="18"/>
                <w:szCs w:val="18"/>
                <w:color w:val="auto"/>
              </w:rPr>
              <w:t>3.5</w:t>
            </w:r>
          </w:p>
        </w:tc>
      </w:tr>
      <w:tr>
        <w:trPr>
          <w:trHeight w:val="230"/>
        </w:trPr>
        <w:tc>
          <w:tcPr>
            <w:tcW w:w="6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1.1</w:t>
            </w:r>
          </w:p>
        </w:tc>
      </w:tr>
      <w:tr>
        <w:trPr>
          <w:trHeight w:val="236"/>
        </w:trPr>
        <w:tc>
          <w:tcPr>
            <w:tcW w:w="606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(0.2)</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(0.5)</w:t>
            </w: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99"/>
              <w:spacing w:after="0"/>
              <w:rPr>
                <w:sz w:val="20"/>
                <w:szCs w:val="20"/>
                <w:color w:val="auto"/>
              </w:rPr>
            </w:pPr>
            <w:r>
              <w:rPr>
                <w:rFonts w:ascii="Arial" w:cs="Arial" w:eastAsia="Arial" w:hAnsi="Arial"/>
                <w:sz w:val="18"/>
                <w:szCs w:val="18"/>
                <w:color w:val="auto"/>
              </w:rPr>
              <w:t>(0.5)</w:t>
            </w:r>
          </w:p>
        </w:tc>
      </w:tr>
      <w:tr>
        <w:trPr>
          <w:trHeight w:val="23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including valuation allowances</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(0.2)</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220" w:type="dxa"/>
            <w:vAlign w:val="bottom"/>
          </w:tcPr>
          <w:p>
            <w:pPr>
              <w:jc w:val="right"/>
              <w:spacing w:after="0"/>
              <w:rPr>
                <w:sz w:val="20"/>
                <w:szCs w:val="20"/>
                <w:color w:val="auto"/>
              </w:rPr>
            </w:pPr>
            <w:r>
              <w:rPr>
                <w:rFonts w:ascii="Arial" w:cs="Arial" w:eastAsia="Arial" w:hAnsi="Arial"/>
                <w:sz w:val="18"/>
                <w:szCs w:val="18"/>
                <w:color w:val="auto"/>
              </w:rPr>
              <w:t>24.8 %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26.7 %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24.9 %</w:t>
            </w:r>
          </w:p>
        </w:tc>
      </w:tr>
      <w:tr>
        <w:trPr>
          <w:trHeight w:val="21"/>
        </w:trPr>
        <w:tc>
          <w:tcPr>
            <w:tcW w:w="60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spacing w:after="0" w:line="5" w:lineRule="exact"/>
        <w:rPr>
          <w:rFonts w:ascii="Arial" w:cs="Arial" w:eastAsia="Arial" w:hAnsi="Arial"/>
          <w:sz w:val="16"/>
          <w:szCs w:val="16"/>
          <w:i w:val="1"/>
          <w:iCs w:val="1"/>
          <w:color w:val="auto"/>
          <w:vertAlign w:val="superscript"/>
        </w:rPr>
      </w:pPr>
    </w:p>
    <w:p>
      <w:pPr>
        <w:ind w:left="180" w:right="40" w:hanging="172"/>
        <w:spacing w:after="0" w:line="226" w:lineRule="auto"/>
        <w:tabs>
          <w:tab w:leader="none" w:pos="158"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 the firm despite being included in pre-tax income.</w:t>
      </w:r>
    </w:p>
    <w:p>
      <w:pPr>
        <w:spacing w:after="0" w:line="21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non-GAAP effective tax rate primarily adjusts for the impact of the consolidated investment products, including the net income attributable to the redeemable non-controlling interests. Our non-GAAP effective tax rate was 25.8% in the second quarter of 2023 compared with 23.9% in second quarter of 2022. For the six months ended June 30, 2023, our non-GAAP effective tax rate was 27.9%, compared with 24.1% in the 2022 period.</w:t>
      </w:r>
    </w:p>
    <w:p>
      <w:pPr>
        <w:spacing w:after="0" w:line="21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Our 2023 U.S. GAAP and non-GAAP effective tax rates were unfavorably impacted by losses in certain foreign jurisdictions in which no associated tax benefit was recognized in the income tax provision. The effective tax rate for the six months ended June 30, 2023 was also unfavorably impacted by increases in valuation allowances recognized against certain foreign-based deferred tax assets, as it was determined in the first quarter of 2023 that these deferred tax assets were more likely to not be realized.</w:t>
      </w:r>
    </w:p>
    <w:p>
      <w:pPr>
        <w:spacing w:after="0" w:line="21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currently estimate that our effective tax rate for the full year 2023, on a U.S. GAAP basis, will be in the range of 26% to 30%. On a non-GAAP basis, the range is 26.5% to 29.5%</w:t>
      </w:r>
      <w:r>
        <w:rPr>
          <w:rFonts w:ascii="Arial" w:cs="Arial" w:eastAsia="Arial" w:hAnsi="Arial"/>
          <w:sz w:val="17"/>
          <w:szCs w:val="17"/>
          <w:color w:val="auto"/>
        </w:rPr>
        <w:t>.</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6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ind w:right="3200"/>
        <w:spacing w:after="0" w:line="275" w:lineRule="auto"/>
        <w:rPr>
          <w:sz w:val="20"/>
          <w:szCs w:val="20"/>
          <w:color w:val="auto"/>
        </w:rPr>
      </w:pPr>
      <w:r>
        <w:rPr>
          <w:rFonts w:ascii="Arial" w:cs="Arial" w:eastAsia="Arial" w:hAnsi="Arial"/>
          <w:sz w:val="18"/>
          <w:szCs w:val="18"/>
          <w:color w:val="auto"/>
        </w:rPr>
        <w:t>The following schedules reconcile certain U.S. GAAP financial measures for the three months ended June 30, 2023 and 2022.</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6/30/2023</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(benefit) for</w:t>
            </w:r>
          </w:p>
        </w:tc>
        <w:tc>
          <w:tcPr>
            <w:tcW w:w="12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expenses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4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 Rowe Price</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(7)</w:t>
            </w: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533.5</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476.4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9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800" w:type="dxa"/>
            <w:vAlign w:val="bottom"/>
          </w:tcPr>
          <w:p>
            <w:pPr>
              <w:ind w:left="40"/>
              <w:spacing w:after="0" w:line="165" w:lineRule="exact"/>
              <w:rPr>
                <w:sz w:val="20"/>
                <w:szCs w:val="20"/>
                <w:color w:val="auto"/>
              </w:rPr>
            </w:pPr>
            <w:r>
              <w:rPr>
                <w:rFonts w:ascii="Arial" w:cs="Arial" w:eastAsia="Arial" w:hAnsi="Arial"/>
                <w:sz w:val="15"/>
                <w:szCs w:val="15"/>
                <w:color w:val="auto"/>
              </w:rPr>
              <w:t>Investment and NCI amortization and impairments</w:t>
            </w:r>
            <w:r>
              <w:rPr>
                <w:rFonts w:ascii="Arial" w:cs="Arial" w:eastAsia="Arial" w:hAnsi="Arial"/>
                <w:sz w:val="19"/>
                <w:szCs w:val="19"/>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00" w:type="dxa"/>
            <w:vAlign w:val="bottom"/>
          </w:tcPr>
          <w:p>
            <w:pPr>
              <w:ind w:left="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800" w:type="dxa"/>
            <w:vAlign w:val="bottom"/>
          </w:tcPr>
          <w:p>
            <w:pPr>
              <w:ind w:left="40"/>
              <w:spacing w:after="0"/>
              <w:rPr>
                <w:sz w:val="20"/>
                <w:szCs w:val="20"/>
                <w:color w:val="auto"/>
              </w:rPr>
            </w:pPr>
            <w:r>
              <w:rPr>
                <w:rFonts w:ascii="Arial" w:cs="Arial" w:eastAsia="Arial" w:hAnsi="Arial"/>
                <w:sz w:val="16"/>
                <w:szCs w:val="16"/>
                <w:color w:val="auto"/>
              </w:rPr>
              <w:t>and related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5"/>
        </w:trPr>
        <w:tc>
          <w:tcPr>
            <w:tcW w:w="100" w:type="dxa"/>
            <w:vAlign w:val="bottom"/>
            <w:shd w:val="clear" w:color="auto" w:fill="CCEEFF"/>
          </w:tcPr>
          <w:p>
            <w:pPr>
              <w:spacing w:after="0"/>
              <w:rPr>
                <w:sz w:val="14"/>
                <w:szCs w:val="14"/>
                <w:color w:val="auto"/>
              </w:rPr>
            </w:pPr>
          </w:p>
        </w:tc>
        <w:tc>
          <w:tcPr>
            <w:tcW w:w="3800" w:type="dxa"/>
            <w:vAlign w:val="bottom"/>
            <w:shd w:val="clear" w:color="auto" w:fill="CCEEFF"/>
          </w:tcPr>
          <w:p>
            <w:pPr>
              <w:ind w:left="40"/>
              <w:spacing w:after="0" w:line="165"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and related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0" w:type="dxa"/>
            <w:vAlign w:val="bottom"/>
          </w:tcPr>
          <w:p>
            <w:pPr>
              <w:ind w:left="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93"/>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acquisition-related non-GAAP adjustments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26.2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23.3</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7"/>
                <w:szCs w:val="17"/>
                <w:color w:val="auto"/>
                <w:vertAlign w:val="superscript"/>
              </w:rPr>
              <w:t>(3)</w:t>
            </w:r>
            <w:r>
              <w:rPr>
                <w:rFonts w:ascii="Arial" w:cs="Arial" w:eastAsia="Arial" w:hAnsi="Arial"/>
                <w:sz w:val="13"/>
                <w:szCs w:val="13"/>
                <w:color w:val="auto"/>
              </w:rPr>
              <w:t xml:space="preserve"> (Compensation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and related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1,026.2</w:t>
            </w: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596.6</w:t>
            </w:r>
          </w:p>
        </w:tc>
        <w:tc>
          <w:tcPr>
            <w:tcW w:w="120" w:type="dxa"/>
            <w:vAlign w:val="bottom"/>
            <w:gridSpan w:val="2"/>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466.5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7"/>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6/30/2022</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2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Non-operating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2"/>
                <w:szCs w:val="12"/>
                <w:color w:val="auto"/>
              </w:rPr>
            </w:pPr>
          </w:p>
        </w:tc>
        <w:tc>
          <w:tcPr>
            <w:tcW w:w="11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(benefit) for</w:t>
            </w:r>
          </w:p>
        </w:tc>
        <w:tc>
          <w:tcPr>
            <w:tcW w:w="1220" w:type="dxa"/>
            <w:vAlign w:val="bottom"/>
            <w:gridSpan w:val="4"/>
          </w:tcPr>
          <w:p>
            <w:pPr>
              <w:jc w:val="right"/>
              <w:ind w:right="160"/>
              <w:spacing w:after="0" w:line="148"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100" w:type="dxa"/>
            <w:vAlign w:val="bottom"/>
            <w:tcBorders>
              <w:bottom w:val="single" w:sz="8" w:color="auto"/>
            </w:tcBorders>
            <w:gridSpan w:val="3"/>
          </w:tcPr>
          <w:p>
            <w:pPr>
              <w:ind w:left="4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11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844.4</w:t>
            </w:r>
          </w:p>
        </w:tc>
        <w:tc>
          <w:tcPr>
            <w:tcW w:w="10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3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Non-GAAP adjustments: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00" w:type="dxa"/>
            <w:vAlign w:val="bottom"/>
          </w:tcPr>
          <w:p>
            <w:pPr>
              <w:ind w:left="140"/>
              <w:spacing w:after="0" w:line="162" w:lineRule="exact"/>
              <w:rPr>
                <w:sz w:val="20"/>
                <w:szCs w:val="20"/>
                <w:color w:val="auto"/>
              </w:rPr>
            </w:pPr>
            <w:r>
              <w:rPr>
                <w:rFonts w:ascii="Arial" w:cs="Arial" w:eastAsia="Arial" w:hAnsi="Arial"/>
                <w:sz w:val="16"/>
                <w:szCs w:val="16"/>
                <w:color w:val="auto"/>
              </w:rPr>
              <w:t>Investment and NCI amortization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800" w:type="dxa"/>
            <w:vAlign w:val="bottom"/>
          </w:tcPr>
          <w:p>
            <w:pPr>
              <w:ind w:left="140"/>
              <w:spacing w:after="0" w:line="165" w:lineRule="exact"/>
              <w:rPr>
                <w:sz w:val="20"/>
                <w:szCs w:val="20"/>
                <w:color w:val="auto"/>
              </w:rPr>
            </w:pPr>
            <w:r>
              <w:rPr>
                <w:rFonts w:ascii="Arial" w:cs="Arial" w:eastAsia="Arial" w:hAnsi="Arial"/>
                <w:sz w:val="15"/>
                <w:szCs w:val="15"/>
                <w:color w:val="auto"/>
              </w:rPr>
              <w:t>impairments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(Capital allocation-based 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and Compensation and related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800" w:type="dxa"/>
            <w:vAlign w:val="bottom"/>
            <w:shd w:val="clear" w:color="auto" w:fill="CCEEFF"/>
          </w:tcPr>
          <w:p>
            <w:pPr>
              <w:ind w:left="140"/>
              <w:spacing w:after="0" w:line="168"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0" w:type="dxa"/>
            <w:vAlign w:val="bottom"/>
          </w:tcPr>
          <w:p>
            <w:pPr>
              <w:ind w:left="1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800" w:type="dxa"/>
            <w:vAlign w:val="bottom"/>
          </w:tcPr>
          <w:p>
            <w:pPr>
              <w:ind w:left="140"/>
              <w:spacing w:after="0" w:line="203"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acquisition-related non-GAAP adjustments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3800" w:type="dxa"/>
            <w:vAlign w:val="bottom"/>
            <w:tcBorders>
              <w:top w:val="single" w:sz="8" w:color="CCEEFF"/>
            </w:tcBorders>
          </w:tcPr>
          <w:p>
            <w:pPr>
              <w:ind w:left="20"/>
              <w:spacing w:after="0" w:line="159" w:lineRule="exact"/>
              <w:rPr>
                <w:sz w:val="20"/>
                <w:szCs w:val="20"/>
                <w:color w:val="auto"/>
              </w:rPr>
            </w:pPr>
            <w:r>
              <w:rPr>
                <w:rFonts w:ascii="Arial" w:cs="Arial" w:eastAsia="Arial" w:hAnsi="Arial"/>
                <w:sz w:val="14"/>
                <w:szCs w:val="14"/>
                <w:color w:val="auto"/>
              </w:rPr>
              <w:t>Supplemental savings plan liability</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(Compensation</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and related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800" w:type="dxa"/>
            <w:vAlign w:val="bottom"/>
          </w:tcPr>
          <w:p>
            <w:pPr>
              <w:ind w:left="20"/>
              <w:spacing w:after="0" w:line="203"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947.3</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 following schedules reconcile certain U.S. GAAP financial measures for the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GAAP Basis (FS line item)</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adjustments: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Acquisition-related non-GAAP adjustments:</w:t>
      </w:r>
    </w:p>
    <w:p>
      <w:pPr>
        <w:spacing w:after="0" w:line="32" w:lineRule="exact"/>
        <w:rPr>
          <w:sz w:val="20"/>
          <w:szCs w:val="20"/>
          <w:color w:val="auto"/>
        </w:rPr>
      </w:pPr>
    </w:p>
    <w:p>
      <w:pPr>
        <w:jc w:val="both"/>
        <w:ind w:left="140" w:right="180"/>
        <w:spacing w:after="0" w:line="208" w:lineRule="auto"/>
        <w:rPr>
          <w:sz w:val="20"/>
          <w:szCs w:val="20"/>
          <w:color w:val="auto"/>
        </w:rPr>
      </w:pPr>
      <w:r>
        <w:rPr>
          <w:rFonts w:ascii="Arial" w:cs="Arial" w:eastAsia="Arial" w:hAnsi="Arial"/>
          <w:sz w:val="16"/>
          <w:szCs w:val="16"/>
          <w:color w:val="auto"/>
        </w:rPr>
        <w:t>Investment and NCI amortization and impairments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(Capital allocation-based income and Compensation and related costs)</w:t>
      </w:r>
    </w:p>
    <w:p>
      <w:pPr>
        <w:ind w:left="140"/>
        <w:spacing w:after="0" w:line="184" w:lineRule="auto"/>
        <w:rPr>
          <w:sz w:val="20"/>
          <w:szCs w:val="20"/>
          <w:color w:val="auto"/>
        </w:rPr>
      </w:pPr>
      <w:r>
        <w:rPr>
          <w:rFonts w:ascii="Arial" w:cs="Arial" w:eastAsia="Arial" w:hAnsi="Arial"/>
          <w:sz w:val="16"/>
          <w:szCs w:val="16"/>
          <w:color w:val="auto"/>
        </w:rPr>
        <w:t>Acquisition-related retention arrangements</w:t>
      </w:r>
      <w:r>
        <w:rPr>
          <w:rFonts w:ascii="Arial" w:cs="Arial" w:eastAsia="Arial" w:hAnsi="Arial"/>
          <w:sz w:val="21"/>
          <w:szCs w:val="21"/>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and related costs)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p>
      <w:pPr>
        <w:ind w:left="140"/>
        <w:spacing w:after="0" w:line="217" w:lineRule="auto"/>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p>
      <w:pPr>
        <w:ind w:left="140"/>
        <w:spacing w:after="0"/>
        <w:rPr>
          <w:sz w:val="20"/>
          <w:szCs w:val="20"/>
          <w:color w:val="auto"/>
        </w:rPr>
      </w:pPr>
      <w:r>
        <w:rPr>
          <w:rFonts w:ascii="Arial" w:cs="Arial" w:eastAsia="Arial" w:hAnsi="Arial"/>
          <w:sz w:val="16"/>
          <w:szCs w:val="16"/>
          <w:color w:val="auto"/>
        </w:rPr>
        <w:t>Total acquisition-related non-GAAP adjustments</w:t>
      </w:r>
    </w:p>
    <w:p>
      <w:pPr>
        <w:spacing w:after="0" w:line="20" w:lineRule="exact"/>
        <w:rPr>
          <w:sz w:val="20"/>
          <w:szCs w:val="20"/>
          <w:color w:val="auto"/>
        </w:rPr>
      </w:pPr>
    </w:p>
    <w:p>
      <w:pPr>
        <w:ind w:left="20"/>
        <w:spacing w:after="0" w:line="207"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(Compensation and related costs)</w:t>
      </w:r>
    </w:p>
    <w:p>
      <w:pPr>
        <w:ind w:left="20"/>
        <w:spacing w:after="0" w:line="237"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GAAP Basis (FS line item)</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adjustments: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Acquisition-related non-GAAP adjustments:</w:t>
      </w:r>
    </w:p>
    <w:p>
      <w:pPr>
        <w:spacing w:after="0" w:line="23" w:lineRule="exact"/>
        <w:rPr>
          <w:sz w:val="20"/>
          <w:szCs w:val="20"/>
          <w:color w:val="auto"/>
        </w:rPr>
      </w:pPr>
    </w:p>
    <w:p>
      <w:pPr>
        <w:jc w:val="both"/>
        <w:ind w:left="140" w:right="180"/>
        <w:spacing w:after="0" w:line="212" w:lineRule="auto"/>
        <w:rPr>
          <w:sz w:val="20"/>
          <w:szCs w:val="20"/>
          <w:color w:val="auto"/>
        </w:rPr>
      </w:pPr>
      <w:r>
        <w:rPr>
          <w:rFonts w:ascii="Arial" w:cs="Arial" w:eastAsia="Arial" w:hAnsi="Arial"/>
          <w:sz w:val="16"/>
          <w:szCs w:val="16"/>
          <w:color w:val="auto"/>
        </w:rPr>
        <w:t>Investment and NCI amortization and impairments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(Capital allocation-based income and Compensation and related costs)</w:t>
      </w:r>
    </w:p>
    <w:p>
      <w:pPr>
        <w:ind w:left="140"/>
        <w:spacing w:after="0" w:line="183" w:lineRule="auto"/>
        <w:rPr>
          <w:sz w:val="20"/>
          <w:szCs w:val="20"/>
          <w:color w:val="auto"/>
        </w:rPr>
      </w:pPr>
      <w:r>
        <w:rPr>
          <w:rFonts w:ascii="Arial" w:cs="Arial" w:eastAsia="Arial" w:hAnsi="Arial"/>
          <w:sz w:val="16"/>
          <w:szCs w:val="16"/>
          <w:color w:val="auto"/>
        </w:rPr>
        <w:t>Acquisition-related retention arrangements</w:t>
      </w:r>
      <w:r>
        <w:rPr>
          <w:rFonts w:ascii="Arial" w:cs="Arial" w:eastAsia="Arial" w:hAnsi="Arial"/>
          <w:sz w:val="21"/>
          <w:szCs w:val="21"/>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and related costs)</w:t>
      </w:r>
    </w:p>
    <w:p>
      <w:pPr>
        <w:ind w:left="140"/>
        <w:spacing w:after="0" w:line="230" w:lineRule="auto"/>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p>
      <w:pPr>
        <w:ind w:left="140"/>
        <w:spacing w:after="0" w:line="231" w:lineRule="auto"/>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p>
      <w:pPr>
        <w:ind w:left="140"/>
        <w:spacing w:after="0" w:line="214" w:lineRule="auto"/>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acquisition-related non-GAAP adjustments</w:t>
      </w:r>
    </w:p>
    <w:p>
      <w:pPr>
        <w:spacing w:after="0" w:line="11" w:lineRule="exact"/>
        <w:rPr>
          <w:sz w:val="20"/>
          <w:szCs w:val="20"/>
          <w:color w:val="auto"/>
        </w:rPr>
      </w:pPr>
    </w:p>
    <w:p>
      <w:pPr>
        <w:ind w:left="20"/>
        <w:spacing w:after="0" w:line="213" w:lineRule="auto"/>
        <w:rPr>
          <w:sz w:val="20"/>
          <w:szCs w:val="20"/>
          <w:color w:val="auto"/>
        </w:rPr>
      </w:pPr>
      <w:r>
        <w:rPr>
          <w:rFonts w:ascii="Arial" w:cs="Arial" w:eastAsia="Arial" w:hAnsi="Arial"/>
          <w:sz w:val="16"/>
          <w:szCs w:val="16"/>
          <w:color w:val="auto"/>
        </w:rPr>
        <w:t>Supplemental savings plan liability</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(Compensation and related costs)</w:t>
      </w:r>
    </w:p>
    <w:p>
      <w:pPr>
        <w:ind w:left="20"/>
        <w:spacing w:after="0" w:line="236" w:lineRule="auto"/>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p>
      <w:pPr>
        <w:ind w:left="20"/>
        <w:spacing w:after="0" w:line="226" w:lineRule="auto"/>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Non-GAAP Basis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Six months ended 6/30/2023</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Net operating</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rPr>
              <w:t>Non-operating</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8"/>
              <w:spacing w:after="0" w:line="144" w:lineRule="exact"/>
              <w:rPr>
                <w:sz w:val="20"/>
                <w:szCs w:val="20"/>
                <w:color w:val="auto"/>
              </w:rPr>
            </w:pPr>
            <w:r>
              <w:rPr>
                <w:rFonts w:ascii="Arial" w:cs="Arial" w:eastAsia="Arial" w:hAnsi="Arial"/>
                <w:sz w:val="14"/>
                <w:szCs w:val="14"/>
                <w:b w:val="1"/>
                <w:bCs w:val="1"/>
                <w:color w:val="auto"/>
              </w:rPr>
              <w:t>Provision</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8"/>
              <w:spacing w:after="0" w:line="144" w:lineRule="exact"/>
              <w:rPr>
                <w:sz w:val="20"/>
                <w:szCs w:val="20"/>
                <w:color w:val="auto"/>
              </w:rPr>
            </w:pPr>
            <w:r>
              <w:rPr>
                <w:rFonts w:ascii="Arial" w:cs="Arial" w:eastAsia="Arial" w:hAnsi="Arial"/>
                <w:sz w:val="14"/>
                <w:szCs w:val="14"/>
                <w:b w:val="1"/>
                <w:bCs w:val="1"/>
                <w:color w:val="auto"/>
              </w:rPr>
              <w:t>Net income</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28"/>
              <w:spacing w:after="0" w:line="144"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line="189"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(7)</w:t>
            </w: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-145415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128905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54.6</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1,124.6</w:t>
            </w: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62.6</w:t>
            </w:r>
          </w:p>
        </w:tc>
        <w:tc>
          <w:tcPr>
            <w:tcW w:w="8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Six months ended 6/30/2022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Operating</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operating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Non-operating</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8"/>
              <w:spacing w:after="0" w:line="148" w:lineRule="exact"/>
              <w:rPr>
                <w:sz w:val="20"/>
                <w:szCs w:val="20"/>
                <w:color w:val="auto"/>
              </w:rPr>
            </w:pPr>
            <w:r>
              <w:rPr>
                <w:rFonts w:ascii="Arial" w:cs="Arial" w:eastAsia="Arial" w:hAnsi="Arial"/>
                <w:sz w:val="14"/>
                <w:szCs w:val="14"/>
                <w:b w:val="1"/>
                <w:bCs w:val="1"/>
                <w:color w:val="auto"/>
              </w:rPr>
              <w:t>(benefit) for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line="189"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(7)</w:t>
            </w:r>
          </w:p>
        </w:tc>
        <w:tc>
          <w:tcPr>
            <w:tcW w:w="0" w:type="dxa"/>
            <w:vAlign w:val="bottom"/>
          </w:tcPr>
          <w:p>
            <w:pPr>
              <w:spacing w:after="0"/>
              <w:rPr>
                <w:sz w:val="1"/>
                <w:szCs w:val="1"/>
                <w:color w:val="auto"/>
              </w:rPr>
            </w:pPr>
          </w:p>
        </w:tc>
      </w:tr>
      <w:tr>
        <w:trPr>
          <w:trHeight w:val="190"/>
        </w:trPr>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1,830.0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1,546.0</w:t>
            </w:r>
          </w:p>
        </w:tc>
        <w:tc>
          <w:tcPr>
            <w:tcW w:w="100" w:type="dxa"/>
            <w:vAlign w:val="bottom"/>
            <w:gridSpan w:val="2"/>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(478.4)</w:t>
            </w:r>
          </w:p>
        </w:tc>
        <w:tc>
          <w:tcPr>
            <w:tcW w:w="100" w:type="dxa"/>
            <w:vAlign w:val="bottom"/>
            <w:gridSpan w:val="2"/>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265.4</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907.5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-2150745</wp:posOffset>
            </wp:positionV>
            <wp:extent cx="71323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-1773555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-1499870</wp:posOffset>
            </wp:positionV>
            <wp:extent cx="71323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-1122045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-591185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-136525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137160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0.04</w:t>
            </w:r>
          </w:p>
        </w:tc>
      </w:tr>
      <w:tr>
        <w:trPr>
          <w:trHeight w:val="378"/>
        </w:trPr>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0.11</w:t>
            </w:r>
          </w:p>
        </w:tc>
      </w:tr>
      <w:tr>
        <w:trPr>
          <w:trHeight w:val="216"/>
        </w:trPr>
        <w:tc>
          <w:tcPr>
            <w:tcW w:w="34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216"/>
        </w:trPr>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0.16</w:t>
            </w:r>
          </w:p>
        </w:tc>
      </w:tr>
      <w:tr>
        <w:trPr>
          <w:trHeight w:val="208"/>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0.03</w:t>
            </w:r>
          </w:p>
        </w:tc>
      </w:tr>
      <w:tr>
        <w:trPr>
          <w:trHeight w:val="365"/>
        </w:trPr>
        <w:tc>
          <w:tcPr>
            <w:tcW w:w="3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144.5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0.02</w:t>
            </w:r>
          </w:p>
        </w:tc>
      </w:tr>
      <w:tr>
        <w:trPr>
          <w:trHeight w:val="216"/>
        </w:trPr>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0.30</w:t>
            </w:r>
          </w:p>
        </w:tc>
      </w:tr>
      <w:tr>
        <w:trPr>
          <w:trHeight w:val="208"/>
        </w:trPr>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0.19</w:t>
            </w:r>
          </w:p>
        </w:tc>
      </w:tr>
      <w:tr>
        <w:trPr>
          <w:trHeight w:val="196"/>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1,986.4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1,417.7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328.7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1,034.6</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4.42</w:t>
            </w:r>
          </w:p>
        </w:tc>
      </w:tr>
      <w:tr>
        <w:trPr>
          <w:trHeight w:val="26"/>
        </w:trPr>
        <w:tc>
          <w:tcPr>
            <w:tcW w:w="3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-1464945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-1087755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-814070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-436245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-161925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100"/>
            <w:col w:w="7080"/>
          </w:cols>
          <w:pgMar w:left="320" w:top="896" w:right="339" w:bottom="1440" w:gutter="0" w:footer="0" w:header="0"/>
          <w:type w:val="continuous"/>
        </w:sectPr>
      </w:pPr>
    </w:p>
    <w:p>
      <w:pPr>
        <w:spacing w:after="0" w:line="114" w:lineRule="exact"/>
        <w:rPr>
          <w:sz w:val="20"/>
          <w:szCs w:val="20"/>
          <w:color w:val="auto"/>
        </w:rPr>
      </w:pPr>
    </w:p>
    <w:p>
      <w:pPr>
        <w:ind w:left="340" w:hanging="332"/>
        <w:spacing w:after="0" w:line="236" w:lineRule="auto"/>
        <w:tabs>
          <w:tab w:leader="none" w:pos="342"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type w:val="continuous"/>
        </w:sectPr>
      </w:pPr>
    </w:p>
    <w:bookmarkStart w:id="35" w:name="page36"/>
    <w:bookmarkEnd w:id="35"/>
    <w:p>
      <w:pPr>
        <w:ind w:left="332" w:right="480"/>
        <w:spacing w:after="0" w:line="276" w:lineRule="auto"/>
        <w:rPr>
          <w:sz w:val="20"/>
          <w:szCs w:val="20"/>
          <w:color w:val="auto"/>
        </w:rPr>
      </w:pPr>
      <w:r>
        <w:rPr>
          <w:rFonts w:ascii="Arial" w:cs="Arial" w:eastAsia="Arial" w:hAnsi="Arial"/>
          <w:sz w:val="16"/>
          <w:szCs w:val="16"/>
          <w:color w:val="auto"/>
        </w:rPr>
        <w:t>Management believes adjusting for these charges helps the reader's ability to understand our core operating results and to increase comparability period to period.</w:t>
      </w:r>
    </w:p>
    <w:p>
      <w:pPr>
        <w:spacing w:after="0" w:line="211" w:lineRule="exact"/>
        <w:rPr>
          <w:sz w:val="20"/>
          <w:szCs w:val="20"/>
          <w:color w:val="auto"/>
        </w:rPr>
      </w:pPr>
    </w:p>
    <w:p>
      <w:pPr>
        <w:ind w:left="332" w:right="140" w:hanging="332"/>
        <w:spacing w:after="0" w:line="223" w:lineRule="auto"/>
        <w:tabs>
          <w:tab w:leader="none" w:pos="317"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acquisition-related transactions costs. Management believes adjusting for these charges helps the reader's ability to understand our core operating results and to increase comparability period to period.</w:t>
      </w:r>
    </w:p>
    <w:p>
      <w:pPr>
        <w:spacing w:after="0" w:line="239" w:lineRule="exact"/>
        <w:rPr>
          <w:rFonts w:ascii="Arial" w:cs="Arial" w:eastAsia="Arial" w:hAnsi="Arial"/>
          <w:sz w:val="21"/>
          <w:szCs w:val="21"/>
          <w:color w:val="auto"/>
          <w:vertAlign w:val="superscript"/>
        </w:rPr>
      </w:pPr>
    </w:p>
    <w:p>
      <w:pPr>
        <w:ind w:left="332" w:hanging="332"/>
        <w:spacing w:after="0" w:line="241" w:lineRule="auto"/>
        <w:tabs>
          <w:tab w:leader="none" w:pos="33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39" w:lineRule="exact"/>
        <w:rPr>
          <w:rFonts w:ascii="Arial" w:cs="Arial" w:eastAsia="Arial" w:hAnsi="Arial"/>
          <w:sz w:val="22"/>
          <w:szCs w:val="22"/>
          <w:color w:val="auto"/>
          <w:vertAlign w:val="superscript"/>
        </w:rPr>
      </w:pPr>
    </w:p>
    <w:p>
      <w:pPr>
        <w:ind w:left="332" w:right="100" w:hanging="332"/>
        <w:spacing w:after="0" w:line="241" w:lineRule="auto"/>
        <w:tabs>
          <w:tab w:leader="none" w:pos="33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39" w:lineRule="exact"/>
        <w:rPr>
          <w:rFonts w:ascii="Arial" w:cs="Arial" w:eastAsia="Arial" w:hAnsi="Arial"/>
          <w:sz w:val="22"/>
          <w:szCs w:val="22"/>
          <w:color w:val="auto"/>
          <w:vertAlign w:val="superscript"/>
        </w:rPr>
      </w:pPr>
    </w:p>
    <w:p>
      <w:pPr>
        <w:ind w:left="332" w:right="40" w:hanging="332"/>
        <w:spacing w:after="0" w:line="244" w:lineRule="auto"/>
        <w:tabs>
          <w:tab w:leader="none" w:pos="33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25" w:lineRule="exact"/>
        <w:rPr>
          <w:rFonts w:ascii="Arial" w:cs="Arial" w:eastAsia="Arial" w:hAnsi="Arial"/>
          <w:sz w:val="22"/>
          <w:szCs w:val="22"/>
          <w:color w:val="auto"/>
          <w:vertAlign w:val="superscript"/>
        </w:rPr>
      </w:pPr>
    </w:p>
    <w:p>
      <w:pPr>
        <w:jc w:val="both"/>
        <w:ind w:left="332" w:right="220" w:hanging="332"/>
        <w:spacing w:after="0" w:line="236" w:lineRule="auto"/>
        <w:tabs>
          <w:tab w:leader="none" w:pos="33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27.9% and 24.1%, respectively. As such, the non-GAAP effective tax rate for the three months ended June 30, 2023 and 2022 was 25.8% and 23.9%, respectively. We estimate that our effective tax rate for the full-year 2023 on a non-GAAP basis will be in the range of 26.5% to 29.5%.</w:t>
      </w:r>
    </w:p>
    <w:p>
      <w:pPr>
        <w:spacing w:after="0" w:line="226" w:lineRule="exact"/>
        <w:rPr>
          <w:rFonts w:ascii="Arial" w:cs="Arial" w:eastAsia="Arial" w:hAnsi="Arial"/>
          <w:sz w:val="22"/>
          <w:szCs w:val="22"/>
          <w:color w:val="auto"/>
          <w:vertAlign w:val="superscript"/>
        </w:rPr>
      </w:pPr>
    </w:p>
    <w:p>
      <w:pPr>
        <w:ind w:left="332" w:right="20" w:hanging="332"/>
        <w:spacing w:after="0" w:line="224" w:lineRule="auto"/>
        <w:tabs>
          <w:tab w:leader="none" w:pos="334"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7" w:lineRule="exact"/>
        <w:rPr>
          <w:sz w:val="20"/>
          <w:szCs w:val="20"/>
          <w:color w:val="auto"/>
        </w:rPr>
      </w:pPr>
    </w:p>
    <w:tbl>
      <w:tblPr>
        <w:tblLayout w:type="fixed"/>
        <w:tblInd w:w="52" w:type="dxa"/>
        <w:tblCellMar>
          <w:top w:w="0" w:type="dxa"/>
          <w:left w:w="0" w:type="dxa"/>
          <w:bottom w:w="0" w:type="dxa"/>
          <w:right w:w="0" w:type="dxa"/>
        </w:tblCellMar>
      </w:tblPr>
      <w:tr>
        <w:trPr>
          <w:trHeight w:val="189"/>
        </w:trPr>
        <w:tc>
          <w:tcPr>
            <w:tcW w:w="6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gridSpan w:val="3"/>
            <w:shd w:val="clear" w:color="auto" w:fill="CCEEFF"/>
          </w:tcPr>
          <w:p>
            <w:pPr>
              <w:jc w:val="right"/>
              <w:ind w:right="3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gridSpan w:val="3"/>
            <w:shd w:val="clear" w:color="auto" w:fill="CCEEFF"/>
          </w:tcPr>
          <w:p>
            <w:pPr>
              <w:jc w:val="right"/>
              <w:ind w:right="38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6/30/2023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6/30/2022</w:t>
            </w: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855.9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1,034.6</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21.0</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3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6/30/2023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2,249.7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1,755.6</w:t>
            </w: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r>
    </w:tbl>
    <w:p>
      <w:pPr>
        <w:spacing w:after="0" w:line="1"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and discretionary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Redeemable seed capital investments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and investments in T. Rowe Price products</w:t>
      </w:r>
    </w:p>
    <w:p>
      <w:pPr>
        <w:spacing w:after="0" w:line="20" w:lineRule="exact"/>
        <w:rPr>
          <w:sz w:val="20"/>
          <w:szCs w:val="20"/>
          <w:color w:val="auto"/>
        </w:rPr>
      </w:pPr>
      <w:r>
        <w:rPr>
          <w:sz w:val="20"/>
          <w:szCs w:val="20"/>
          <w:color w:val="auto"/>
        </w:rPr>
        <w:br w:type="column"/>
      </w:r>
    </w:p>
    <w:p>
      <w:pPr>
        <w:jc w:val="right"/>
        <w:ind w:right="80"/>
        <w:spacing w:after="0"/>
        <w:tabs>
          <w:tab w:leader="none" w:pos="580" w:val="left"/>
        </w:tabs>
        <w:rPr>
          <w:sz w:val="20"/>
          <w:szCs w:val="20"/>
          <w:color w:val="auto"/>
        </w:rPr>
      </w:pPr>
      <w:r>
        <w:rPr>
          <w:rFonts w:ascii="Arial" w:cs="Arial" w:eastAsia="Arial" w:hAnsi="Arial"/>
          <w:sz w:val="18"/>
          <w:szCs w:val="18"/>
          <w:color w:val="auto"/>
        </w:rPr>
        <w:t>2,734.5</w:t>
      </w:r>
      <w:r>
        <w:rPr>
          <w:sz w:val="20"/>
          <w:szCs w:val="20"/>
          <w:color w:val="auto"/>
        </w:rPr>
        <w:tab/>
      </w:r>
      <w:r>
        <w:rPr>
          <w:rFonts w:ascii="Arial" w:cs="Arial" w:eastAsia="Arial" w:hAnsi="Arial"/>
          <w:sz w:val="17"/>
          <w:szCs w:val="17"/>
          <w:color w:val="auto"/>
        </w:rPr>
        <w:t>2,205.3</w:t>
      </w:r>
    </w:p>
    <w:p>
      <w:pPr>
        <w:spacing w:after="0" w:line="23" w:lineRule="exact"/>
        <w:rPr>
          <w:sz w:val="20"/>
          <w:szCs w:val="20"/>
          <w:color w:val="auto"/>
        </w:rPr>
      </w:pPr>
    </w:p>
    <w:p>
      <w:pPr>
        <w:jc w:val="right"/>
        <w:ind w:right="80"/>
        <w:spacing w:after="0"/>
        <w:tabs>
          <w:tab w:leader="none" w:pos="580" w:val="left"/>
        </w:tabs>
        <w:rPr>
          <w:sz w:val="20"/>
          <w:szCs w:val="20"/>
          <w:color w:val="auto"/>
        </w:rPr>
      </w:pPr>
      <w:r>
        <w:rPr>
          <w:rFonts w:ascii="Arial" w:cs="Arial" w:eastAsia="Arial" w:hAnsi="Arial"/>
          <w:sz w:val="18"/>
          <w:szCs w:val="18"/>
          <w:color w:val="auto"/>
        </w:rPr>
        <w:t>1,182.2</w:t>
      </w:r>
      <w:r>
        <w:rPr>
          <w:sz w:val="20"/>
          <w:szCs w:val="20"/>
          <w:color w:val="auto"/>
        </w:rPr>
        <w:tab/>
      </w:r>
      <w:r>
        <w:rPr>
          <w:rFonts w:ascii="Arial" w:cs="Arial" w:eastAsia="Arial" w:hAnsi="Arial"/>
          <w:sz w:val="17"/>
          <w:szCs w:val="17"/>
          <w:color w:val="auto"/>
        </w:rPr>
        <w:t>1,120.3</w:t>
      </w:r>
    </w:p>
    <w:p>
      <w:pPr>
        <w:spacing w:after="0" w:line="36" w:lineRule="exact"/>
        <w:rPr>
          <w:sz w:val="20"/>
          <w:szCs w:val="20"/>
          <w:color w:val="auto"/>
        </w:rPr>
      </w:pPr>
    </w:p>
    <w:p>
      <w:pPr>
        <w:ind w:left="900"/>
        <w:spacing w:after="0"/>
        <w:tabs>
          <w:tab w:leader="none" w:pos="2440" w:val="left"/>
        </w:tabs>
        <w:rPr>
          <w:sz w:val="20"/>
          <w:szCs w:val="20"/>
          <w:color w:val="auto"/>
        </w:rPr>
      </w:pPr>
      <w:r>
        <w:rPr>
          <w:rFonts w:ascii="Arial" w:cs="Arial" w:eastAsia="Arial" w:hAnsi="Arial"/>
          <w:sz w:val="18"/>
          <w:szCs w:val="18"/>
          <w:color w:val="auto"/>
        </w:rPr>
        <w:t>820.3</w:t>
      </w:r>
      <w:r>
        <w:rPr>
          <w:sz w:val="20"/>
          <w:szCs w:val="20"/>
          <w:color w:val="auto"/>
        </w:rPr>
        <w:tab/>
      </w:r>
      <w:r>
        <w:rPr>
          <w:rFonts w:ascii="Arial" w:cs="Arial" w:eastAsia="Arial" w:hAnsi="Arial"/>
          <w:sz w:val="17"/>
          <w:szCs w:val="17"/>
          <w:color w:val="auto"/>
        </w:rPr>
        <w:t>760.7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1903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 w:lineRule="exact"/>
        <w:rPr>
          <w:sz w:val="20"/>
          <w:szCs w:val="20"/>
          <w:color w:val="auto"/>
        </w:rPr>
      </w:pPr>
    </w:p>
    <w:p>
      <w:pPr>
        <w:spacing w:after="0"/>
        <w:tabs>
          <w:tab w:leader="none" w:pos="720" w:val="left"/>
          <w:tab w:leader="none" w:pos="154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4,737.0</w:t>
        <w:tab/>
        <w:t>$</w:t>
      </w:r>
      <w:r>
        <w:rPr>
          <w:sz w:val="20"/>
          <w:szCs w:val="20"/>
          <w:color w:val="auto"/>
        </w:rPr>
        <w:tab/>
      </w:r>
      <w:r>
        <w:rPr>
          <w:rFonts w:ascii="Arial" w:cs="Arial" w:eastAsia="Arial" w:hAnsi="Arial"/>
          <w:sz w:val="17"/>
          <w:szCs w:val="17"/>
          <w:color w:val="auto"/>
        </w:rPr>
        <w:t>4,086.3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1903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540" w:space="720"/>
            <w:col w:w="2980"/>
          </w:cols>
          <w:pgMar w:left="320" w:top="886" w:right="339" w:bottom="1440" w:gutter="0" w:footer="0" w:header="0"/>
          <w:type w:val="continuous"/>
        </w:sectPr>
      </w:pP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and asset allocation products. Cash and discretionary investments experienced market gains of $31.8 million and $62.6 million in the three- and six- months ended June 30, 2023 compared to market losses of $30.6 million and $54.4 million in the three- and six- months ended June 30, 2022. Our subsidiaries outside the United States held cash and discretionary investments of $795.8 million at June 30, 2023 and $809.1 million at December 31, 2022. Given the availability of our financial resources and cash expected to be generated through future operations, we do not maintain an available external source of additional liquidity.</w:t>
      </w:r>
    </w:p>
    <w:p>
      <w:pPr>
        <w:spacing w:after="0" w:line="219"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4972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497205"/>
                    </a:xfrm>
                    <a:prstGeom prst="rect">
                      <a:avLst/>
                    </a:prstGeom>
                    <a:noFill/>
                  </pic:spPr>
                </pic:pic>
              </a:graphicData>
            </a:graphic>
          </wp:anchor>
        </w:drawing>
      </w:r>
    </w:p>
    <w:p>
      <w:pPr>
        <w:spacing w:after="0" w:line="74"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Net assets of</w:t>
      </w:r>
    </w:p>
    <w:p>
      <w:pPr>
        <w:jc w:val="center"/>
        <w:ind w:left="7040"/>
        <w:spacing w:after="0" w:line="221" w:lineRule="auto"/>
        <w:rPr>
          <w:sz w:val="20"/>
          <w:szCs w:val="20"/>
          <w:color w:val="auto"/>
        </w:rPr>
      </w:pPr>
      <w:r>
        <w:rPr>
          <w:rFonts w:ascii="Arial" w:cs="Arial" w:eastAsia="Arial" w:hAnsi="Arial"/>
          <w:sz w:val="14"/>
          <w:szCs w:val="14"/>
          <w:b w:val="1"/>
          <w:bCs w:val="1"/>
          <w:color w:val="auto"/>
        </w:rPr>
        <w:t>consolidated T.</w:t>
      </w:r>
    </w:p>
    <w:tbl>
      <w:tblPr>
        <w:tblLayout w:type="fixed"/>
        <w:tblInd w:w="120" w:type="dxa"/>
        <w:tblCellMar>
          <w:top w:w="0" w:type="dxa"/>
          <w:left w:w="0" w:type="dxa"/>
          <w:bottom w:w="0" w:type="dxa"/>
          <w:right w:w="0" w:type="dxa"/>
        </w:tblCellMar>
      </w:tblPr>
      <w:tr>
        <w:trPr>
          <w:trHeight w:val="131"/>
        </w:trPr>
        <w:tc>
          <w:tcPr>
            <w:tcW w:w="5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ind w:left="100"/>
              <w:spacing w:after="0" w:line="131"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457.1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2,734.5</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Total cash and investments in T. Rowe Price products attributable</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4,737.0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line="243"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5,857.3</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170"/>
        </w:trPr>
        <w:tc>
          <w:tcPr>
            <w:tcW w:w="54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9"/>
              </w:rPr>
              <w:t>As reported on unaudited condensed consolidated balance sheet at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2,718.4</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1,874.4</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6,842.5</w:t>
            </w: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June 30, 2023</w:t>
            </w:r>
          </w:p>
        </w:tc>
        <w:tc>
          <w:tcPr>
            <w:tcW w:w="26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140" w:hanging="172"/>
        <w:spacing w:after="0" w:line="243" w:lineRule="auto"/>
        <w:tabs>
          <w:tab w:leader="none" w:pos="158"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$27.7 million and the $861.5 million represent the total value at June 30, 2023 of our interest in the consolidated T. Rowe Price investment products. The total net assets of the T. Rowe Price investment products at June 30, 2023 of $1,874.4 million includes assets of $1,946.1 million, less liabilities of $71.7 million as reflected in our unaudited condensed consolidated balance sheets.</w:t>
      </w:r>
    </w:p>
    <w:p>
      <w:pPr>
        <w:ind w:left="180" w:right="20" w:hanging="172"/>
        <w:spacing w:after="0" w:line="221" w:lineRule="auto"/>
        <w:tabs>
          <w:tab w:leader="none" w:pos="172"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$202.1 million of non-controlling interests in consolidated entities and represents the portion of these investments, held by third parties, that we cannot sell in order to obtain cash for general operations.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37" w:name="page38"/>
    <w:bookmarkEnd w:id="37"/>
    <w:p>
      <w:pPr>
        <w:ind w:right="60"/>
        <w:spacing w:after="0" w:line="254"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62"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We increased our quarterly recurring dividend per common share in February 2023 by 1.7% to $1.22 per common share from $1.20 per common share. Further, we expended $45.2 million in the first half of 2023 to repurchase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420 thousand shares of our outstanding common stock, at an average price of $107.22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1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Since the end of 2020, we have returned nearly $5.4 billion to stockholders through stock repurchases, regular quarterly dividends, and a special dividend,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Recurring dividend</w:t>
            </w:r>
          </w:p>
        </w:tc>
        <w:tc>
          <w:tcPr>
            <w:tcW w:w="12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Special dividend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Stock repurchases</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tcBorders>
              <w:bottom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1,003.7</w:t>
            </w:r>
          </w:p>
        </w:tc>
        <w:tc>
          <w:tcPr>
            <w:tcW w:w="5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699.8</w:t>
            </w:r>
          </w:p>
        </w:tc>
        <w:tc>
          <w:tcPr>
            <w:tcW w:w="56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Six months ended 6/30/2023</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2,673.7</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2023 to be about $365 million, of which approximately 60%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following table summarizes the cash flows for the six months ended June 30, 2023 and 2022, that are attributable to T. Rowe Price, our consolidated sponsored investment products, and the related eliminations required in preparing the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gridSpan w:val="4"/>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6/30/2023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6/30/2022</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74"/>
              <w:spacing w:after="0" w:line="143" w:lineRule="exact"/>
              <w:rPr>
                <w:sz w:val="20"/>
                <w:szCs w:val="20"/>
                <w:color w:val="auto"/>
              </w:rPr>
            </w:pPr>
            <w:r>
              <w:rPr>
                <w:rFonts w:ascii="Arial" w:cs="Arial" w:eastAsia="Arial" w:hAnsi="Arial"/>
                <w:sz w:val="14"/>
                <w:szCs w:val="14"/>
                <w:b w:val="1"/>
                <w:bCs w:val="1"/>
                <w:color w:val="auto"/>
              </w:rPr>
              <w:t>Cash flow</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54"/>
              <w:spacing w:after="0" w:line="143" w:lineRule="exact"/>
              <w:rPr>
                <w:sz w:val="20"/>
                <w:szCs w:val="20"/>
                <w:color w:val="auto"/>
              </w:rPr>
            </w:pPr>
            <w:r>
              <w:rPr>
                <w:rFonts w:ascii="Arial" w:cs="Arial" w:eastAsia="Arial" w:hAnsi="Arial"/>
                <w:sz w:val="14"/>
                <w:szCs w:val="14"/>
                <w:b w:val="1"/>
                <w:bCs w:val="1"/>
                <w:color w:val="auto"/>
              </w:rPr>
              <w:t>Cash flow</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Cash flow</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attributable to</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Cash flow</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attributable to</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consolidated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consolidated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attributable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54"/>
              <w:spacing w:after="0" w:line="148" w:lineRule="exact"/>
              <w:rPr>
                <w:sz w:val="20"/>
                <w:szCs w:val="20"/>
                <w:color w:val="auto"/>
              </w:rPr>
            </w:pPr>
            <w:r>
              <w:rPr>
                <w:rFonts w:ascii="Arial" w:cs="Arial" w:eastAsia="Arial" w:hAnsi="Arial"/>
                <w:sz w:val="14"/>
                <w:szCs w:val="14"/>
                <w:b w:val="1"/>
                <w:bCs w:val="1"/>
                <w:color w:val="auto"/>
              </w:rPr>
              <w:t>sponsored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As</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attributable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54"/>
              <w:spacing w:after="0" w:line="148" w:lineRule="exact"/>
              <w:rPr>
                <w:sz w:val="20"/>
                <w:szCs w:val="20"/>
                <w:color w:val="auto"/>
              </w:rPr>
            </w:pPr>
            <w:r>
              <w:rPr>
                <w:rFonts w:ascii="Arial" w:cs="Arial" w:eastAsia="Arial" w:hAnsi="Arial"/>
                <w:sz w:val="14"/>
                <w:szCs w:val="14"/>
                <w:b w:val="1"/>
                <w:bCs w:val="1"/>
                <w:color w:val="auto"/>
              </w:rPr>
              <w:t>sponsored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2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to T. Rowe</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center"/>
              <w:ind w:right="74"/>
              <w:spacing w:after="0" w:line="135" w:lineRule="exact"/>
              <w:rPr>
                <w:sz w:val="20"/>
                <w:szCs w:val="20"/>
                <w:color w:val="auto"/>
              </w:rPr>
            </w:pPr>
            <w:r>
              <w:rPr>
                <w:rFonts w:ascii="Arial" w:cs="Arial" w:eastAsia="Arial" w:hAnsi="Arial"/>
                <w:sz w:val="14"/>
                <w:szCs w:val="14"/>
                <w:b w:val="1"/>
                <w:bCs w:val="1"/>
                <w:color w:val="auto"/>
              </w:rPr>
              <w:t>investment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Elims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w w:val="98"/>
              </w:rPr>
              <w:t>to T. Rowe</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center"/>
              <w:ind w:right="54"/>
              <w:spacing w:after="0" w:line="135" w:lineRule="exact"/>
              <w:rPr>
                <w:sz w:val="20"/>
                <w:szCs w:val="20"/>
                <w:color w:val="auto"/>
              </w:rPr>
            </w:pPr>
            <w:r>
              <w:rPr>
                <w:rFonts w:ascii="Arial" w:cs="Arial" w:eastAsia="Arial" w:hAnsi="Arial"/>
                <w:sz w:val="14"/>
                <w:szCs w:val="14"/>
                <w:b w:val="1"/>
                <w:bCs w:val="1"/>
                <w:color w:val="auto"/>
              </w:rPr>
              <w:t>investment</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Elims</w:t>
            </w:r>
          </w:p>
        </w:tc>
        <w:tc>
          <w:tcPr>
            <w:tcW w:w="1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right="71"/>
              <w:spacing w:after="0"/>
              <w:rPr>
                <w:sz w:val="20"/>
                <w:szCs w:val="20"/>
                <w:color w:val="auto"/>
              </w:rPr>
            </w:pPr>
            <w:r>
              <w:rPr>
                <w:rFonts w:ascii="Arial" w:cs="Arial" w:eastAsia="Arial" w:hAnsi="Arial"/>
                <w:sz w:val="14"/>
                <w:szCs w:val="14"/>
                <w:b w:val="1"/>
                <w:bCs w:val="1"/>
                <w:color w:val="auto"/>
              </w:rPr>
              <w:t>Price</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products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right="51"/>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products</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802.2</w:t>
            </w:r>
          </w:p>
        </w:tc>
        <w:tc>
          <w:tcPr>
            <w:tcW w:w="0" w:type="dxa"/>
            <w:vAlign w:val="bottom"/>
          </w:tcPr>
          <w:p>
            <w:pPr>
              <w:spacing w:after="0"/>
              <w:rPr>
                <w:sz w:val="1"/>
                <w:szCs w:val="1"/>
                <w:color w:val="auto"/>
              </w:rPr>
            </w:pPr>
          </w:p>
        </w:tc>
      </w:tr>
      <w:tr>
        <w:trPr>
          <w:trHeight w:val="176"/>
        </w:trPr>
        <w:tc>
          <w:tcPr>
            <w:tcW w:w="378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40"/>
              <w:spacing w:after="0" w:line="176"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line="189" w:lineRule="exact"/>
              <w:rPr>
                <w:sz w:val="20"/>
                <w:szCs w:val="20"/>
                <w:color w:val="auto"/>
              </w:rPr>
            </w:pPr>
            <w:r>
              <w:rPr>
                <w:rFonts w:ascii="Arial" w:cs="Arial" w:eastAsia="Arial" w:hAnsi="Arial"/>
                <w:sz w:val="18"/>
                <w:szCs w:val="18"/>
                <w:color w:val="auto"/>
              </w:rPr>
              <w:t>Amortization and impairment of acquisition-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Fair value remeasurement of contingent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2"/>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(gains) losses recognized on</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9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42"/>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Net redemptions in sponsored investment</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products used to economically hedge</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3780" w:type="dxa"/>
            <w:vAlign w:val="bottom"/>
          </w:tcPr>
          <w:p>
            <w:pPr>
              <w:ind w:left="220"/>
              <w:spacing w:after="0"/>
              <w:rPr>
                <w:sz w:val="20"/>
                <w:szCs w:val="20"/>
                <w:color w:val="auto"/>
              </w:rPr>
            </w:pPr>
            <w:r>
              <w:rPr>
                <w:rFonts w:ascii="Arial" w:cs="Arial" w:eastAsia="Arial" w:hAnsi="Arial"/>
                <w:sz w:val="18"/>
                <w:szCs w:val="18"/>
                <w:color w:val="auto"/>
              </w:rPr>
              <w:t>supplemental savings plan liability</w:t>
            </w: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sponsored investment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42"/>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70"/>
        </w:trPr>
        <w:tc>
          <w:tcPr>
            <w:tcW w:w="3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1,727.0</w:t>
            </w: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325.0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(1,065.3)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cash equivalents of consolidated sponsored</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jc w:val="right"/>
              <w:ind w:right="14"/>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6"/>
              </w:rPr>
              <w:t>1,874.7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year</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2,326.2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$2,187.2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activities attributable to T. Rowe Price during the first half of 2023 provided cash flows of $1,261.0 million, a decrease of $398.8 million from the $1,659.8 million provided during the comparable 2022 period. The decrease is primarily attributable to lower non-cash adjustments as the 2023 period included net investment gains of $253.0 million compared with net investment losses of $443.9 million in the 2022 period. The reduction in non-cash adjustments was offset in part by timing differences related to the cash settlement of our assets and liabilities, which increased our net cash flow provided by operating activities by $277.8 million. Additionally, in 2023, we had net proceeds of $18.4 million from certain investment products that economically hedge our supplemental savings plan liability compared to net proceeds of $3.9 million in the same period of 2022. The remaining change in reported cash flows from operating activities was primarily attributable to the net change in trading securities held in our consolidated investment products’ underlying portfolios.</w:t>
      </w: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interim operating cash flows do not include the cash impact of variable compensation that is accrued throughout the year before being substantially paid out in December. Our non-cash adjustments include unrealized investment gain/losses, depreciation and amortization, fair value remeasurement of the contingent consideration liability remeasurement, and other non-cash items.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totaled $163.5 million in the first half of 2023 compared with $1.6 million of cash used in investing activities in the 2022 period. During 2023, net proceeds from the sale of certain of our discretionary investments of $46.5 million were lower compared to $110.2 million during 2022. We also increased the level of seed capital provided to the T. Rowe Price consolidated investment products by $56.0 million. We eliminate our seed capital in those T. Rowe Price investment products we consolidate in preparing our unaudited condensed consolidated statement of cash flows. In addition, we increased our property, equipment and software expenditures by $9.6 million and had higher other investing activities of $32.6 million. The remaining $4.3 million change in reported cash flows from investing activities is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attributable to T. Rowe Price were $603.4 million in the first half of 2023 compared with $1,065.3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2022 period. During the first half of 2023, we repurchased 420 thousand shares for $45.2 million compared to 3.8 million shares 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$519.6 million in the first half of 2022. The remaining decrease in reported cash flows used from financing activities is primarily attributable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$283.4 million in net subscriptions received from redeemable non-controlling interest holders of our consolidated investment products during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half of 2023 as compared to $65.7 million in net redemptions during the first half of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2022 Annual Report on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6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operations, revenues, liquidity, net income, and earnings per share of common stock; changes in the amount and composition of our assets under management; our expenses; our tax rate; legal or regulatory developments; geopolitical instability; interest rates and currency fluctuations; and our expectations regarding financial markets, future transactions, strategic initiatives,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2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2023. Based on that evaluation, our principal executive and principal financial officers have concluded that our disclosure controls and procedures as of June 30, 2023,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2023, and has concluded that there was no change during the second quarter of 2023 that has materially affected, or is reasonably likely to materially affect, our internal control over financial reporting.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2023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vMerge w:val="restart"/>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8"/>
              <w:spacing w:after="0" w:line="148"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1"/>
                <w:szCs w:val="11"/>
                <w:color w:val="auto"/>
              </w:rPr>
            </w:pPr>
          </w:p>
        </w:tc>
        <w:tc>
          <w:tcPr>
            <w:tcW w:w="1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01"/>
        </w:trPr>
        <w:tc>
          <w:tcPr>
            <w:tcW w:w="36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9"/>
              </w:rPr>
              <w:t>April</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
              <w:spacing w:after="0"/>
              <w:rPr>
                <w:sz w:val="20"/>
                <w:szCs w:val="20"/>
                <w:color w:val="auto"/>
              </w:rPr>
            </w:pPr>
            <w:r>
              <w:rPr>
                <w:rFonts w:ascii="Arial" w:cs="Arial" w:eastAsia="Arial" w:hAnsi="Arial"/>
                <w:sz w:val="18"/>
                <w:szCs w:val="18"/>
                <w:color w:val="auto"/>
              </w:rPr>
              <w:t>8,750,217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May</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193,350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2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191,368</w:t>
            </w:r>
          </w:p>
        </w:tc>
        <w:tc>
          <w:tcPr>
            <w:tcW w:w="18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8,558,849</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June</w:t>
            </w:r>
          </w:p>
        </w:tc>
        <w:tc>
          <w:tcPr>
            <w:tcW w:w="1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214,866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204,211</w:t>
            </w:r>
          </w:p>
        </w:tc>
        <w:tc>
          <w:tcPr>
            <w:tcW w:w="18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8,354,638</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408,216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2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395,579</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2023, 12,637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4"/>
                <w:szCs w:val="14"/>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2"/>
                <w:szCs w:val="12"/>
                <w:color w:val="auto"/>
              </w:rPr>
            </w:pPr>
          </w:p>
        </w:tc>
        <w:tc>
          <w:tcPr>
            <w:tcW w:w="1780" w:type="dxa"/>
            <w:vAlign w:val="bottom"/>
            <w:vMerge w:val="restart"/>
            <w:shd w:val="clear" w:color="auto" w:fill="CCEEFF"/>
          </w:tcPr>
          <w:p>
            <w:pPr>
              <w:jc w:val="right"/>
              <w:ind w:right="528"/>
              <w:spacing w:after="0"/>
              <w:rPr>
                <w:sz w:val="20"/>
                <w:szCs w:val="20"/>
                <w:color w:val="auto"/>
              </w:rPr>
            </w:pPr>
            <w:r>
              <w:rPr>
                <w:rFonts w:ascii="Arial" w:cs="Arial" w:eastAsia="Arial" w:hAnsi="Arial"/>
                <w:sz w:val="14"/>
                <w:szCs w:val="14"/>
                <w:b w:val="1"/>
                <w:bCs w:val="1"/>
                <w:color w:val="auto"/>
              </w:rPr>
              <w:t>4/1/2023</w:t>
            </w:r>
          </w:p>
        </w:tc>
        <w:tc>
          <w:tcPr>
            <w:tcW w:w="120" w:type="dxa"/>
            <w:vAlign w:val="bottom"/>
            <w:shd w:val="clear" w:color="auto" w:fill="CCEEFF"/>
          </w:tcPr>
          <w:p>
            <w:pPr>
              <w:spacing w:after="0"/>
              <w:rPr>
                <w:sz w:val="12"/>
                <w:szCs w:val="12"/>
                <w:color w:val="auto"/>
              </w:rPr>
            </w:pPr>
          </w:p>
        </w:tc>
        <w:tc>
          <w:tcPr>
            <w:tcW w:w="19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76"/>
        </w:trPr>
        <w:tc>
          <w:tcPr>
            <w:tcW w:w="54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6/30/2023</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March 2020</w:t>
            </w:r>
          </w:p>
        </w:tc>
        <w:tc>
          <w:tcPr>
            <w:tcW w:w="1880" w:type="dxa"/>
            <w:vAlign w:val="bottom"/>
            <w:gridSpan w:val="2"/>
          </w:tcPr>
          <w:p>
            <w:pPr>
              <w:jc w:val="right"/>
              <w:ind w:right="8"/>
              <w:spacing w:after="0"/>
              <w:rPr>
                <w:sz w:val="20"/>
                <w:szCs w:val="20"/>
                <w:color w:val="auto"/>
              </w:rPr>
            </w:pPr>
            <w:r>
              <w:rPr>
                <w:rFonts w:ascii="Arial" w:cs="Arial" w:eastAsia="Arial" w:hAnsi="Arial"/>
                <w:sz w:val="18"/>
                <w:szCs w:val="18"/>
                <w:color w:val="auto"/>
              </w:rPr>
              <w:t>8,750,217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(395,579)</w:t>
            </w:r>
          </w:p>
        </w:tc>
        <w:tc>
          <w:tcPr>
            <w:tcW w:w="1900" w:type="dxa"/>
            <w:vAlign w:val="bottom"/>
            <w:gridSpan w:val="2"/>
          </w:tcPr>
          <w:p>
            <w:pPr>
              <w:jc w:val="right"/>
              <w:ind w:right="28"/>
              <w:spacing w:after="0"/>
              <w:rPr>
                <w:sz w:val="20"/>
                <w:szCs w:val="20"/>
                <w:color w:val="auto"/>
              </w:rPr>
            </w:pPr>
            <w:r>
              <w:rPr>
                <w:rFonts w:ascii="Arial" w:cs="Arial" w:eastAsia="Arial" w:hAnsi="Arial"/>
                <w:sz w:val="18"/>
                <w:szCs w:val="18"/>
                <w:color w:val="auto"/>
              </w:rPr>
              <w:t>8,354,638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3(i)</w:t>
            </w:r>
          </w:p>
        </w:tc>
        <w:tc>
          <w:tcPr>
            <w:tcW w:w="9920" w:type="dxa"/>
            <w:vAlign w:val="bottom"/>
          </w:tcPr>
          <w:p>
            <w:pPr>
              <w:ind w:left="480"/>
              <w:spacing w:after="0"/>
              <w:rPr>
                <w:rFonts w:ascii="Arial" w:cs="Arial" w:eastAsia="Arial" w:hAnsi="Arial"/>
                <w:sz w:val="18"/>
                <w:szCs w:val="18"/>
                <w:color w:val="auto"/>
              </w:rPr>
            </w:pPr>
            <w:hyperlink r:id="rId74">
              <w:r>
                <w:rPr>
                  <w:rFonts w:ascii="Arial" w:cs="Arial" w:eastAsia="Arial" w:hAnsi="Arial"/>
                  <w:sz w:val="18"/>
                  <w:szCs w:val="18"/>
                  <w:color w:val="auto"/>
                </w:rPr>
                <w:t>Charter of T. Rowe Price Group, Inc., as reflected by Articles of Restatement dated June 20, 2018. (Incorporated by</w:t>
              </w:r>
            </w:hyperlink>
          </w:p>
        </w:tc>
      </w:tr>
      <w:tr>
        <w:trPr>
          <w:trHeight w:val="229"/>
        </w:trPr>
        <w:tc>
          <w:tcPr>
            <w:tcW w:w="940" w:type="dxa"/>
            <w:vAlign w:val="bottom"/>
          </w:tcPr>
          <w:p>
            <w:pPr>
              <w:spacing w:after="0"/>
              <w:rPr>
                <w:sz w:val="19"/>
                <w:szCs w:val="19"/>
                <w:color w:val="auto"/>
              </w:rPr>
            </w:pPr>
          </w:p>
        </w:tc>
        <w:tc>
          <w:tcPr>
            <w:tcW w:w="9920" w:type="dxa"/>
            <w:vAlign w:val="bottom"/>
          </w:tcPr>
          <w:p>
            <w:pPr>
              <w:ind w:left="480"/>
              <w:spacing w:after="0"/>
              <w:rPr>
                <w:rFonts w:ascii="Arial" w:cs="Arial" w:eastAsia="Arial" w:hAnsi="Arial"/>
                <w:sz w:val="18"/>
                <w:szCs w:val="18"/>
                <w:color w:val="auto"/>
              </w:rPr>
            </w:pPr>
            <w:hyperlink r:id="rId74">
              <w:r>
                <w:rPr>
                  <w:rFonts w:ascii="Arial" w:cs="Arial" w:eastAsia="Arial" w:hAnsi="Arial"/>
                  <w:sz w:val="18"/>
                  <w:szCs w:val="18"/>
                  <w:color w:val="auto"/>
                </w:rPr>
                <w:t>reference from Form 10-Q Quarterly Report filed on July 25, 2018.)</w:t>
              </w:r>
            </w:hyperlink>
          </w:p>
        </w:tc>
      </w:tr>
      <w:tr>
        <w:trPr>
          <w:trHeight w:val="244"/>
        </w:trPr>
        <w:tc>
          <w:tcPr>
            <w:tcW w:w="940" w:type="dxa"/>
            <w:vAlign w:val="bottom"/>
          </w:tcPr>
          <w:p>
            <w:pPr>
              <w:spacing w:after="0"/>
              <w:rPr>
                <w:sz w:val="20"/>
                <w:szCs w:val="20"/>
                <w:color w:val="auto"/>
              </w:rPr>
            </w:pPr>
            <w:r>
              <w:rPr>
                <w:rFonts w:ascii="Arial" w:cs="Arial" w:eastAsia="Arial" w:hAnsi="Arial"/>
                <w:sz w:val="18"/>
                <w:szCs w:val="18"/>
                <w:color w:val="auto"/>
              </w:rPr>
              <w:t>3(ii)</w:t>
            </w:r>
          </w:p>
        </w:tc>
        <w:tc>
          <w:tcPr>
            <w:tcW w:w="9920" w:type="dxa"/>
            <w:vAlign w:val="bottom"/>
          </w:tcPr>
          <w:p>
            <w:pPr>
              <w:ind w:left="480"/>
              <w:spacing w:after="0"/>
              <w:rPr>
                <w:rFonts w:ascii="Arial" w:cs="Arial" w:eastAsia="Arial" w:hAnsi="Arial"/>
                <w:sz w:val="18"/>
                <w:szCs w:val="18"/>
                <w:color w:val="auto"/>
                <w:w w:val="99"/>
              </w:rPr>
            </w:pPr>
            <w:hyperlink r:id="rId75">
              <w:r>
                <w:rPr>
                  <w:rFonts w:ascii="Arial" w:cs="Arial" w:eastAsia="Arial" w:hAnsi="Arial"/>
                  <w:sz w:val="18"/>
                  <w:szCs w:val="18"/>
                  <w:color w:val="auto"/>
                  <w:w w:val="99"/>
                </w:rPr>
                <w:t>Amended and Restated By-Laws of T. Rowe Price Group, Inc. as of February 9, 2021. (Incorporated by reference from</w:t>
              </w:r>
            </w:hyperlink>
          </w:p>
        </w:tc>
      </w:tr>
      <w:tr>
        <w:trPr>
          <w:trHeight w:val="229"/>
        </w:trPr>
        <w:tc>
          <w:tcPr>
            <w:tcW w:w="940" w:type="dxa"/>
            <w:vAlign w:val="bottom"/>
          </w:tcPr>
          <w:p>
            <w:pPr>
              <w:spacing w:after="0"/>
              <w:rPr>
                <w:sz w:val="19"/>
                <w:szCs w:val="19"/>
                <w:color w:val="auto"/>
              </w:rPr>
            </w:pPr>
          </w:p>
        </w:tc>
        <w:tc>
          <w:tcPr>
            <w:tcW w:w="9920" w:type="dxa"/>
            <w:vAlign w:val="bottom"/>
          </w:tcPr>
          <w:p>
            <w:pPr>
              <w:ind w:left="480"/>
              <w:spacing w:after="0"/>
              <w:rPr>
                <w:rFonts w:ascii="Arial" w:cs="Arial" w:eastAsia="Arial" w:hAnsi="Arial"/>
                <w:sz w:val="18"/>
                <w:szCs w:val="18"/>
                <w:color w:val="auto"/>
              </w:rPr>
            </w:pPr>
            <w:hyperlink r:id="rId75">
              <w:r>
                <w:rPr>
                  <w:rFonts w:ascii="Arial" w:cs="Arial" w:eastAsia="Arial" w:hAnsi="Arial"/>
                  <w:sz w:val="18"/>
                  <w:szCs w:val="18"/>
                  <w:color w:val="auto"/>
                </w:rPr>
                <w:t>Form 10-K Annual Report filed on February 11, 2021.)</w:t>
              </w:r>
            </w:hyperlink>
          </w:p>
        </w:tc>
      </w:tr>
      <w:tr>
        <w:trPr>
          <w:trHeight w:val="244"/>
        </w:trPr>
        <w:tc>
          <w:tcPr>
            <w:tcW w:w="940" w:type="dxa"/>
            <w:vAlign w:val="bottom"/>
          </w:tcPr>
          <w:p>
            <w:pPr>
              <w:spacing w:after="0"/>
              <w:rPr>
                <w:sz w:val="20"/>
                <w:szCs w:val="20"/>
                <w:color w:val="auto"/>
              </w:rPr>
            </w:pPr>
            <w:r>
              <w:rPr>
                <w:rFonts w:ascii="Arial" w:cs="Arial" w:eastAsia="Arial" w:hAnsi="Arial"/>
                <w:sz w:val="18"/>
                <w:szCs w:val="18"/>
                <w:color w:val="auto"/>
              </w:rPr>
              <w:t>10.01</w:t>
            </w:r>
          </w:p>
        </w:tc>
        <w:tc>
          <w:tcPr>
            <w:tcW w:w="9920" w:type="dxa"/>
            <w:vAlign w:val="bottom"/>
          </w:tcPr>
          <w:p>
            <w:pPr>
              <w:ind w:left="480"/>
              <w:spacing w:after="0"/>
              <w:rPr>
                <w:rFonts w:ascii="Arial" w:cs="Arial" w:eastAsia="Arial" w:hAnsi="Arial"/>
                <w:sz w:val="18"/>
                <w:szCs w:val="18"/>
                <w:color w:val="auto"/>
                <w:w w:val="99"/>
              </w:rPr>
            </w:pPr>
            <w:hyperlink r:id="rId76">
              <w:r>
                <w:rPr>
                  <w:rFonts w:ascii="Arial" w:cs="Arial" w:eastAsia="Arial" w:hAnsi="Arial"/>
                  <w:sz w:val="18"/>
                  <w:szCs w:val="18"/>
                  <w:color w:val="auto"/>
                  <w:w w:val="99"/>
                </w:rPr>
                <w:t>T. Rowe Price, Inc. 1986 Employee Stock Purchase Plan, Restated as of April 26, 2017, as amended. (Incorporated by</w:t>
              </w:r>
            </w:hyperlink>
          </w:p>
        </w:tc>
      </w:tr>
      <w:tr>
        <w:trPr>
          <w:trHeight w:val="229"/>
        </w:trPr>
        <w:tc>
          <w:tcPr>
            <w:tcW w:w="940" w:type="dxa"/>
            <w:vAlign w:val="bottom"/>
          </w:tcPr>
          <w:p>
            <w:pPr>
              <w:spacing w:after="0"/>
              <w:rPr>
                <w:sz w:val="19"/>
                <w:szCs w:val="19"/>
                <w:color w:val="auto"/>
              </w:rPr>
            </w:pPr>
          </w:p>
        </w:tc>
        <w:tc>
          <w:tcPr>
            <w:tcW w:w="9920" w:type="dxa"/>
            <w:vAlign w:val="bottom"/>
          </w:tcPr>
          <w:p>
            <w:pPr>
              <w:ind w:left="480"/>
              <w:spacing w:after="0"/>
              <w:rPr>
                <w:rFonts w:ascii="Arial" w:cs="Arial" w:eastAsia="Arial" w:hAnsi="Arial"/>
                <w:sz w:val="18"/>
                <w:szCs w:val="18"/>
                <w:color w:val="auto"/>
              </w:rPr>
            </w:pPr>
            <w:hyperlink r:id="rId76">
              <w:r>
                <w:rPr>
                  <w:rFonts w:ascii="Arial" w:cs="Arial" w:eastAsia="Arial" w:hAnsi="Arial"/>
                  <w:sz w:val="18"/>
                  <w:szCs w:val="18"/>
                  <w:color w:val="auto"/>
                </w:rPr>
                <w:t>reference from Form DEF-14A Definitive Proxy Statement filed on March 21, 2023.)</w:t>
              </w:r>
            </w:hyperlink>
          </w:p>
        </w:tc>
      </w:tr>
    </w:tbl>
    <w:p>
      <w:pPr>
        <w:spacing w:after="0" w:line="55" w:lineRule="exact"/>
        <w:rPr>
          <w:sz w:val="20"/>
          <w:szCs w:val="20"/>
          <w:color w:val="auto"/>
        </w:rPr>
      </w:pPr>
    </w:p>
    <w:p>
      <w:pPr>
        <w:sectPr>
          <w:pgSz w:w="11900" w:h="16838" w:orient="portrait"/>
          <w:cols w:equalWidth="0" w:num="1">
            <w:col w:w="11220"/>
          </w:cols>
          <w:pgMar w:left="320" w:top="896" w:right="359" w:bottom="1440" w:gutter="0" w:footer="0" w:header="0"/>
        </w:sect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760" w:space="680"/>
            <w:col w:w="9780"/>
          </w:cols>
          <w:pgMar w:left="320" w:top="896" w:right="3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type w:val="continuous"/>
        </w:sectPr>
      </w:pPr>
    </w:p>
    <w:bookmarkStart w:id="43" w:name="page44"/>
    <w:bookmarkEnd w:id="4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28,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120"/>
          </w:cols>
          <w:pgMar w:left="320" w:top="886" w:right="459" w:bottom="1440" w:gutter="0" w:footer="0" w:header="0"/>
        </w:sectPr>
      </w:pPr>
    </w:p>
    <w:bookmarkStart w:id="44" w:name="page45"/>
    <w:bookmarkEnd w:id="44"/>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75"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6"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8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28, 2023 related to our review of interim financial information.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6" w:right="339" w:bottom="1440" w:gutter="0" w:footer="0" w:header="0"/>
          <w:type w:val="continuous"/>
        </w:sectPr>
      </w:pPr>
    </w:p>
    <w:bookmarkStart w:id="45" w:name="page46"/>
    <w:bookmarkEnd w:id="45"/>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2023 of T. Rowe Price Group, Inc.;</w:t>
      </w:r>
    </w:p>
    <w:p>
      <w:pPr>
        <w:spacing w:after="0" w:line="90" w:lineRule="exact"/>
        <w:rPr>
          <w:rFonts w:ascii="Arial" w:cs="Arial" w:eastAsia="Arial" w:hAnsi="Arial"/>
          <w:sz w:val="18"/>
          <w:szCs w:val="18"/>
          <w:color w:val="auto"/>
        </w:rPr>
      </w:pPr>
    </w:p>
    <w:p>
      <w:pPr>
        <w:ind w:left="180" w:right="220" w:hanging="172"/>
        <w:spacing w:after="0" w:line="263"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80" w:right="320" w:hanging="172"/>
        <w:spacing w:after="0" w:line="306"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7"/>
          <w:szCs w:val="17"/>
          <w:color w:val="auto"/>
        </w:rPr>
      </w:pPr>
    </w:p>
    <w:p>
      <w:pPr>
        <w:ind w:left="180" w:right="320" w:hanging="172"/>
        <w:spacing w:after="0" w:line="272"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8" w:lineRule="exact"/>
        <w:rPr>
          <w:rFonts w:ascii="Arial" w:cs="Arial" w:eastAsia="Arial" w:hAnsi="Arial"/>
          <w:sz w:val="17"/>
          <w:szCs w:val="17"/>
          <w:color w:val="auto"/>
        </w:rPr>
      </w:pPr>
    </w:p>
    <w:p>
      <w:pPr>
        <w:ind w:left="180" w:right="300" w:firstLine="71"/>
        <w:spacing w:after="0" w:line="263"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80" w:right="160" w:firstLine="71"/>
        <w:spacing w:after="0" w:line="263"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80" w:right="220" w:firstLine="71"/>
        <w:spacing w:after="0" w:line="263" w:lineRule="auto"/>
        <w:tabs>
          <w:tab w:leader="none" w:pos="5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80" w:right="60" w:firstLine="71"/>
        <w:spacing w:after="0" w:line="263" w:lineRule="auto"/>
        <w:tabs>
          <w:tab w:leader="none" w:pos="53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180" w:right="20" w:hanging="172"/>
        <w:spacing w:after="0" w:line="306"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7"/>
          <w:szCs w:val="17"/>
          <w:color w:val="auto"/>
        </w:rPr>
      </w:pPr>
    </w:p>
    <w:p>
      <w:pPr>
        <w:ind w:left="180" w:right="400" w:firstLine="71"/>
        <w:spacing w:after="0" w:line="275" w:lineRule="auto"/>
        <w:tabs>
          <w:tab w:leader="none" w:pos="5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80" w:firstLine="71"/>
        <w:spacing w:after="0" w:line="275" w:lineRule="auto"/>
        <w:tabs>
          <w:tab w:leader="none" w:pos="5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991" w:right="339" w:bottom="1440" w:gutter="0" w:footer="0" w:header="0"/>
        </w:sectPr>
      </w:pPr>
    </w:p>
    <w:bookmarkStart w:id="46" w:name="page47"/>
    <w:bookmarkEnd w:id="46"/>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2023 of T. Rowe Price Group, Inc.;</w:t>
      </w:r>
    </w:p>
    <w:p>
      <w:pPr>
        <w:spacing w:after="0" w:line="90" w:lineRule="exact"/>
        <w:rPr>
          <w:rFonts w:ascii="Arial" w:cs="Arial" w:eastAsia="Arial" w:hAnsi="Arial"/>
          <w:sz w:val="18"/>
          <w:szCs w:val="18"/>
          <w:color w:val="auto"/>
        </w:rPr>
      </w:pPr>
    </w:p>
    <w:p>
      <w:pPr>
        <w:ind w:left="180" w:right="220" w:hanging="172"/>
        <w:spacing w:after="0" w:line="263"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180" w:right="320" w:hanging="172"/>
        <w:spacing w:after="0" w:line="306"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7"/>
          <w:szCs w:val="17"/>
          <w:color w:val="auto"/>
        </w:rPr>
      </w:pPr>
    </w:p>
    <w:p>
      <w:pPr>
        <w:ind w:left="180" w:right="320" w:hanging="172"/>
        <w:spacing w:after="0" w:line="272"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8" w:lineRule="exact"/>
        <w:rPr>
          <w:rFonts w:ascii="Arial" w:cs="Arial" w:eastAsia="Arial" w:hAnsi="Arial"/>
          <w:sz w:val="17"/>
          <w:szCs w:val="17"/>
          <w:color w:val="auto"/>
        </w:rPr>
      </w:pPr>
    </w:p>
    <w:p>
      <w:pPr>
        <w:ind w:left="180" w:right="300" w:firstLine="71"/>
        <w:spacing w:after="0" w:line="263" w:lineRule="auto"/>
        <w:tabs>
          <w:tab w:leader="none" w:pos="5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80" w:right="160" w:firstLine="71"/>
        <w:spacing w:after="0" w:line="263" w:lineRule="auto"/>
        <w:tabs>
          <w:tab w:leader="none" w:pos="5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80" w:right="220" w:firstLine="71"/>
        <w:spacing w:after="0" w:line="263" w:lineRule="auto"/>
        <w:tabs>
          <w:tab w:leader="none" w:pos="5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80" w:right="60" w:firstLine="71"/>
        <w:spacing w:after="0" w:line="263" w:lineRule="auto"/>
        <w:tabs>
          <w:tab w:leader="none" w:pos="5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180" w:right="20" w:hanging="172"/>
        <w:spacing w:after="0" w:line="306"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Arial" w:cs="Arial" w:eastAsia="Arial" w:hAnsi="Arial"/>
          <w:sz w:val="17"/>
          <w:szCs w:val="17"/>
          <w:color w:val="auto"/>
        </w:rPr>
      </w:pPr>
    </w:p>
    <w:p>
      <w:pPr>
        <w:ind w:left="180" w:right="400" w:firstLine="71"/>
        <w:spacing w:after="0" w:line="275" w:lineRule="auto"/>
        <w:tabs>
          <w:tab w:leader="none" w:pos="5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80" w:firstLine="71"/>
        <w:spacing w:after="0" w:line="275" w:lineRule="auto"/>
        <w:tabs>
          <w:tab w:leader="none" w:pos="5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991" w:right="339" w:bottom="1440" w:gutter="0" w:footer="0" w:header="0"/>
        </w:sectPr>
      </w:pPr>
    </w:p>
    <w:bookmarkStart w:id="47" w:name="page48"/>
    <w:bookmarkEnd w:id="47"/>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2023, of T. Rowe Price Group, Inc., that:</w:t>
      </w:r>
    </w:p>
    <w:p>
      <w:pPr>
        <w:spacing w:after="0" w:line="52" w:lineRule="exact"/>
        <w:rPr>
          <w:sz w:val="20"/>
          <w:szCs w:val="20"/>
          <w:color w:val="auto"/>
        </w:rPr>
      </w:pPr>
    </w:p>
    <w:p>
      <w:pPr>
        <w:ind w:right="620" w:firstLine="8"/>
        <w:spacing w:after="0" w:line="275"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38" w:lineRule="exact"/>
        <w:rPr>
          <w:rFonts w:ascii="Arial" w:cs="Arial" w:eastAsia="Arial" w:hAnsi="Arial"/>
          <w:sz w:val="18"/>
          <w:szCs w:val="18"/>
          <w:color w:val="auto"/>
        </w:rPr>
      </w:pPr>
    </w:p>
    <w:p>
      <w:pPr>
        <w:ind w:firstLine="8"/>
        <w:spacing w:after="0" w:line="275"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July 28, 2023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7" Type="http://schemas.openxmlformats.org/officeDocument/2006/relationships/image" Target="media/image67.png"/><Relationship Id="rId74" Type="http://schemas.openxmlformats.org/officeDocument/2006/relationships/hyperlink" Target="http://www.sec.gov/Archives/edgar/data/1113169/000111316918000018/articlesofrestatementfin.htm" TargetMode="External"/><Relationship Id="rId75" Type="http://schemas.openxmlformats.org/officeDocument/2006/relationships/hyperlink" Target="https://www.sec.gov/Archives/edgar/data/1113169/000111316921000006/exhibit3-1trpgamendedandre.htm" TargetMode="External"/><Relationship Id="rId76" Type="http://schemas.openxmlformats.org/officeDocument/2006/relationships/hyperlink" Target="https://www.sec.gov/ix?doc=/Archives/edgar/data/0001113169/000110465923034918/tm233213d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2023-07-28T12:14:45Z</dcterms:created>
  <dcterms:modified xsi:type="dcterms:W3CDTF">2023-07-28T12:14:45Z</dcterms:modified>
</cp:coreProperties>
</file>