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697230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662940</wp:posOffset>
            </wp:positionV>
            <wp:extent cx="7054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13"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162"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0"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000-32191</w:t>
      </w:r>
    </w:p>
    <w:p>
      <w:pPr>
        <w:spacing w:after="0" w:line="31"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T. ROWE PRICE GROUP,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60"/>
          </w:cols>
          <w:pgMar w:left="320" w:top="1176" w:right="419" w:bottom="1440" w:gutter="0" w:footer="0" w:header="0"/>
        </w:sectPr>
      </w:pPr>
    </w:p>
    <w:p>
      <w:pPr>
        <w:spacing w:after="0" w:line="122"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44" w:lineRule="exact"/>
        <w:rPr>
          <w:sz w:val="24"/>
          <w:szCs w:val="24"/>
          <w:color w:val="auto"/>
        </w:rPr>
      </w:pPr>
    </w:p>
    <w:p>
      <w:pPr>
        <w:sectPr>
          <w:pgSz w:w="11900" w:h="16838" w:orient="portrait"/>
          <w:cols w:equalWidth="0" w:num="2">
            <w:col w:w="7220" w:space="720"/>
            <w:col w:w="3220"/>
          </w:cols>
          <w:pgMar w:left="320" w:top="1176" w:right="41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67" w:lineRule="exact"/>
        <w:rPr>
          <w:sz w:val="24"/>
          <w:szCs w:val="24"/>
          <w:color w:val="auto"/>
        </w:rPr>
      </w:pPr>
    </w:p>
    <w:p>
      <w:pPr>
        <w:sectPr>
          <w:pgSz w:w="11900" w:h="16838" w:orient="portrait"/>
          <w:cols w:equalWidth="0" w:num="2">
            <w:col w:w="6520" w:space="720"/>
            <w:col w:w="3920"/>
          </w:cols>
          <w:pgMar w:left="320" w:top="1176" w:right="419" w:bottom="1440" w:gutter="0" w:footer="0" w:header="0"/>
          <w:type w:val="continuous"/>
        </w:sectPr>
      </w:pPr>
    </w:p>
    <w:p>
      <w:pPr>
        <w:ind w:left="3560"/>
        <w:spacing w:after="0"/>
        <w:rPr>
          <w:sz w:val="20"/>
          <w:szCs w:val="20"/>
          <w:color w:val="auto"/>
        </w:rPr>
      </w:pPr>
      <w:r>
        <w:rPr>
          <w:rFonts w:ascii="Arial" w:cs="Arial" w:eastAsia="Arial" w:hAnsi="Arial"/>
          <w:sz w:val="17"/>
          <w:szCs w:val="17"/>
          <w:b w:val="1"/>
          <w:bCs w:val="1"/>
          <w:color w:val="auto"/>
        </w:rPr>
        <w:t>100 East Pratt Street, Baltimore, Maryland 21202</w:t>
      </w:r>
    </w:p>
    <w:p>
      <w:pPr>
        <w:spacing w:after="0" w:line="43"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3"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ectPr>
          <w:pgSz w:w="11900" w:h="16838" w:orient="portrait"/>
          <w:cols w:equalWidth="0" w:num="1">
            <w:col w:w="11160"/>
          </w:cols>
          <w:pgMar w:left="320" w:top="1176" w:right="419" w:bottom="1440" w:gutter="0" w:footer="0" w:header="0"/>
          <w:type w:val="continuous"/>
        </w:sectPr>
      </w:pPr>
    </w:p>
    <w:p>
      <w:pPr>
        <w:spacing w:after="0" w:line="176" w:lineRule="exact"/>
        <w:rPr>
          <w:sz w:val="24"/>
          <w:szCs w:val="24"/>
          <w:color w:val="auto"/>
        </w:rPr>
      </w:pPr>
    </w:p>
    <w:p>
      <w:pPr>
        <w:ind w:left="680"/>
        <w:spacing w:after="0"/>
        <w:rPr>
          <w:sz w:val="20"/>
          <w:szCs w:val="20"/>
          <w:color w:val="auto"/>
        </w:rPr>
      </w:pPr>
      <w:r>
        <w:rPr>
          <w:rFonts w:ascii="Arial" w:cs="Arial" w:eastAsia="Arial" w:hAnsi="Arial"/>
          <w:sz w:val="17"/>
          <w:szCs w:val="17"/>
          <w:b w:val="1"/>
          <w:bCs w:val="1"/>
          <w:color w:val="auto"/>
        </w:rPr>
        <w:t>Common stock, $.20 par value per share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TROW</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43" w:lineRule="exact"/>
        <w:rPr>
          <w:sz w:val="24"/>
          <w:szCs w:val="24"/>
          <w:color w:val="auto"/>
        </w:rPr>
      </w:pPr>
    </w:p>
    <w:p>
      <w:pPr>
        <w:sectPr>
          <w:pgSz w:w="11900" w:h="16838" w:orient="portrait"/>
          <w:cols w:equalWidth="0" w:num="3">
            <w:col w:w="4620" w:space="720"/>
            <w:col w:w="1420" w:space="720"/>
            <w:col w:w="3680"/>
          </w:cols>
          <w:pgMar w:left="320" w:top="1176" w:right="41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(title of 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(ticker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127" w:lineRule="exact"/>
        <w:rPr>
          <w:sz w:val="24"/>
          <w:szCs w:val="24"/>
          <w:color w:val="auto"/>
        </w:rPr>
      </w:pPr>
    </w:p>
    <w:p>
      <w:pPr>
        <w:sectPr>
          <w:pgSz w:w="11900" w:h="16838" w:orient="portrait"/>
          <w:cols w:equalWidth="0" w:num="3">
            <w:col w:w="4400" w:space="720"/>
            <w:col w:w="1620" w:space="720"/>
            <w:col w:w="3700"/>
          </w:cols>
          <w:pgMar w:left="320" w:top="1176" w:right="419" w:bottom="1440" w:gutter="0" w:footer="0" w:header="0"/>
          <w:type w:val="continuous"/>
        </w:sectPr>
      </w:pPr>
    </w:p>
    <w:p>
      <w:pPr>
        <w:ind w:left="4740"/>
        <w:spacing w:after="0"/>
        <w:rPr>
          <w:sz w:val="20"/>
          <w:szCs w:val="20"/>
          <w:color w:val="auto"/>
        </w:rPr>
      </w:pPr>
      <w:r>
        <w:rPr>
          <w:rFonts w:ascii="Arial" w:cs="Arial" w:eastAsia="Arial" w:hAnsi="Arial"/>
          <w:sz w:val="14"/>
          <w:szCs w:val="14"/>
          <w:color w:val="auto"/>
        </w:rPr>
        <w:t>______________________</w:t>
      </w:r>
    </w:p>
    <w:p>
      <w:pPr>
        <w:sectPr>
          <w:pgSz w:w="11900" w:h="16838" w:orient="portrait"/>
          <w:cols w:equalWidth="0" w:num="1">
            <w:col w:w="11160"/>
          </w:cols>
          <w:pgMar w:left="320" w:top="1176" w:right="419" w:bottom="1440" w:gutter="0" w:footer="0" w:header="0"/>
          <w:type w:val="continuous"/>
        </w:sectPr>
      </w:pPr>
    </w:p>
    <w:p>
      <w:pPr>
        <w:spacing w:after="0" w:line="66" w:lineRule="exact"/>
        <w:rPr>
          <w:sz w:val="24"/>
          <w:szCs w:val="24"/>
          <w:color w:val="auto"/>
        </w:rPr>
      </w:pPr>
    </w:p>
    <w:p>
      <w:pPr>
        <w:ind w:right="2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0" w:lineRule="exact"/>
        <w:rPr>
          <w:sz w:val="24"/>
          <w:szCs w:val="24"/>
          <w:color w:val="auto"/>
        </w:rPr>
      </w:pPr>
    </w:p>
    <w:p>
      <w:pPr>
        <w:ind w:right="40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0"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4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4960" w:type="dxa"/>
            <w:vAlign w:val="bottom"/>
          </w:tcPr>
          <w:p>
            <w:pPr>
              <w:spacing w:after="0"/>
              <w:rPr>
                <w:sz w:val="24"/>
                <w:szCs w:val="24"/>
                <w:color w:val="auto"/>
              </w:rPr>
            </w:pP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496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56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2" w:lineRule="exact"/>
        <w:rPr>
          <w:sz w:val="24"/>
          <w:szCs w:val="24"/>
          <w:color w:val="auto"/>
        </w:rPr>
      </w:pPr>
    </w:p>
    <w:p>
      <w:pPr>
        <w:jc w:val="both"/>
        <w:ind w:right="60"/>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41" w:lineRule="exact"/>
        <w:rPr>
          <w:sz w:val="24"/>
          <w:szCs w:val="24"/>
          <w:color w:val="auto"/>
        </w:rPr>
      </w:pPr>
    </w:p>
    <w:p>
      <w:pPr>
        <w:ind w:right="3000"/>
        <w:spacing w:after="0" w:line="260" w:lineRule="auto"/>
        <w:rPr>
          <w:sz w:val="20"/>
          <w:szCs w:val="20"/>
          <w:color w:val="auto"/>
        </w:rPr>
      </w:pPr>
      <w:r>
        <w:rPr>
          <w:rFonts w:ascii="Arial" w:cs="Arial" w:eastAsia="Arial" w:hAnsi="Arial"/>
          <w:sz w:val="16"/>
          <w:szCs w:val="16"/>
          <w:color w:val="auto"/>
        </w:rPr>
        <w:t>The number of shares outstanding of the issuer’s common stock ($.20 par value), as of the latest practicable date, July 26, 2021, is 226,936,886.</w:t>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054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1160"/>
          </w:cols>
          <w:pgMar w:left="320" w:top="1176"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6/30/2021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12/31/2020</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863.1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3,250.8</w:t>
            </w:r>
          </w:p>
        </w:tc>
      </w:tr>
      <w:tr>
        <w:trPr>
          <w:trHeight w:val="188"/>
        </w:trPr>
        <w:tc>
          <w:tcPr>
            <w:tcW w:w="8240" w:type="dxa"/>
            <w:vAlign w:val="bottom"/>
          </w:tcPr>
          <w:p>
            <w:pPr>
              <w:ind w:left="20"/>
              <w:spacing w:after="0" w:line="189" w:lineRule="exact"/>
              <w:rPr>
                <w:sz w:val="20"/>
                <w:szCs w:val="20"/>
                <w:color w:val="auto"/>
              </w:rPr>
            </w:pPr>
            <w:r>
              <w:rPr>
                <w:rFonts w:ascii="Arial" w:cs="Arial" w:eastAsia="Arial" w:hAnsi="Arial"/>
                <w:sz w:val="18"/>
                <w:szCs w:val="18"/>
                <w:color w:val="auto"/>
              </w:rPr>
              <w:t>Assets of consolidated T. Rowe Price investment products ($1,605.0 million at June 30, 2021 and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8240" w:type="dxa"/>
            <w:vAlign w:val="bottom"/>
          </w:tcPr>
          <w:p>
            <w:pPr>
              <w:ind w:left="20"/>
              <w:spacing w:after="0"/>
              <w:rPr>
                <w:sz w:val="20"/>
                <w:szCs w:val="20"/>
                <w:color w:val="auto"/>
              </w:rPr>
            </w:pPr>
            <w:r>
              <w:rPr>
                <w:rFonts w:ascii="Arial" w:cs="Arial" w:eastAsia="Arial" w:hAnsi="Arial"/>
                <w:sz w:val="18"/>
                <w:szCs w:val="18"/>
                <w:color w:val="auto"/>
              </w:rPr>
              <w:t>$2,497.4 million at December 31, 2020, related to variable interest entities)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2,695.5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695.4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246.2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187.7</w:t>
            </w:r>
          </w:p>
        </w:tc>
      </w:tr>
      <w:tr>
        <w:trPr>
          <w:trHeight w:val="188"/>
        </w:trPr>
        <w:tc>
          <w:tcPr>
            <w:tcW w:w="8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Liabilities of consolidated T. Rowe Price investment products ($30.5 million at June 30, 2021 and</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$47.7 million at December 31, 2020, related to variable interest entities)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w:t>
            </w: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1,390.3</w:t>
            </w: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70"/>
        </w:trPr>
        <w:tc>
          <w:tcPr>
            <w:tcW w:w="8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1,561.7</w:t>
            </w:r>
          </w:p>
        </w:tc>
      </w:tr>
      <w:tr>
        <w:trPr>
          <w:trHeight w:val="270"/>
        </w:trPr>
        <w:tc>
          <w:tcPr>
            <w:tcW w:w="8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Common stock, $.20 par value—authorized 750,000,000; issued 226,925,000 shares at June 30,</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 and 227,965,000 at December 31, 2020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654.6</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7,029.8</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permanent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7,707.0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10,659.0</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right="5180"/>
        <w:spacing w:after="0" w:line="287"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2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6"/>
                <w:szCs w:val="16"/>
                <w:color w:val="auto"/>
              </w:rPr>
            </w:pPr>
          </w:p>
        </w:tc>
        <w:tc>
          <w:tcPr>
            <w:tcW w:w="2520" w:type="dxa"/>
            <w:vAlign w:val="bottom"/>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56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6/30/2020</w:t>
            </w:r>
          </w:p>
        </w:tc>
      </w:tr>
      <w:tr>
        <w:trPr>
          <w:trHeight w:val="20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1,787.2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3,475.0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2,621.6</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2,878.0</w:t>
            </w: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Distribution and servicing</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and promotion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2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1,617.1</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1,260.9</w:t>
            </w:r>
          </w:p>
        </w:tc>
      </w:tr>
      <w:tr>
        <w:trPr>
          <w:trHeight w:val="270"/>
        </w:trPr>
        <w:tc>
          <w:tcPr>
            <w:tcW w:w="5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(loss)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Net gains on investments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30"/>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(loss)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non-operating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1,175.7</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895.1</w:t>
            </w:r>
          </w:p>
        </w:tc>
      </w:tr>
      <w:tr>
        <w:trPr>
          <w:trHeight w:val="188"/>
        </w:trPr>
        <w:tc>
          <w:tcPr>
            <w:tcW w:w="5620" w:type="dxa"/>
            <w:vAlign w:val="bottom"/>
          </w:tcPr>
          <w:p>
            <w:pPr>
              <w:ind w:left="140"/>
              <w:spacing w:after="0" w:line="189" w:lineRule="exact"/>
              <w:rPr>
                <w:sz w:val="20"/>
                <w:szCs w:val="20"/>
                <w:color w:val="auto"/>
              </w:rPr>
            </w:pPr>
            <w:r>
              <w:rPr>
                <w:rFonts w:ascii="Arial" w:cs="Arial" w:eastAsia="Arial" w:hAnsi="Arial"/>
                <w:sz w:val="18"/>
                <w:szCs w:val="18"/>
                <w:color w:val="auto"/>
              </w:rPr>
              <w:t>Less: net income (loss) attributable to redeemable non-controlling</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on common stock of T. Rowe Price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ind w:right="3560"/>
        <w:spacing w:after="0" w:line="287"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shd w:val="clear" w:color="auto" w:fill="CCEEFF"/>
          </w:tcPr>
          <w:p>
            <w:pPr>
              <w:spacing w:after="0"/>
              <w:rPr>
                <w:sz w:val="16"/>
                <w:szCs w:val="16"/>
                <w:color w:val="auto"/>
              </w:rPr>
            </w:pPr>
          </w:p>
        </w:tc>
        <w:tc>
          <w:tcPr>
            <w:tcW w:w="2960" w:type="dxa"/>
            <w:vAlign w:val="bottom"/>
            <w:tcBorders>
              <w:bottom w:val="single" w:sz="8" w:color="auto"/>
            </w:tcBorders>
            <w:gridSpan w:val="2"/>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6"/>
                <w:szCs w:val="16"/>
                <w:color w:val="auto"/>
              </w:rPr>
            </w:pPr>
          </w:p>
        </w:tc>
        <w:tc>
          <w:tcPr>
            <w:tcW w:w="2760" w:type="dxa"/>
            <w:vAlign w:val="bottom"/>
            <w:tcBorders>
              <w:bottom w:val="single" w:sz="8" w:color="auto"/>
            </w:tcBorders>
            <w:gridSpan w:val="2"/>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68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6/30/2021</w:t>
            </w:r>
          </w:p>
        </w:tc>
        <w:tc>
          <w:tcPr>
            <w:tcW w:w="1480" w:type="dxa"/>
            <w:vAlign w:val="bottom"/>
          </w:tcPr>
          <w:p>
            <w:pPr>
              <w:jc w:val="right"/>
              <w:ind w:right="328"/>
              <w:spacing w:after="0"/>
              <w:rPr>
                <w:sz w:val="20"/>
                <w:szCs w:val="20"/>
                <w:color w:val="auto"/>
              </w:rPr>
            </w:pPr>
            <w:r>
              <w:rPr>
                <w:rFonts w:ascii="Arial" w:cs="Arial" w:eastAsia="Arial" w:hAnsi="Arial"/>
                <w:sz w:val="14"/>
                <w:szCs w:val="14"/>
                <w:b w:val="1"/>
                <w:bCs w:val="1"/>
                <w:color w:val="auto"/>
              </w:rPr>
              <w:t>6/30/2020</w:t>
            </w:r>
          </w:p>
        </w:tc>
        <w:tc>
          <w:tcPr>
            <w:tcW w:w="120" w:type="dxa"/>
            <w:vAlign w:val="bottom"/>
          </w:tcPr>
          <w:p>
            <w:pPr>
              <w:spacing w:after="0"/>
              <w:rPr>
                <w:sz w:val="16"/>
                <w:szCs w:val="16"/>
                <w:color w:val="auto"/>
              </w:rPr>
            </w:pPr>
          </w:p>
        </w:tc>
        <w:tc>
          <w:tcPr>
            <w:tcW w:w="1380" w:type="dxa"/>
            <w:vAlign w:val="bottom"/>
          </w:tcPr>
          <w:p>
            <w:pPr>
              <w:jc w:val="right"/>
              <w:ind w:right="328"/>
              <w:spacing w:after="0"/>
              <w:rPr>
                <w:sz w:val="20"/>
                <w:szCs w:val="20"/>
                <w:color w:val="auto"/>
              </w:rPr>
            </w:pPr>
            <w:r>
              <w:rPr>
                <w:rFonts w:ascii="Arial" w:cs="Arial" w:eastAsia="Arial" w:hAnsi="Arial"/>
                <w:sz w:val="14"/>
                <w:szCs w:val="14"/>
                <w:b w:val="1"/>
                <w:bCs w:val="1"/>
                <w:color w:val="auto"/>
              </w:rPr>
              <w:t>6/30/2021</w:t>
            </w: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6/30/2020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5"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translation adjustments</w:t>
      </w:r>
    </w:p>
    <w:p>
      <w:pPr>
        <w:spacing w:after="0" w:line="63" w:lineRule="exact"/>
        <w:rPr>
          <w:sz w:val="20"/>
          <w:szCs w:val="20"/>
          <w:color w:val="auto"/>
        </w:rPr>
      </w:pPr>
    </w:p>
    <w:p>
      <w:pPr>
        <w:ind w:left="220" w:right="700"/>
        <w:spacing w:after="0" w:line="261" w:lineRule="auto"/>
        <w:rPr>
          <w:sz w:val="20"/>
          <w:szCs w:val="20"/>
          <w:color w:val="auto"/>
        </w:rPr>
      </w:pPr>
      <w:r>
        <w:rPr>
          <w:rFonts w:ascii="Arial" w:cs="Arial" w:eastAsia="Arial" w:hAnsi="Arial"/>
          <w:sz w:val="18"/>
          <w:szCs w:val="18"/>
          <w:color w:val="auto"/>
        </w:rPr>
        <w:t>Consolidated T. Rowe Price investment products -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6" w:lineRule="exact"/>
        <w:rPr>
          <w:sz w:val="20"/>
          <w:szCs w:val="20"/>
          <w:color w:val="auto"/>
        </w:rPr>
      </w:pPr>
    </w:p>
    <w:p>
      <w:pPr>
        <w:ind w:left="220" w:right="260"/>
        <w:spacing w:after="0" w:line="261" w:lineRule="auto"/>
        <w:rPr>
          <w:sz w:val="20"/>
          <w:szCs w:val="20"/>
          <w:color w:val="auto"/>
        </w:rPr>
      </w:pPr>
      <w:r>
        <w:rPr>
          <w:rFonts w:ascii="Arial" w:cs="Arial" w:eastAsia="Arial" w:hAnsi="Arial"/>
          <w:sz w:val="18"/>
          <w:szCs w:val="18"/>
          <w:color w:val="auto"/>
        </w:rPr>
        <w:t>Reclassification gains recognized in non-operating income upon deconsolidation of certain T. Rowe Price investment products</w:t>
      </w:r>
    </w:p>
    <w:p>
      <w:pPr>
        <w:spacing w:after="0" w:line="36" w:lineRule="exact"/>
        <w:rPr>
          <w:sz w:val="20"/>
          <w:szCs w:val="20"/>
          <w:color w:val="auto"/>
        </w:rPr>
      </w:pPr>
    </w:p>
    <w:p>
      <w:pPr>
        <w:ind w:left="220" w:right="380"/>
        <w:spacing w:after="0" w:line="261" w:lineRule="auto"/>
        <w:rPr>
          <w:sz w:val="20"/>
          <w:szCs w:val="20"/>
          <w:color w:val="auto"/>
        </w:rPr>
      </w:pPr>
      <w:r>
        <w:rPr>
          <w:rFonts w:ascii="Arial" w:cs="Arial" w:eastAsia="Arial" w:hAnsi="Arial"/>
          <w:sz w:val="18"/>
          <w:szCs w:val="18"/>
          <w:color w:val="auto"/>
        </w:rPr>
        <w:t>Total currency translation adjustments of consolidated T. Rowe Price investment products -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Equity method investments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deferred tax (expense) benefits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140" w:right="480"/>
        <w:spacing w:after="0" w:line="261" w:lineRule="auto"/>
        <w:rPr>
          <w:sz w:val="20"/>
          <w:szCs w:val="20"/>
          <w:color w:val="auto"/>
        </w:rPr>
      </w:pPr>
      <w:r>
        <w:rPr>
          <w:rFonts w:ascii="Arial" w:cs="Arial" w:eastAsia="Arial" w:hAnsi="Arial"/>
          <w:sz w:val="18"/>
          <w:szCs w:val="18"/>
          <w:color w:val="auto"/>
        </w:rPr>
        <w:t>Less: comprehensive income (loss) attributable to redeemable non-controlling interests</w:t>
      </w:r>
    </w:p>
    <w:p>
      <w:pPr>
        <w:spacing w:after="0" w:line="36"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8"/>
          <w:szCs w:val="18"/>
          <w:color w:val="auto"/>
        </w:rPr>
        <w:t>Total comprehensive income attributable to T. Rowe Price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tabs>
          <w:tab w:leader="none" w:pos="640" w:val="left"/>
          <w:tab w:leader="none" w:pos="1520" w:val="left"/>
          <w:tab w:leader="none" w:pos="2180" w:val="left"/>
          <w:tab w:leader="none" w:pos="2820" w:val="left"/>
          <w:tab w:leader="none" w:pos="3620" w:val="left"/>
          <w:tab w:leader="none" w:pos="4400" w:val="left"/>
        </w:tabs>
        <w:rPr>
          <w:sz w:val="20"/>
          <w:szCs w:val="20"/>
          <w:color w:val="auto"/>
        </w:rPr>
      </w:pPr>
      <w:r>
        <w:rPr>
          <w:rFonts w:ascii="Arial" w:cs="Arial" w:eastAsia="Arial" w:hAnsi="Arial"/>
          <w:sz w:val="18"/>
          <w:szCs w:val="18"/>
          <w:color w:val="auto"/>
        </w:rPr>
        <w:t>842.7</w:t>
        <w:tab/>
        <w:t>$</w:t>
      </w:r>
      <w:r>
        <w:rPr>
          <w:sz w:val="20"/>
          <w:szCs w:val="20"/>
          <w:color w:val="auto"/>
        </w:rPr>
        <w:tab/>
      </w:r>
      <w:r>
        <w:rPr>
          <w:rFonts w:ascii="Arial" w:cs="Arial" w:eastAsia="Arial" w:hAnsi="Arial"/>
          <w:sz w:val="18"/>
          <w:szCs w:val="18"/>
          <w:color w:val="auto"/>
        </w:rPr>
        <w:t>728.5</w:t>
        <w:tab/>
        <w:t>$</w:t>
      </w:r>
      <w:r>
        <w:rPr>
          <w:sz w:val="20"/>
          <w:szCs w:val="20"/>
          <w:color w:val="auto"/>
        </w:rPr>
        <w:tab/>
      </w:r>
      <w:r>
        <w:rPr>
          <w:rFonts w:ascii="Arial" w:cs="Arial" w:eastAsia="Arial" w:hAnsi="Arial"/>
          <w:sz w:val="18"/>
          <w:szCs w:val="18"/>
          <w:color w:val="auto"/>
        </w:rPr>
        <w:t>1,607.5</w:t>
        <w:tab/>
        <w:t>$</w:t>
      </w:r>
      <w:r>
        <w:rPr>
          <w:sz w:val="20"/>
          <w:szCs w:val="20"/>
          <w:color w:val="auto"/>
        </w:rPr>
        <w:tab/>
      </w:r>
      <w:r>
        <w:rPr>
          <w:rFonts w:ascii="Arial" w:cs="Arial" w:eastAsia="Arial" w:hAnsi="Arial"/>
          <w:sz w:val="17"/>
          <w:szCs w:val="17"/>
          <w:color w:val="auto"/>
        </w:rPr>
        <w:t>895.1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6350</wp:posOffset>
            </wp:positionV>
            <wp:extent cx="3711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86"/>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66"/>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5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50"/>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412"/>
        </w:trPr>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848.3</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735.7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1,593.8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879.0</w:t>
            </w:r>
          </w:p>
        </w:tc>
      </w:tr>
      <w:tr>
        <w:trPr>
          <w:trHeight w:val="486"/>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30.8</w:t>
            </w: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r>
      <w:tr>
        <w:trPr>
          <w:trHeight w:val="223"/>
        </w:trPr>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817.5</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936.9</w:t>
            </w:r>
          </w:p>
        </w:tc>
      </w:tr>
      <w:tr>
        <w:trPr>
          <w:trHeight w:val="21"/>
        </w:trPr>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-33655</wp:posOffset>
            </wp:positionV>
            <wp:extent cx="9086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-7620</wp:posOffset>
            </wp:positionV>
            <wp:extent cx="9086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-187960</wp:posOffset>
            </wp:positionV>
            <wp:extent cx="9086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-942340</wp:posOffset>
            </wp:positionV>
            <wp:extent cx="9086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-1285240</wp:posOffset>
            </wp:positionV>
            <wp:extent cx="9086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-1765300</wp:posOffset>
            </wp:positionV>
            <wp:extent cx="9086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4940"/>
          </w:cols>
          <w:pgMar w:left="320" w:top="927"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ind w:right="4700"/>
        <w:spacing w:after="0" w:line="287"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auto"/>
            </w:tcBorders>
            <w:gridSpan w:val="4"/>
            <w:shd w:val="clear" w:color="auto" w:fill="CCEEFF"/>
          </w:tcPr>
          <w:p>
            <w:pPr>
              <w:jc w:val="right"/>
              <w:ind w:right="7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8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6/30/2020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1,607.5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895.1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(gains) losses recognized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Net (investments) redemptions in T. Rowe Price investment products used to economically hedge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Dispositions of T. Rowe Price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of T. Rowe Price investment products on deconsolidation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(1,027.1)</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stockholders of T. Rowe Price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188"/>
        </w:trPr>
        <w:tc>
          <w:tcPr>
            <w:tcW w:w="824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at beginning of period, including $104.8 million at December 31, 2020, and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$76.5 million at December 31, 2019, held by consolidated T. Rowe Price investment products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0" w:type="dxa"/>
            <w:vAlign w:val="bottom"/>
          </w:tcPr>
          <w:p>
            <w:pPr>
              <w:spacing w:after="0"/>
              <w:rPr>
                <w:sz w:val="1"/>
                <w:szCs w:val="1"/>
                <w:color w:val="auto"/>
              </w:rPr>
            </w:pPr>
          </w:p>
        </w:tc>
      </w:tr>
      <w:tr>
        <w:trPr>
          <w:trHeight w:val="168"/>
        </w:trPr>
        <w:tc>
          <w:tcPr>
            <w:tcW w:w="82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Cash and cash equivalents at end of period, including $56.1 million at June 30, 2021, and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3,571.0</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$124.8 million at June 30, 2020, held by consolidated T. Rowe Price investment products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ind w:right="360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5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gridSpan w:val="7"/>
            <w:shd w:val="clear" w:color="auto" w:fill="CCEEFF"/>
          </w:tcPr>
          <w:p>
            <w:pPr>
              <w:ind w:left="160"/>
              <w:spacing w:after="0"/>
              <w:rPr>
                <w:sz w:val="20"/>
                <w:szCs w:val="20"/>
                <w:color w:val="auto"/>
              </w:rPr>
            </w:pPr>
            <w:r>
              <w:rPr>
                <w:rFonts w:ascii="Arial" w:cs="Arial" w:eastAsia="Arial" w:hAnsi="Arial"/>
                <w:sz w:val="13"/>
                <w:szCs w:val="13"/>
                <w:b w:val="1"/>
                <w:bCs w:val="1"/>
                <w:color w:val="auto"/>
                <w:w w:val="97"/>
              </w:rPr>
              <w:t>Three months ended 6/30/2021</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50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60"/>
              <w:spacing w:after="0" w:line="115"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0"/>
                <w:szCs w:val="10"/>
                <w:color w:val="auto"/>
              </w:rPr>
            </w:pPr>
          </w:p>
        </w:tc>
        <w:tc>
          <w:tcPr>
            <w:tcW w:w="840" w:type="dxa"/>
            <w:vAlign w:val="bottom"/>
          </w:tcPr>
          <w:p>
            <w:pPr>
              <w:jc w:val="center"/>
              <w:ind w:right="30"/>
              <w:spacing w:after="0" w:line="115"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1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00" w:type="dxa"/>
            <w:vAlign w:val="bottom"/>
            <w:gridSpan w:val="3"/>
            <w:vMerge w:val="continue"/>
          </w:tcPr>
          <w:p>
            <w:pPr>
              <w:spacing w:after="0"/>
              <w:rPr>
                <w:sz w:val="10"/>
                <w:szCs w:val="10"/>
                <w:color w:val="auto"/>
              </w:rPr>
            </w:pP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0"/>
                <w:szCs w:val="10"/>
                <w:color w:val="auto"/>
              </w:rPr>
            </w:pPr>
          </w:p>
        </w:tc>
        <w:tc>
          <w:tcPr>
            <w:tcW w:w="6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0"/>
                <w:szCs w:val="10"/>
                <w:color w:val="auto"/>
              </w:rPr>
            </w:pPr>
          </w:p>
        </w:tc>
        <w:tc>
          <w:tcPr>
            <w:tcW w:w="84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5"/>
                <w:szCs w:val="15"/>
                <w:color w:val="auto"/>
              </w:rPr>
            </w:pPr>
          </w:p>
        </w:tc>
        <w:tc>
          <w:tcPr>
            <w:tcW w:w="840" w:type="dxa"/>
            <w:vAlign w:val="bottom"/>
          </w:tcPr>
          <w:p>
            <w:pPr>
              <w:jc w:val="center"/>
              <w:ind w:right="1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March 31, 2021</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226,948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$ 7,338.7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8,008.2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1,012.9</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815.7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Dividends declared ($1.08 per share)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Special cash dividend declared ($3.00 per share)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Balances at June 30, 2021</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226,925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673.7</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7,202.6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7,893.0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880.4</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5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ind w:left="160"/>
              <w:spacing w:after="0"/>
              <w:rPr>
                <w:sz w:val="20"/>
                <w:szCs w:val="20"/>
                <w:color w:val="auto"/>
              </w:rPr>
            </w:pPr>
            <w:r>
              <w:rPr>
                <w:rFonts w:ascii="Arial" w:cs="Arial" w:eastAsia="Arial" w:hAnsi="Arial"/>
                <w:sz w:val="13"/>
                <w:szCs w:val="13"/>
                <w:b w:val="1"/>
                <w:bCs w:val="1"/>
                <w:color w:val="auto"/>
                <w:w w:val="97"/>
              </w:rPr>
              <w:t>Three months ended 6/30/2020</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ind w:right="30"/>
              <w:spacing w:after="0" w:line="119"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1"/>
        </w:trPr>
        <w:tc>
          <w:tcPr>
            <w:tcW w:w="550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70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00" w:type="dxa"/>
            <w:vAlign w:val="bottom"/>
            <w:gridSpan w:val="3"/>
            <w:shd w:val="clear" w:color="auto" w:fill="CCEEFF"/>
          </w:tcPr>
          <w:p>
            <w:pPr>
              <w:jc w:val="center"/>
              <w:ind w:right="6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ind w:right="1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5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00" w:type="dxa"/>
            <w:vAlign w:val="bottom"/>
            <w:gridSpan w:val="3"/>
            <w:vMerge w:val="continue"/>
            <w:shd w:val="clear" w:color="auto" w:fill="CCEEFF"/>
          </w:tcPr>
          <w:p>
            <w:pPr>
              <w:spacing w:after="0"/>
              <w:rPr>
                <w:sz w:val="10"/>
                <w:szCs w:val="10"/>
                <w:color w:val="auto"/>
              </w:rPr>
            </w:pPr>
          </w:p>
        </w:tc>
        <w:tc>
          <w:tcPr>
            <w:tcW w:w="800" w:type="dxa"/>
            <w:vAlign w:val="bottom"/>
            <w:gridSpan w:val="3"/>
            <w:shd w:val="clear" w:color="auto" w:fill="CCEEFF"/>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shd w:val="clear" w:color="auto" w:fill="CCEEFF"/>
          </w:tcPr>
          <w:p>
            <w:pPr>
              <w:spacing w:after="0"/>
              <w:rPr>
                <w:sz w:val="10"/>
                <w:szCs w:val="10"/>
                <w:color w:val="auto"/>
              </w:rPr>
            </w:pPr>
          </w:p>
        </w:tc>
        <w:tc>
          <w:tcPr>
            <w:tcW w:w="680" w:type="dxa"/>
            <w:vAlign w:val="bottom"/>
            <w:gridSpan w:val="3"/>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ind w:right="3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6"/>
        </w:trPr>
        <w:tc>
          <w:tcPr>
            <w:tcW w:w="55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00" w:type="dxa"/>
            <w:vAlign w:val="bottom"/>
            <w:gridSpan w:val="3"/>
            <w:shd w:val="clear" w:color="auto" w:fill="CCEEFF"/>
          </w:tcPr>
          <w:p>
            <w:pPr>
              <w:jc w:val="center"/>
              <w:ind w:right="6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3"/>
              </w:rPr>
              <w:t>equity</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right="1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Balances at March 31, 2020</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227,985</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$ 5,782.9</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6,434.0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971.0</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($0.90 per share)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Balances at June 30, 2020</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226,990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6,102.9</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6,750.7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1,090.1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6" w:name="page7"/>
    <w:bookmarkEnd w:id="6"/>
    <w:p>
      <w:pPr>
        <w:ind w:right="340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81"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514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gridSpan w:val="7"/>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Six months ended 6/30/2021</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14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80"/>
              <w:spacing w:after="0" w:line="115"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88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1"/>
        </w:trPr>
        <w:tc>
          <w:tcPr>
            <w:tcW w:w="5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14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rPr>
              <w:t>shares</w:t>
            </w:r>
          </w:p>
        </w:tc>
        <w:tc>
          <w:tcPr>
            <w:tcW w:w="700" w:type="dxa"/>
            <w:vAlign w:val="bottom"/>
            <w:gridSpan w:val="3"/>
            <w:vMerge w:val="continue"/>
          </w:tcPr>
          <w:p>
            <w:pPr>
              <w:spacing w:after="0"/>
              <w:rPr>
                <w:sz w:val="10"/>
                <w:szCs w:val="10"/>
                <w:color w:val="auto"/>
              </w:rPr>
            </w:pP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0"/>
                <w:szCs w:val="10"/>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0"/>
                <w:szCs w:val="10"/>
                <w:color w:val="auto"/>
              </w:rPr>
            </w:pPr>
          </w:p>
        </w:tc>
        <w:tc>
          <w:tcPr>
            <w:tcW w:w="78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equity</w:t>
            </w:r>
          </w:p>
        </w:tc>
        <w:tc>
          <w:tcPr>
            <w:tcW w:w="100" w:type="dxa"/>
            <w:vAlign w:val="bottom"/>
          </w:tcPr>
          <w:p>
            <w:pPr>
              <w:spacing w:after="0"/>
              <w:rPr>
                <w:sz w:val="15"/>
                <w:szCs w:val="15"/>
                <w:color w:val="auto"/>
              </w:rPr>
            </w:pPr>
          </w:p>
        </w:tc>
        <w:tc>
          <w:tcPr>
            <w:tcW w:w="780" w:type="dxa"/>
            <w:vAlign w:val="bottom"/>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2020</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227,965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$ 7,029.8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7,707.0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1,561.7</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1,565.1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1,565.1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Dividends declared ($2.16 per share)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Special cash dividend declared ($3.00 per share)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762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29.6</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113.9</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298.9</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(1,014.6)</w:t>
            </w:r>
          </w:p>
        </w:tc>
        <w:tc>
          <w:tcPr>
            <w:tcW w:w="0" w:type="dxa"/>
            <w:vAlign w:val="bottom"/>
          </w:tcPr>
          <w:p>
            <w:pPr>
              <w:spacing w:after="0"/>
              <w:rPr>
                <w:sz w:val="1"/>
                <w:szCs w:val="1"/>
                <w:color w:val="auto"/>
              </w:rPr>
            </w:pP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color w:val="auto"/>
              </w:rPr>
              <w:t>Balances at June 30, 2021</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226,925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673.7</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7,202.6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7,893.0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880.4</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3"/>
                <w:szCs w:val="13"/>
                <w:b w:val="1"/>
                <w:bCs w:val="1"/>
                <w:color w:val="auto"/>
              </w:rPr>
              <w:t>Six months ended 6/30/2020</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880" w:type="dxa"/>
            <w:vAlign w:val="bottom"/>
            <w:gridSpan w:val="2"/>
            <w:shd w:val="clear" w:color="auto" w:fill="CCEEFF"/>
          </w:tcPr>
          <w:p>
            <w:pPr>
              <w:jc w:val="center"/>
              <w:spacing w:after="0" w:line="119"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514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70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rPr>
              <w:t>Retained</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center"/>
              <w:ind w:right="3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1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b w:val="1"/>
                <w:bCs w:val="1"/>
                <w:color w:val="auto"/>
              </w:rPr>
              <w:t>shares</w:t>
            </w:r>
          </w:p>
        </w:tc>
        <w:tc>
          <w:tcPr>
            <w:tcW w:w="700" w:type="dxa"/>
            <w:vAlign w:val="bottom"/>
            <w:gridSpan w:val="3"/>
            <w:vMerge w:val="continue"/>
            <w:shd w:val="clear" w:color="auto" w:fill="CCEEFF"/>
          </w:tcPr>
          <w:p>
            <w:pPr>
              <w:spacing w:after="0"/>
              <w:rPr>
                <w:sz w:val="10"/>
                <w:szCs w:val="10"/>
                <w:color w:val="auto"/>
              </w:rPr>
            </w:pPr>
          </w:p>
        </w:tc>
        <w:tc>
          <w:tcPr>
            <w:tcW w:w="820" w:type="dxa"/>
            <w:vAlign w:val="bottom"/>
            <w:gridSpan w:val="3"/>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shd w:val="clear" w:color="auto" w:fill="CCEEFF"/>
          </w:tcPr>
          <w:p>
            <w:pPr>
              <w:spacing w:after="0"/>
              <w:rPr>
                <w:sz w:val="10"/>
                <w:szCs w:val="10"/>
                <w:color w:val="auto"/>
              </w:rPr>
            </w:pPr>
          </w:p>
        </w:tc>
        <w:tc>
          <w:tcPr>
            <w:tcW w:w="680" w:type="dxa"/>
            <w:vAlign w:val="bottom"/>
            <w:gridSpan w:val="3"/>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center"/>
              <w:ind w:right="3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5"/>
        </w:trPr>
        <w:tc>
          <w:tcPr>
            <w:tcW w:w="5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9"/>
              </w:rPr>
              <w:t>equity</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color w:val="auto"/>
              </w:rPr>
              <w:t>Balances at December 31, 2019</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235,214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$ 6,443.5</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7,102.1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1,121.0</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946.1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($1.80 per share)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1,364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56.9</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57.2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Forfeiture of restricted awards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111.6</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111.6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(9,639)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(165.3)</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08"/>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2020</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226,990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6,102.9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6,750.7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120" w:hanging="112"/>
        <w:spacing w:after="0"/>
        <w:tabs>
          <w:tab w:leader="none" w:pos="120" w:val="left"/>
        </w:tabs>
        <w:numPr>
          <w:ilvl w:val="0"/>
          <w:numId w:val="4"/>
        </w:numPr>
        <w:rPr>
          <w:rFonts w:ascii="Arial" w:cs="Arial" w:eastAsia="Arial" w:hAnsi="Arial"/>
          <w:sz w:val="7"/>
          <w:szCs w:val="7"/>
          <w:i w:val="1"/>
          <w:iCs w:val="1"/>
          <w:color w:val="auto"/>
        </w:rPr>
      </w:pPr>
      <w:r>
        <w:rPr>
          <w:rFonts w:ascii="Arial" w:cs="Arial" w:eastAsia="Arial" w:hAnsi="Arial"/>
          <w:sz w:val="11"/>
          <w:szCs w:val="11"/>
          <w:i w:val="1"/>
          <w:iCs w:val="1"/>
          <w:color w:val="auto"/>
        </w:rPr>
        <w:t>Accumulated other comprehensive income.</w:t>
      </w: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86"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7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 Rowe Price products. The other 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and other multi-asset solutions for providers to implement.</w:t>
      </w:r>
    </w:p>
    <w:p>
      <w:pPr>
        <w:spacing w:after="0" w:line="23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23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2020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considered all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NOTE 2 – INFORMATION ABOUT RECEIVABLES, REVENUES, AND SERVICES.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under agreements with clients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11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13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Three months ended 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15875</wp:posOffset>
            </wp:positionV>
            <wp:extent cx="28975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8" w:lineRule="exact"/>
        <w:rPr>
          <w:sz w:val="20"/>
          <w:szCs w:val="20"/>
          <w:color w:val="auto"/>
        </w:rPr>
      </w:pPr>
    </w:p>
    <w:p>
      <w:pPr>
        <w:ind w:left="3260"/>
        <w:spacing w:after="0"/>
        <w:rPr>
          <w:sz w:val="20"/>
          <w:szCs w:val="20"/>
          <w:color w:val="auto"/>
        </w:rPr>
      </w:pPr>
      <w:r>
        <w:rPr>
          <w:rFonts w:ascii="Arial" w:cs="Arial" w:eastAsia="Arial" w:hAnsi="Arial"/>
          <w:sz w:val="13"/>
          <w:szCs w:val="13"/>
          <w:b w:val="1"/>
          <w:bCs w:val="1"/>
          <w:color w:val="auto"/>
        </w:rPr>
        <w:t>Administrative, distribution, and</w:t>
      </w:r>
    </w:p>
    <w:p>
      <w:pPr>
        <w:ind w:left="3820"/>
        <w:spacing w:after="0"/>
        <w:rPr>
          <w:sz w:val="20"/>
          <w:szCs w:val="20"/>
          <w:color w:val="auto"/>
        </w:rPr>
      </w:pPr>
      <w:r>
        <w:rPr>
          <w:rFonts w:ascii="Arial" w:cs="Arial" w:eastAsia="Arial" w:hAnsi="Arial"/>
          <w:sz w:val="13"/>
          <w:szCs w:val="13"/>
          <w:b w:val="1"/>
          <w:bCs w:val="1"/>
          <w:color w:val="auto"/>
        </w:rPr>
        <w:t>servicing fees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Three months ended 6/30/2020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15875</wp:posOffset>
            </wp:positionV>
            <wp:extent cx="29146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Administrative, distribution, and</w:t>
      </w:r>
    </w:p>
    <w:p>
      <w:pPr>
        <w:ind w:left="560"/>
        <w:spacing w:after="0"/>
        <w:rPr>
          <w:sz w:val="20"/>
          <w:szCs w:val="20"/>
          <w:color w:val="auto"/>
        </w:rPr>
      </w:pPr>
      <w:r>
        <w:rPr>
          <w:rFonts w:ascii="Arial" w:cs="Arial" w:eastAsia="Arial" w:hAnsi="Arial"/>
          <w:sz w:val="13"/>
          <w:szCs w:val="13"/>
          <w:b w:val="1"/>
          <w:bCs w:val="1"/>
          <w:color w:val="auto"/>
        </w:rPr>
        <w:t>servicing fees</w:t>
      </w:r>
    </w:p>
    <w:p>
      <w:pPr>
        <w:spacing w:after="0" w:line="7" w:lineRule="exact"/>
        <w:rPr>
          <w:sz w:val="20"/>
          <w:szCs w:val="20"/>
          <w:color w:val="auto"/>
        </w:rPr>
      </w:pPr>
    </w:p>
    <w:p>
      <w:pPr>
        <w:sectPr>
          <w:pgSz w:w="11900" w:h="16838" w:orient="portrait"/>
          <w:cols w:equalWidth="0" w:num="2">
            <w:col w:w="7220" w:space="720"/>
            <w:col w:w="3300"/>
          </w:cols>
          <w:pgMar w:left="320" w:top="886"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198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gridSpan w:val="2"/>
            <w:shd w:val="clear" w:color="auto" w:fill="CCEEFF"/>
          </w:tcPr>
          <w:p>
            <w:pPr>
              <w:jc w:val="center"/>
              <w:ind w:right="240"/>
              <w:spacing w:after="0" w:line="131" w:lineRule="exact"/>
              <w:rPr>
                <w:sz w:val="20"/>
                <w:szCs w:val="20"/>
                <w:color w:val="auto"/>
              </w:rPr>
            </w:pPr>
            <w:r>
              <w:rPr>
                <w:rFonts w:ascii="Arial" w:cs="Arial" w:eastAsia="Arial" w:hAnsi="Arial"/>
                <w:sz w:val="13"/>
                <w:szCs w:val="13"/>
                <w:b w:val="1"/>
                <w:bCs w:val="1"/>
                <w:color w:val="auto"/>
                <w:w w:val="99"/>
              </w:rPr>
              <w:t>Investment</w:t>
            </w:r>
          </w:p>
        </w:tc>
        <w:tc>
          <w:tcPr>
            <w:tcW w:w="1360" w:type="dxa"/>
            <w:vAlign w:val="bottom"/>
            <w:tcBorders>
              <w:top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0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Distribution and</w:t>
            </w:r>
          </w:p>
        </w:tc>
        <w:tc>
          <w:tcPr>
            <w:tcW w:w="1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gridSpan w:val="3"/>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Net revenues</w:t>
            </w:r>
          </w:p>
        </w:tc>
        <w:tc>
          <w:tcPr>
            <w:tcW w:w="1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gridSpan w:val="2"/>
            <w:shd w:val="clear" w:color="auto" w:fill="CCEEFF"/>
          </w:tcPr>
          <w:p>
            <w:pPr>
              <w:jc w:val="center"/>
              <w:ind w:right="220"/>
              <w:spacing w:after="0" w:line="131" w:lineRule="exact"/>
              <w:rPr>
                <w:sz w:val="20"/>
                <w:szCs w:val="20"/>
                <w:color w:val="auto"/>
              </w:rPr>
            </w:pPr>
            <w:r>
              <w:rPr>
                <w:rFonts w:ascii="Arial" w:cs="Arial" w:eastAsia="Arial" w:hAnsi="Arial"/>
                <w:sz w:val="13"/>
                <w:szCs w:val="13"/>
                <w:b w:val="1"/>
                <w:bCs w:val="1"/>
                <w:color w:val="auto"/>
                <w:w w:val="99"/>
              </w:rPr>
              <w:t>Investment</w:t>
            </w:r>
          </w:p>
        </w:tc>
        <w:tc>
          <w:tcPr>
            <w:tcW w:w="1380" w:type="dxa"/>
            <w:vAlign w:val="bottom"/>
            <w:tcBorders>
              <w:top w:val="single" w:sz="8" w:color="auto"/>
            </w:tcBorders>
            <w:gridSpan w:val="3"/>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Administrative fees</w:t>
            </w:r>
          </w:p>
        </w:tc>
        <w:tc>
          <w:tcPr>
            <w:tcW w:w="10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Distribution and</w:t>
            </w: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62"/>
        </w:trPr>
        <w:tc>
          <w:tcPr>
            <w:tcW w:w="1980" w:type="dxa"/>
            <w:vAlign w:val="bottom"/>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360" w:type="dxa"/>
            <w:vAlign w:val="bottom"/>
            <w:gridSpan w:val="3"/>
            <w:vMerge w:val="continue"/>
            <w:shd w:val="clear" w:color="auto" w:fill="CCEEFF"/>
          </w:tcPr>
          <w:p>
            <w:pPr>
              <w:spacing w:after="0"/>
              <w:rPr>
                <w:sz w:val="14"/>
                <w:szCs w:val="14"/>
                <w:color w:val="auto"/>
              </w:rPr>
            </w:pPr>
          </w:p>
        </w:tc>
        <w:tc>
          <w:tcPr>
            <w:tcW w:w="114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1080" w:type="dxa"/>
            <w:vAlign w:val="bottom"/>
            <w:gridSpan w:val="3"/>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b w:val="1"/>
                <w:bCs w:val="1"/>
                <w:color w:val="auto"/>
              </w:rPr>
              <w:t>advisory fees</w:t>
            </w:r>
          </w:p>
        </w:tc>
        <w:tc>
          <w:tcPr>
            <w:tcW w:w="1380" w:type="dxa"/>
            <w:vAlign w:val="bottom"/>
            <w:gridSpan w:val="3"/>
            <w:vMerge w:val="continue"/>
            <w:shd w:val="clear" w:color="auto" w:fill="CCEEFF"/>
          </w:tcPr>
          <w:p>
            <w:pPr>
              <w:spacing w:after="0"/>
              <w:rPr>
                <w:sz w:val="14"/>
                <w:szCs w:val="14"/>
                <w:color w:val="auto"/>
              </w:rPr>
            </w:pPr>
          </w:p>
        </w:tc>
        <w:tc>
          <w:tcPr>
            <w:tcW w:w="116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1,097.5</w:t>
            </w:r>
          </w:p>
        </w:tc>
        <w:tc>
          <w:tcPr>
            <w:tcW w:w="100" w:type="dxa"/>
            <w:vAlign w:val="bottom"/>
          </w:tcPr>
          <w:p>
            <w:pPr>
              <w:spacing w:after="0"/>
              <w:rPr>
                <w:sz w:val="17"/>
                <w:szCs w:val="17"/>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1,209.3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823.1</w:t>
            </w:r>
          </w:p>
        </w:tc>
        <w:tc>
          <w:tcPr>
            <w:tcW w:w="100" w:type="dxa"/>
            <w:vAlign w:val="bottom"/>
          </w:tcPr>
          <w:p>
            <w:pPr>
              <w:spacing w:after="0"/>
              <w:rPr>
                <w:sz w:val="17"/>
                <w:szCs w:val="17"/>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918.2</w:t>
            </w: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separate accounts,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collective investment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trusts, and other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products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689.7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470.7</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Other clients</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32"/>
        </w:trPr>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1,787.2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1,415.4</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2340" w:type="dxa"/>
            <w:vAlign w:val="bottom"/>
            <w:tcBorders>
              <w:bottom w:val="single" w:sz="8" w:color="auto"/>
            </w:tcBorders>
            <w:gridSpan w:val="5"/>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Six months ended 6/30/2021</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238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Six months ended 6/30/2020</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gridSpan w:val="5"/>
          </w:tcPr>
          <w:p>
            <w:pPr>
              <w:jc w:val="center"/>
              <w:ind w:right="260"/>
              <w:spacing w:after="0" w:line="129" w:lineRule="exact"/>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80" w:type="dxa"/>
            <w:vAlign w:val="bottom"/>
            <w:gridSpan w:val="5"/>
          </w:tcPr>
          <w:p>
            <w:pPr>
              <w:jc w:val="center"/>
              <w:ind w:right="260"/>
              <w:spacing w:after="0" w:line="129" w:lineRule="exact"/>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346"/>
              <w:spacing w:after="0"/>
              <w:rPr>
                <w:sz w:val="20"/>
                <w:szCs w:val="20"/>
                <w:color w:val="auto"/>
              </w:rPr>
            </w:pPr>
            <w:r>
              <w:rPr>
                <w:rFonts w:ascii="Arial" w:cs="Arial" w:eastAsia="Arial" w:hAnsi="Arial"/>
                <w:sz w:val="13"/>
                <w:szCs w:val="13"/>
                <w:b w:val="1"/>
                <w:bCs w:val="1"/>
                <w:color w:val="auto"/>
              </w:rPr>
              <w:t>servicing fees</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366"/>
              <w:spacing w:after="0"/>
              <w:rPr>
                <w:sz w:val="20"/>
                <w:szCs w:val="20"/>
                <w:color w:val="auto"/>
              </w:rPr>
            </w:pPr>
            <w:r>
              <w:rPr>
                <w:rFonts w:ascii="Arial" w:cs="Arial" w:eastAsia="Arial" w:hAnsi="Arial"/>
                <w:sz w:val="13"/>
                <w:szCs w:val="13"/>
                <w:b w:val="1"/>
                <w:bCs w:val="1"/>
                <w:color w:val="auto"/>
              </w:rPr>
              <w:t>servicing fees</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40"/>
              <w:spacing w:after="0" w:line="129" w:lineRule="exact"/>
              <w:rPr>
                <w:sz w:val="20"/>
                <w:szCs w:val="20"/>
                <w:color w:val="auto"/>
              </w:rPr>
            </w:pPr>
            <w:r>
              <w:rPr>
                <w:rFonts w:ascii="Arial" w:cs="Arial" w:eastAsia="Arial" w:hAnsi="Arial"/>
                <w:sz w:val="13"/>
                <w:szCs w:val="13"/>
                <w:b w:val="1"/>
                <w:bCs w:val="1"/>
                <w:color w:val="auto"/>
                <w:w w:val="99"/>
              </w:rPr>
              <w:t>Investment</w:t>
            </w:r>
          </w:p>
        </w:tc>
        <w:tc>
          <w:tcPr>
            <w:tcW w:w="136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140" w:type="dxa"/>
            <w:vAlign w:val="bottom"/>
            <w:gridSpan w:val="3"/>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Distribution and</w:t>
            </w:r>
          </w:p>
        </w:tc>
        <w:tc>
          <w:tcPr>
            <w:tcW w:w="1080" w:type="dxa"/>
            <w:vAlign w:val="bottom"/>
            <w:gridSpan w:val="3"/>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Net revenues</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20"/>
              <w:spacing w:after="0" w:line="129" w:lineRule="exact"/>
              <w:rPr>
                <w:sz w:val="20"/>
                <w:szCs w:val="20"/>
                <w:color w:val="auto"/>
              </w:rPr>
            </w:pPr>
            <w:r>
              <w:rPr>
                <w:rFonts w:ascii="Arial" w:cs="Arial" w:eastAsia="Arial" w:hAnsi="Arial"/>
                <w:sz w:val="13"/>
                <w:szCs w:val="13"/>
                <w:b w:val="1"/>
                <w:bCs w:val="1"/>
                <w:color w:val="auto"/>
                <w:w w:val="99"/>
              </w:rPr>
              <w:t>Investment</w:t>
            </w:r>
          </w:p>
        </w:tc>
        <w:tc>
          <w:tcPr>
            <w:tcW w:w="138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Administrative fees</w:t>
            </w:r>
          </w:p>
        </w:tc>
        <w:tc>
          <w:tcPr>
            <w:tcW w:w="1160" w:type="dxa"/>
            <w:vAlign w:val="bottom"/>
            <w:gridSpan w:val="3"/>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Distribution and</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62"/>
        </w:trPr>
        <w:tc>
          <w:tcPr>
            <w:tcW w:w="1980" w:type="dxa"/>
            <w:vAlign w:val="bottom"/>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360" w:type="dxa"/>
            <w:vAlign w:val="bottom"/>
            <w:gridSpan w:val="3"/>
            <w:vMerge w:val="continue"/>
            <w:shd w:val="clear" w:color="auto" w:fill="CCEEFF"/>
          </w:tcPr>
          <w:p>
            <w:pPr>
              <w:spacing w:after="0"/>
              <w:rPr>
                <w:sz w:val="14"/>
                <w:szCs w:val="14"/>
                <w:color w:val="auto"/>
              </w:rPr>
            </w:pPr>
          </w:p>
        </w:tc>
        <w:tc>
          <w:tcPr>
            <w:tcW w:w="114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1080" w:type="dxa"/>
            <w:vAlign w:val="bottom"/>
            <w:gridSpan w:val="3"/>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b w:val="1"/>
                <w:bCs w:val="1"/>
                <w:color w:val="auto"/>
              </w:rPr>
              <w:t>advisory fees</w:t>
            </w:r>
          </w:p>
        </w:tc>
        <w:tc>
          <w:tcPr>
            <w:tcW w:w="1380" w:type="dxa"/>
            <w:vAlign w:val="bottom"/>
            <w:gridSpan w:val="3"/>
            <w:vMerge w:val="continue"/>
            <w:shd w:val="clear" w:color="auto" w:fill="CCEEFF"/>
          </w:tcPr>
          <w:p>
            <w:pPr>
              <w:spacing w:after="0"/>
              <w:rPr>
                <w:sz w:val="14"/>
                <w:szCs w:val="14"/>
                <w:color w:val="auto"/>
              </w:rPr>
            </w:pPr>
          </w:p>
        </w:tc>
        <w:tc>
          <w:tcPr>
            <w:tcW w:w="116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2,147.7</w:t>
            </w:r>
          </w:p>
        </w:tc>
        <w:tc>
          <w:tcPr>
            <w:tcW w:w="10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17"/>
                <w:szCs w:val="17"/>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2,367.3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1,699.3</w:t>
            </w:r>
          </w:p>
        </w:tc>
        <w:tc>
          <w:tcPr>
            <w:tcW w:w="10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17"/>
                <w:szCs w:val="17"/>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1,899.5</w:t>
            </w: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separate accounts,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collective investment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trusts, and other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products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922.3</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Other clients</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32"/>
        </w:trPr>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2,878.0</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Other clients primarily include individuals, defined contribution plans, college savings plans, and institutions related to our non-discretionary advisory services.</w:t>
      </w:r>
    </w:p>
    <w:p>
      <w:pPr>
        <w:spacing w:after="0" w:line="2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Total net revenues earned from our related parties, specifically T. Rowe Price investment products, aggregate $ 1,571.9 million and $1,142.8 million for the three months ended June 30, 2021 and 2020, respectively. Total net revenues earned from these products during the six months ended June 30, 2021 and 2020 aggregate $3,054.2 million and $2,350.5 million, respectively. Accounts receivable from these products aggregate to $563.6 million at June 30, 2021, and $523.4 million at December 31, 2020.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80" w:type="dxa"/>
            <w:vAlign w:val="bottom"/>
            <w:gridSpan w:val="5"/>
            <w:shd w:val="clear" w:color="auto" w:fill="CCEEFF"/>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6"/>
                <w:szCs w:val="16"/>
                <w:color w:val="auto"/>
              </w:rPr>
            </w:pPr>
          </w:p>
        </w:tc>
        <w:tc>
          <w:tcPr>
            <w:tcW w:w="2160" w:type="dxa"/>
            <w:vAlign w:val="bottom"/>
            <w:gridSpan w:val="4"/>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6/30/2020</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1,114.3</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r>
      <w:tr>
        <w:trPr>
          <w:trHeight w:val="230"/>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w:t>
            </w:r>
          </w:p>
        </w:tc>
      </w:tr>
      <w:tr>
        <w:trPr>
          <w:trHeight w:val="223"/>
        </w:trPr>
        <w:tc>
          <w:tcPr>
            <w:tcW w:w="6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1,699.3</w:t>
            </w:r>
          </w:p>
        </w:tc>
      </w:tr>
      <w:tr>
        <w:trPr>
          <w:trHeight w:val="168"/>
        </w:trPr>
        <w:tc>
          <w:tcPr>
            <w:tcW w:w="6440" w:type="dxa"/>
            <w:vAlign w:val="bottom"/>
          </w:tcPr>
          <w:p>
            <w:pPr>
              <w:ind w:left="20"/>
              <w:spacing w:after="0" w:line="168" w:lineRule="exact"/>
              <w:rPr>
                <w:sz w:val="20"/>
                <w:szCs w:val="20"/>
                <w:color w:val="auto"/>
              </w:rPr>
            </w:pPr>
            <w:r>
              <w:rPr>
                <w:rFonts w:ascii="Arial" w:cs="Arial" w:eastAsia="Arial" w:hAnsi="Arial"/>
                <w:sz w:val="18"/>
                <w:szCs w:val="18"/>
                <w:color w:val="auto"/>
              </w:rPr>
              <w:t>Subadvised funds, separate accounts, collective investment trusts, and other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7"/>
        </w:trPr>
        <w:tc>
          <w:tcPr>
            <w:tcW w:w="644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r>
      <w:tr>
        <w:trPr>
          <w:trHeight w:val="223"/>
        </w:trPr>
        <w:tc>
          <w:tcPr>
            <w:tcW w:w="6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The following table summarizes the assets under management on which we earn investment advisory fees.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gridSpan w:val="5"/>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Average during</w:t>
            </w:r>
          </w:p>
        </w:tc>
        <w:tc>
          <w:tcPr>
            <w:tcW w:w="180" w:type="dxa"/>
            <w:vAlign w:val="bottom"/>
            <w:shd w:val="clear" w:color="auto" w:fill="CCEEFF"/>
          </w:tcPr>
          <w:p>
            <w:pPr>
              <w:spacing w:after="0"/>
              <w:rPr>
                <w:sz w:val="16"/>
                <w:szCs w:val="16"/>
                <w:color w:val="auto"/>
              </w:rPr>
            </w:pPr>
          </w:p>
        </w:tc>
        <w:tc>
          <w:tcPr>
            <w:tcW w:w="2260" w:type="dxa"/>
            <w:vAlign w:val="bottom"/>
            <w:gridSpan w:val="5"/>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Average during</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2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40" w:type="dxa"/>
            <w:vAlign w:val="bottom"/>
          </w:tcPr>
          <w:p>
            <w:pPr>
              <w:spacing w:after="0"/>
              <w:rPr>
                <w:sz w:val="16"/>
                <w:szCs w:val="16"/>
                <w:color w:val="auto"/>
              </w:rPr>
            </w:pPr>
          </w:p>
        </w:tc>
      </w:tr>
      <w:tr>
        <w:trPr>
          <w:trHeight w:val="18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12/31/2020</w:t>
            </w: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color w:val="auto"/>
              </w:rPr>
              <w:t>U.S. mutual funds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r>
      <w:tr>
        <w:trPr>
          <w:trHeight w:val="229"/>
        </w:trPr>
        <w:tc>
          <w:tcPr>
            <w:tcW w:w="406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23"/>
        </w:trPr>
        <w:tc>
          <w:tcPr>
            <w:tcW w:w="40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w:t>
            </w:r>
          </w:p>
        </w:tc>
      </w:tr>
      <w:tr>
        <w:trPr>
          <w:trHeight w:val="168"/>
        </w:trPr>
        <w:tc>
          <w:tcPr>
            <w:tcW w:w="40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Subadvised funds, separate accounts, collective</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trusts, and other investment products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060" w:type="dxa"/>
            <w:vAlign w:val="bottom"/>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397.2</w:t>
            </w: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29"/>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r>
      <w:tr>
        <w:trPr>
          <w:trHeight w:val="223"/>
        </w:trPr>
        <w:tc>
          <w:tcPr>
            <w:tcW w:w="40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r>
      <w:tr>
        <w:trPr>
          <w:trHeight w:val="21"/>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9.0%, 8.8% and 9.3% of our assets under management at June 30, 2021, March 31, 2021 and December 31, 2020,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6/30/2021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12/31/2020</w:t>
            </w: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1,642.0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1,647.7</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768.1</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242.9</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23% investment in UTI Asset Management Company Limited (India)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During the three- and six- months ended June 30, 2021, net gains on investments included $49.5 million and $88.3 million, respectively, of net unrealized gains related to investments held at fair value that were still held at June 30,</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 w:name="page11"/>
    <w:bookmarkEnd w:id="10"/>
    <w:p>
      <w:pPr>
        <w:ind w:right="140"/>
        <w:spacing w:after="0" w:line="261" w:lineRule="auto"/>
        <w:rPr>
          <w:sz w:val="20"/>
          <w:szCs w:val="20"/>
          <w:color w:val="auto"/>
        </w:rPr>
      </w:pPr>
      <w:r>
        <w:rPr>
          <w:rFonts w:ascii="Arial" w:cs="Arial" w:eastAsia="Arial" w:hAnsi="Arial"/>
          <w:sz w:val="18"/>
          <w:szCs w:val="18"/>
          <w:color w:val="auto"/>
        </w:rPr>
        <w:t>2021. For the same period of 2020, net gains on investments included $125.5 million and $21.9 million, respectively, of net unrealized gains related to investments held at fair value that were still held at June 30, 2020.</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the six months ended June 30, 2021 and 2020,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six months ended June 30, 2020, certain T. Rowe Price investment products that were being accounted for as equity method investments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6"/>
                <w:szCs w:val="16"/>
                <w:color w:val="auto"/>
              </w:rPr>
            </w:pPr>
          </w:p>
        </w:tc>
        <w:tc>
          <w:tcPr>
            <w:tcW w:w="2460" w:type="dxa"/>
            <w:vAlign w:val="bottom"/>
            <w:gridSpan w:val="4"/>
            <w:shd w:val="clear" w:color="auto" w:fill="CCEEFF"/>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6/30/2020</w:t>
            </w:r>
          </w:p>
        </w:tc>
      </w:tr>
      <w:tr>
        <w:trPr>
          <w:trHeight w:val="168"/>
        </w:trPr>
        <w:tc>
          <w:tcPr>
            <w:tcW w:w="54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decrease in assets of consolidated T. Rowe Price investment</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188"/>
        </w:trPr>
        <w:tc>
          <w:tcPr>
            <w:tcW w:w="5480" w:type="dxa"/>
            <w:vAlign w:val="bottom"/>
          </w:tcPr>
          <w:p>
            <w:pPr>
              <w:ind w:left="20"/>
              <w:spacing w:after="0" w:line="189" w:lineRule="exact"/>
              <w:rPr>
                <w:sz w:val="20"/>
                <w:szCs w:val="20"/>
                <w:color w:val="auto"/>
              </w:rPr>
            </w:pPr>
            <w:r>
              <w:rPr>
                <w:rFonts w:ascii="Arial" w:cs="Arial" w:eastAsia="Arial" w:hAnsi="Arial"/>
                <w:sz w:val="18"/>
                <w:szCs w:val="18"/>
                <w:color w:val="auto"/>
              </w:rPr>
              <w:t>Net decrease in liabilities of consolidated T. Rowe Price investment</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5480" w:type="dxa"/>
            <w:vAlign w:val="bottom"/>
          </w:tcPr>
          <w:p>
            <w:pPr>
              <w:ind w:left="20"/>
              <w:spacing w:after="0"/>
              <w:rPr>
                <w:sz w:val="20"/>
                <w:szCs w:val="20"/>
                <w:color w:val="auto"/>
              </w:rPr>
            </w:pPr>
            <w:r>
              <w:rPr>
                <w:rFonts w:ascii="Arial" w:cs="Arial" w:eastAsia="Arial" w:hAnsi="Arial"/>
                <w:sz w:val="18"/>
                <w:szCs w:val="18"/>
                <w:color w:val="auto"/>
              </w:rPr>
              <w:t>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redeemable non-controlling interests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16"/>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recognized upon deconsolidation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323"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The gains or losses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investments at June 30, 2021 and December 31, 2020, include interests in variable interest entities that we do not consolidate as we are not deemed the primary beneficiary. Our maximum risk of loss related to our involvement with these entities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6/30/2021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unfunded capital commitments totaling $ 9.9 million at June 30, 2021 and $12.3 million at December 31, 2020 relate primarily to the investment partnerships in which we have an existing investment. In addition to such amounts, a percentage of prior distributions may be called under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determine the fair value of our cash equivalents and investments held at fair value using the following broad levels of inputs as defined by related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260" w:right="224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480" w:right="2220" w:hanging="480"/>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unaudited condensed consolidated balance sheets using fair value measurements determined based on the differing levels of inputs. This table excludes investments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1" w:name="page12"/>
    <w:bookmarkEnd w:id="11"/>
    <w:p>
      <w:pPr>
        <w:ind w:right="520"/>
        <w:spacing w:after="0" w:line="261" w:lineRule="auto"/>
        <w:rPr>
          <w:sz w:val="20"/>
          <w:szCs w:val="20"/>
          <w:color w:val="auto"/>
        </w:rPr>
      </w:pPr>
      <w:r>
        <w:rPr>
          <w:rFonts w:ascii="Arial" w:cs="Arial" w:eastAsia="Arial" w:hAnsi="Arial"/>
          <w:sz w:val="18"/>
          <w:szCs w:val="18"/>
          <w:color w:val="auto"/>
        </w:rPr>
        <w:t>held by the consolidated T. Rowe Price investment products which are presented separately on our unaudited condensed consolidated balance sheets and are detailed in Note 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6/30/2021</w:t>
            </w:r>
          </w:p>
        </w:tc>
        <w:tc>
          <w:tcPr>
            <w:tcW w:w="10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12/31/2020</w:t>
            </w:r>
          </w:p>
        </w:tc>
        <w:tc>
          <w:tcPr>
            <w:tcW w:w="1040" w:type="dxa"/>
            <w:vAlign w:val="bottom"/>
            <w:tcBorders>
              <w:bottom w:val="single" w:sz="8" w:color="auto"/>
            </w:tcBorders>
            <w:shd w:val="clear" w:color="auto" w:fill="CCEEFF"/>
          </w:tcPr>
          <w:p>
            <w:pPr>
              <w:spacing w:after="0"/>
              <w:rPr>
                <w:sz w:val="16"/>
                <w:szCs w:val="16"/>
                <w:color w:val="auto"/>
              </w:rPr>
            </w:pPr>
          </w:p>
        </w:tc>
      </w:tr>
      <w:tr>
        <w:trPr>
          <w:trHeight w:val="183"/>
        </w:trPr>
        <w:tc>
          <w:tcPr>
            <w:tcW w:w="5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5"/>
                <w:szCs w:val="15"/>
                <w:color w:val="auto"/>
              </w:rPr>
            </w:pP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3,115.0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1,931.1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savings plan liability economic hedges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3 were $104.0 million at June 30, 2021, and $94.0 million at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T. ROWE PRICE INVESTMENT PRODUCTS.</w:t>
      </w:r>
    </w:p>
    <w:p>
      <w:pPr>
        <w:spacing w:after="0" w:line="274"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12/31/2020</w:t>
            </w: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1"/>
                <w:szCs w:val="11"/>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2,560.9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2,695.5</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2,637.8</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711.5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756.5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1,561.7</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Cash and cash equivalents includes $.9 million at June 30, 2021, and $7.0 million at December 31, 2020, of T. Rowe Price money market mutual funds.</w:t>
      </w:r>
    </w:p>
    <w:p>
      <w:pPr>
        <w:ind w:left="140" w:hanging="132"/>
        <w:spacing w:after="0" w:line="224" w:lineRule="auto"/>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$31.3 million at June 30, 2021, and $26.9 million at December 31, 2020 of other T. Rowe Price investment products.</w:t>
      </w:r>
    </w:p>
    <w:p>
      <w:pPr>
        <w:spacing w:after="0" w:line="22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Although we can redeem our net interest in these consolidated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right="140"/>
        <w:spacing w:after="0" w:line="261" w:lineRule="auto"/>
        <w:rPr>
          <w:sz w:val="20"/>
          <w:szCs w:val="20"/>
          <w:color w:val="auto"/>
        </w:rPr>
      </w:pPr>
      <w:r>
        <w:rPr>
          <w:rFonts w:ascii="Arial" w:cs="Arial" w:eastAsia="Arial" w:hAnsi="Arial"/>
          <w:sz w:val="18"/>
          <w:szCs w:val="18"/>
          <w:color w:val="auto"/>
        </w:rPr>
        <w:t>The operating results of the consolidated T. Rowe Price investment products for the three- and six- months ended June 30, 2021 and 2020, are reflected in our unaudited condensed consolidated statements of income as follows: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77"/>
              <w:spacing w:after="0" w:line="142" w:lineRule="exact"/>
              <w:rPr>
                <w:sz w:val="20"/>
                <w:szCs w:val="20"/>
                <w:color w:val="auto"/>
              </w:rPr>
            </w:pPr>
            <w:r>
              <w:rPr>
                <w:rFonts w:ascii="Arial" w:cs="Arial" w:eastAsia="Arial" w:hAnsi="Arial"/>
                <w:sz w:val="14"/>
                <w:szCs w:val="14"/>
                <w:b w:val="1"/>
                <w:bCs w:val="1"/>
                <w:color w:val="auto"/>
              </w:rPr>
              <w:t>Variable</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jc w:val="center"/>
              <w:ind w:right="20"/>
              <w:spacing w:after="0"/>
              <w:rPr>
                <w:sz w:val="20"/>
                <w:szCs w:val="20"/>
                <w:color w:val="auto"/>
              </w:rPr>
            </w:pPr>
            <w:r>
              <w:rPr>
                <w:rFonts w:ascii="Arial" w:cs="Arial" w:eastAsia="Arial" w:hAnsi="Arial"/>
                <w:sz w:val="14"/>
                <w:szCs w:val="14"/>
                <w:b w:val="1"/>
                <w:bCs w:val="1"/>
                <w:color w:val="auto"/>
              </w:rPr>
              <w:t>Voting interest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80"/>
              <w:spacing w:after="0" w:line="142" w:lineRule="exact"/>
              <w:rPr>
                <w:sz w:val="20"/>
                <w:szCs w:val="20"/>
                <w:color w:val="auto"/>
              </w:rPr>
            </w:pPr>
            <w:r>
              <w:rPr>
                <w:rFonts w:ascii="Arial" w:cs="Arial" w:eastAsia="Arial" w:hAnsi="Arial"/>
                <w:sz w:val="14"/>
                <w:szCs w:val="14"/>
                <w:b w:val="1"/>
                <w:bCs w:val="1"/>
                <w:color w:val="auto"/>
              </w:rPr>
              <w:t>Variable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20" w:type="dxa"/>
            <w:vAlign w:val="bottom"/>
            <w:gridSpan w:val="2"/>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Operating expenses reflected in net operating income $</w:t>
            </w:r>
          </w:p>
        </w:tc>
        <w:tc>
          <w:tcPr>
            <w:tcW w:w="860" w:type="dxa"/>
            <w:vAlign w:val="bottom"/>
          </w:tcPr>
          <w:p>
            <w:pPr>
              <w:ind w:left="580"/>
              <w:spacing w:after="0"/>
              <w:rPr>
                <w:sz w:val="20"/>
                <w:szCs w:val="20"/>
                <w:color w:val="auto"/>
              </w:rPr>
            </w:pPr>
            <w:r>
              <w:rPr>
                <w:rFonts w:ascii="Arial" w:cs="Arial" w:eastAsia="Arial" w:hAnsi="Arial"/>
                <w:sz w:val="18"/>
                <w:szCs w:val="18"/>
                <w:color w:val="auto"/>
                <w:w w:val="96"/>
              </w:rPr>
              <w:t>(.1)</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ind w:left="500"/>
              <w:spacing w:after="0"/>
              <w:rPr>
                <w:sz w:val="20"/>
                <w:szCs w:val="20"/>
                <w:color w:val="auto"/>
              </w:rPr>
            </w:pPr>
            <w:r>
              <w:rPr>
                <w:rFonts w:ascii="Arial" w:cs="Arial" w:eastAsia="Arial" w:hAnsi="Arial"/>
                <w:sz w:val="18"/>
                <w:szCs w:val="18"/>
                <w:color w:val="auto"/>
                <w:w w:val="97"/>
              </w:rPr>
              <w:t>(2.7)</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ind w:left="440"/>
              <w:spacing w:after="0"/>
              <w:rPr>
                <w:sz w:val="20"/>
                <w:szCs w:val="20"/>
                <w:color w:val="auto"/>
              </w:rPr>
            </w:pPr>
            <w:r>
              <w:rPr>
                <w:rFonts w:ascii="Arial" w:cs="Arial" w:eastAsia="Arial" w:hAnsi="Arial"/>
                <w:sz w:val="18"/>
                <w:szCs w:val="18"/>
                <w:color w:val="auto"/>
                <w:w w:val="97"/>
              </w:rPr>
              <w:t>(2.8)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ind w:left="540"/>
              <w:spacing w:after="0"/>
              <w:rPr>
                <w:sz w:val="20"/>
                <w:szCs w:val="20"/>
                <w:color w:val="auto"/>
              </w:rPr>
            </w:pPr>
            <w:r>
              <w:rPr>
                <w:rFonts w:ascii="Arial" w:cs="Arial" w:eastAsia="Arial" w:hAnsi="Arial"/>
                <w:sz w:val="18"/>
                <w:szCs w:val="18"/>
                <w:color w:val="auto"/>
              </w:rPr>
              <w:t>7.2</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ind w:left="460"/>
              <w:spacing w:after="0"/>
              <w:rPr>
                <w:sz w:val="20"/>
                <w:szCs w:val="20"/>
                <w:color w:val="auto"/>
              </w:rPr>
            </w:pPr>
            <w:r>
              <w:rPr>
                <w:rFonts w:ascii="Arial" w:cs="Arial" w:eastAsia="Arial" w:hAnsi="Arial"/>
                <w:sz w:val="18"/>
                <w:szCs w:val="18"/>
                <w:color w:val="auto"/>
              </w:rPr>
              <w:t>45.5</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52.7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222.7</w:t>
            </w:r>
          </w:p>
        </w:tc>
        <w:tc>
          <w:tcPr>
            <w:tcW w:w="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T. Rowe Price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ind w:left="540"/>
              <w:spacing w:after="0"/>
              <w:rPr>
                <w:sz w:val="20"/>
                <w:szCs w:val="20"/>
                <w:color w:val="auto"/>
              </w:rPr>
            </w:pPr>
            <w:r>
              <w:rPr>
                <w:rFonts w:ascii="Arial" w:cs="Arial" w:eastAsia="Arial" w:hAnsi="Arial"/>
                <w:sz w:val="18"/>
                <w:szCs w:val="18"/>
                <w:color w:val="auto"/>
              </w:rPr>
              <w:t>4.3</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ind w:left="460"/>
              <w:spacing w:after="0"/>
              <w:rPr>
                <w:sz w:val="20"/>
                <w:szCs w:val="20"/>
                <w:color w:val="auto"/>
              </w:rPr>
            </w:pPr>
            <w:r>
              <w:rPr>
                <w:rFonts w:ascii="Arial" w:cs="Arial" w:eastAsia="Arial" w:hAnsi="Arial"/>
                <w:sz w:val="18"/>
                <w:szCs w:val="18"/>
                <w:color w:val="auto"/>
              </w:rPr>
              <w:t>21.4</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25.7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100.4</w:t>
            </w:r>
          </w:p>
        </w:tc>
        <w:tc>
          <w:tcPr>
            <w:tcW w:w="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ind w:left="540"/>
              <w:spacing w:after="0"/>
              <w:rPr>
                <w:sz w:val="20"/>
                <w:szCs w:val="20"/>
                <w:color w:val="auto"/>
              </w:rPr>
            </w:pPr>
            <w:r>
              <w:rPr>
                <w:rFonts w:ascii="Arial" w:cs="Arial" w:eastAsia="Arial" w:hAnsi="Arial"/>
                <w:sz w:val="18"/>
                <w:szCs w:val="18"/>
                <w:color w:val="auto"/>
              </w:rPr>
              <w:t>7.2</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ind w:left="460"/>
              <w:spacing w:after="0"/>
              <w:rPr>
                <w:sz w:val="20"/>
                <w:szCs w:val="20"/>
                <w:color w:val="auto"/>
              </w:rPr>
            </w:pPr>
            <w:r>
              <w:rPr>
                <w:rFonts w:ascii="Arial" w:cs="Arial" w:eastAsia="Arial" w:hAnsi="Arial"/>
                <w:sz w:val="18"/>
                <w:szCs w:val="18"/>
                <w:color w:val="auto"/>
              </w:rPr>
              <w:t>45.5</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52.7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222.7</w:t>
            </w:r>
          </w:p>
        </w:tc>
        <w:tc>
          <w:tcPr>
            <w:tcW w:w="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gridSpan w:val="6"/>
            <w:shd w:val="clear" w:color="auto" w:fill="CCEEFF"/>
          </w:tcPr>
          <w:p>
            <w:pPr>
              <w:ind w:left="26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6/30/2020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Voting</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117"/>
              <w:spacing w:after="0" w:line="142" w:lineRule="exact"/>
              <w:rPr>
                <w:sz w:val="20"/>
                <w:szCs w:val="20"/>
                <w:color w:val="auto"/>
              </w:rPr>
            </w:pPr>
            <w:r>
              <w:rPr>
                <w:rFonts w:ascii="Arial" w:cs="Arial" w:eastAsia="Arial" w:hAnsi="Arial"/>
                <w:sz w:val="14"/>
                <w:szCs w:val="14"/>
                <w:b w:val="1"/>
                <w:bCs w:val="1"/>
                <w:color w:val="auto"/>
              </w:rPr>
              <w:t>Variable</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Voting</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2" w:lineRule="exact"/>
              <w:rPr>
                <w:sz w:val="20"/>
                <w:szCs w:val="20"/>
                <w:color w:val="auto"/>
              </w:rPr>
            </w:pPr>
            <w:r>
              <w:rPr>
                <w:rFonts w:ascii="Arial" w:cs="Arial" w:eastAsia="Arial" w:hAnsi="Arial"/>
                <w:sz w:val="14"/>
                <w:szCs w:val="14"/>
                <w:b w:val="1"/>
                <w:bCs w:val="1"/>
                <w:color w:val="auto"/>
              </w:rPr>
              <w:t>Variable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center"/>
              <w:ind w:right="117"/>
              <w:spacing w:after="0" w:line="13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right="97"/>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00" w:type="dxa"/>
            <w:vAlign w:val="bottom"/>
          </w:tcPr>
          <w:p>
            <w:pPr>
              <w:ind w:left="20"/>
              <w:spacing w:after="0" w:line="168" w:lineRule="exact"/>
              <w:rPr>
                <w:sz w:val="20"/>
                <w:szCs w:val="20"/>
                <w:color w:val="auto"/>
              </w:rPr>
            </w:pPr>
            <w:r>
              <w:rPr>
                <w:rFonts w:ascii="Arial" w:cs="Arial" w:eastAsia="Arial" w:hAnsi="Arial"/>
                <w:sz w:val="18"/>
                <w:szCs w:val="18"/>
                <w:color w:val="auto"/>
              </w:rPr>
              <w:t>Operating expenses reflected in net operating</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ind w:left="560"/>
              <w:spacing w:after="0"/>
              <w:rPr>
                <w:sz w:val="20"/>
                <w:szCs w:val="20"/>
                <w:color w:val="auto"/>
              </w:rPr>
            </w:pPr>
            <w:r>
              <w:rPr>
                <w:rFonts w:ascii="Arial" w:cs="Arial" w:eastAsia="Arial" w:hAnsi="Arial"/>
                <w:sz w:val="18"/>
                <w:szCs w:val="18"/>
                <w:color w:val="auto"/>
              </w:rPr>
              <w:t>(.3)</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ind w:left="480"/>
              <w:spacing w:after="0"/>
              <w:rPr>
                <w:sz w:val="20"/>
                <w:szCs w:val="20"/>
                <w:color w:val="auto"/>
              </w:rPr>
            </w:pPr>
            <w:r>
              <w:rPr>
                <w:rFonts w:ascii="Arial" w:cs="Arial" w:eastAsia="Arial" w:hAnsi="Arial"/>
                <w:sz w:val="18"/>
                <w:szCs w:val="18"/>
                <w:color w:val="auto"/>
              </w:rPr>
              <w:t>(6.0)</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ind w:left="420"/>
              <w:spacing w:after="0"/>
              <w:rPr>
                <w:sz w:val="20"/>
                <w:szCs w:val="20"/>
                <w:color w:val="auto"/>
              </w:rPr>
            </w:pPr>
            <w:r>
              <w:rPr>
                <w:rFonts w:ascii="Arial" w:cs="Arial" w:eastAsia="Arial" w:hAnsi="Arial"/>
                <w:sz w:val="18"/>
                <w:szCs w:val="18"/>
                <w:color w:val="auto"/>
              </w:rPr>
              <w:t>(6.3)</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ind w:left="440"/>
              <w:spacing w:after="0"/>
              <w:rPr>
                <w:sz w:val="20"/>
                <w:szCs w:val="20"/>
                <w:color w:val="auto"/>
              </w:rPr>
            </w:pPr>
            <w:r>
              <w:rPr>
                <w:rFonts w:ascii="Arial" w:cs="Arial" w:eastAsia="Arial" w:hAnsi="Arial"/>
                <w:sz w:val="18"/>
                <w:szCs w:val="18"/>
                <w:color w:val="auto"/>
              </w:rPr>
              <w:t>73.3</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ind w:left="380"/>
              <w:spacing w:after="0"/>
              <w:rPr>
                <w:sz w:val="20"/>
                <w:szCs w:val="20"/>
                <w:color w:val="auto"/>
              </w:rPr>
            </w:pPr>
            <w:r>
              <w:rPr>
                <w:rFonts w:ascii="Arial" w:cs="Arial" w:eastAsia="Arial" w:hAnsi="Arial"/>
                <w:sz w:val="18"/>
                <w:szCs w:val="18"/>
                <w:color w:val="auto"/>
              </w:rPr>
              <w:t>86.4</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Net income (loss) attributable to T. Rowe Price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ind w:left="440"/>
              <w:spacing w:after="0"/>
              <w:rPr>
                <w:sz w:val="20"/>
                <w:szCs w:val="20"/>
                <w:color w:val="auto"/>
              </w:rPr>
            </w:pPr>
            <w:r>
              <w:rPr>
                <w:rFonts w:ascii="Arial" w:cs="Arial" w:eastAsia="Arial" w:hAnsi="Arial"/>
                <w:sz w:val="18"/>
                <w:szCs w:val="18"/>
                <w:color w:val="auto"/>
              </w:rPr>
              <w:t>35.7</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ind w:left="380"/>
              <w:spacing w:after="0"/>
              <w:rPr>
                <w:sz w:val="20"/>
                <w:szCs w:val="20"/>
                <w:color w:val="auto"/>
              </w:rPr>
            </w:pPr>
            <w:r>
              <w:rPr>
                <w:rFonts w:ascii="Arial" w:cs="Arial" w:eastAsia="Arial" w:hAnsi="Arial"/>
                <w:sz w:val="18"/>
                <w:szCs w:val="18"/>
                <w:color w:val="auto"/>
              </w:rPr>
              <w:t>44.0</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ind w:left="440"/>
              <w:spacing w:after="0"/>
              <w:rPr>
                <w:sz w:val="20"/>
                <w:szCs w:val="20"/>
                <w:color w:val="auto"/>
              </w:rPr>
            </w:pPr>
            <w:r>
              <w:rPr>
                <w:rFonts w:ascii="Arial" w:cs="Arial" w:eastAsia="Arial" w:hAnsi="Arial"/>
                <w:sz w:val="18"/>
                <w:szCs w:val="18"/>
                <w:color w:val="auto"/>
              </w:rPr>
              <w:t>73.3</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ind w:left="380"/>
              <w:spacing w:after="0"/>
              <w:rPr>
                <w:sz w:val="20"/>
                <w:szCs w:val="20"/>
                <w:color w:val="auto"/>
              </w:rPr>
            </w:pPr>
            <w:r>
              <w:rPr>
                <w:rFonts w:ascii="Arial" w:cs="Arial" w:eastAsia="Arial" w:hAnsi="Arial"/>
                <w:sz w:val="18"/>
                <w:szCs w:val="18"/>
                <w:color w:val="auto"/>
              </w:rPr>
              <w:t>86.4</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unaudited condensed consolidated financial statements, we eliminated operating expenses of $1.1 million and $2.1 million for the three months ended June 30, 2021 and 2020, respectively, against the investment advisory and administrative fees earned from these products. Operating expenses eliminated for the six months ended June 30, 2021 and 2020, were $2.4 million and $4.6 million, respectively. The net investment income (loss) reflected in non-operating income (loss) includes dividend and interest income as well as realized and unrealized gains and losses on the underlying securities held by the consolidated T. Rowe Price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ind w:right="1020"/>
        <w:spacing w:after="0" w:line="261"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six months ended June 30, 2021 and 2020.</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3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80"/>
              <w:spacing w:after="0" w:line="142"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80"/>
              <w:spacing w:after="0" w:line="142"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177"/>
        </w:trPr>
        <w:tc>
          <w:tcPr>
            <w:tcW w:w="43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Effect of exchange rate changes on cash and cash</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equivalents of consolidated</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T. Rowe Price investment products</w:t>
            </w:r>
          </w:p>
        </w:tc>
        <w:tc>
          <w:tcPr>
            <w:tcW w:w="2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net cash provided by financing activities during the six months ended June 30, 2021 and 2020 includes $80.2 million and $26.2 million, respectively, of net subscriptions we made into the consolidated T. Rowe Price investment products, net of dividends received. These cash flows were eliminated in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2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40" w:hanging="728"/>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6/30/2021</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gridSpan w:val="3"/>
            <w:shd w:val="clear" w:color="auto" w:fill="CCEEFF"/>
          </w:tcPr>
          <w:p>
            <w:pPr>
              <w:ind w:left="840"/>
              <w:spacing w:after="0"/>
              <w:rPr>
                <w:sz w:val="20"/>
                <w:szCs w:val="20"/>
                <w:color w:val="auto"/>
              </w:rPr>
            </w:pPr>
            <w:r>
              <w:rPr>
                <w:rFonts w:ascii="Arial" w:cs="Arial" w:eastAsia="Arial" w:hAnsi="Arial"/>
                <w:sz w:val="14"/>
                <w:szCs w:val="14"/>
                <w:b w:val="1"/>
                <w:bCs w:val="1"/>
                <w:color w:val="auto"/>
              </w:rPr>
              <w:t>12/31/2020</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5"/>
                <w:szCs w:val="15"/>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1,411.3</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3"/>
        </w:trPr>
        <w:tc>
          <w:tcPr>
            <w:tcW w:w="5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2,250.3</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1"/>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STOCKHOLDERS’ EQUITY.</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Accounts payable and accrued expenses includes liabilities of $2.5 million at December 31, 2020 for common stock repurchases that settled during the first week of January 2021.</w:t>
      </w:r>
    </w:p>
    <w:p>
      <w:pPr>
        <w:spacing w:after="0" w:line="22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On June 14, 2021, the Board of Directors declared a special cash dividend of $3.00 per common share, or $699.8 million, that was paid on July 7, 2021 to stockholders of record as of the close of business on June 25,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six months ended June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right="159"/>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right="159"/>
              <w:spacing w:after="0" w:line="13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spacing w:after="0"/>
              <w:rPr>
                <w:sz w:val="15"/>
                <w:szCs w:val="15"/>
                <w:color w:val="auto"/>
              </w:rPr>
            </w:pPr>
          </w:p>
        </w:tc>
        <w:tc>
          <w:tcPr>
            <w:tcW w:w="1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4,379,663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(997,788)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June 30,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3,381,875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3,381,875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SPECIAL CASH DIVIDEND.</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result of the special cash dividend declared by the Board of Directors in June 2021, the anti-dilution provisions of our employee long-term incentive plans and non-employee director plans (collectively, the LTI plans) require an automatic adjustment to neutralize the effect of the special cash dividend. On the special cash dividend’s ex-dividend date (June 24, 2021), the number of shares authorized and the number of stock options outstanding and their exercise price were adjusted resulting in an increase of 50,607 stock options outstanding on the ex-dividend date, and no incremental compensation expense. In the table above, the number of options outstanding at December 31, 2020 was updated to reflect this adjustment.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7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six months ended June 30,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Restricted</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rPr>
                <w:sz w:val="11"/>
                <w:szCs w:val="11"/>
                <w:color w:val="auto"/>
              </w:rPr>
            </w:pPr>
          </w:p>
        </w:tc>
        <w:tc>
          <w:tcPr>
            <w:tcW w:w="1540" w:type="dxa"/>
            <w:vAlign w:val="bottom"/>
            <w:gridSpan w:val="2"/>
            <w:vMerge w:val="continue"/>
            <w:shd w:val="clear" w:color="auto" w:fill="CCEEFF"/>
          </w:tcPr>
          <w:p>
            <w:pPr>
              <w:spacing w:after="0"/>
              <w:rPr>
                <w:sz w:val="11"/>
                <w:szCs w:val="11"/>
                <w:color w:val="auto"/>
              </w:rPr>
            </w:pPr>
          </w:p>
        </w:tc>
        <w:tc>
          <w:tcPr>
            <w:tcW w:w="14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1"/>
                <w:szCs w:val="11"/>
                <w:color w:val="auto"/>
              </w:rPr>
            </w:pPr>
          </w:p>
        </w:tc>
        <w:tc>
          <w:tcPr>
            <w:tcW w:w="14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Nonvested at December 31,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7,412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6,367,059</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180.72</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Dividend equivalents granted to non-employee directors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1,067</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184.61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(88,268)</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(42,792)</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6,255,422</w:t>
            </w:r>
          </w:p>
        </w:tc>
        <w:tc>
          <w:tcPr>
            <w:tcW w:w="380" w:type="dxa"/>
            <w:vAlign w:val="bottom"/>
            <w:tcBorders>
              <w:top w:val="single" w:sz="8" w:color="CCEEFF"/>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Nonvested at June 30, 2021, includes performance-based restricted stock units of 361,609. These nonvested performance-based restricted stock units include 198,205 units for which the performance period has lapsed, and the performance threshold has been met.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74"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June 30, 2021. Estimated future compensation expense will change to reflect future grants of restricted stock awards and units, future option grants, changes in the probability of performance thresholds being met, and adjustments for actual forfeitures.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Third quarter 2021</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 2021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through 2026</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r>
      <w:tr>
        <w:trPr>
          <w:trHeight w:val="20"/>
        </w:trPr>
        <w:tc>
          <w:tcPr>
            <w:tcW w:w="9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following table presents the reconciliation of net income attributable to T. Rowe Price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shd w:val="clear" w:color="auto" w:fill="CCEEFF"/>
          </w:tcPr>
          <w:p>
            <w:pPr>
              <w:spacing w:after="0"/>
              <w:rPr>
                <w:sz w:val="16"/>
                <w:szCs w:val="16"/>
                <w:color w:val="auto"/>
              </w:rPr>
            </w:pPr>
          </w:p>
        </w:tc>
        <w:tc>
          <w:tcPr>
            <w:tcW w:w="3080" w:type="dxa"/>
            <w:vAlign w:val="bottom"/>
            <w:gridSpan w:val="3"/>
            <w:shd w:val="clear" w:color="auto" w:fill="CCEEFF"/>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680" w:type="dxa"/>
            <w:vAlign w:val="bottom"/>
            <w:gridSpan w:val="2"/>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5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6/30/2021</w:t>
            </w:r>
          </w:p>
        </w:tc>
        <w:tc>
          <w:tcPr>
            <w:tcW w:w="14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6/30/2020</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6/30/2021</w:t>
            </w:r>
          </w:p>
        </w:tc>
        <w:tc>
          <w:tcPr>
            <w:tcW w:w="13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6/30/2020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attributable to T. Rowe Price</w:t>
      </w:r>
    </w:p>
    <w:p>
      <w:pPr>
        <w:spacing w:after="0" w:line="23" w:lineRule="exact"/>
        <w:rPr>
          <w:sz w:val="20"/>
          <w:szCs w:val="20"/>
          <w:color w:val="auto"/>
        </w:rPr>
      </w:pPr>
    </w:p>
    <w:p>
      <w:pPr>
        <w:ind w:left="20" w:right="260"/>
        <w:spacing w:after="0" w:line="227" w:lineRule="auto"/>
        <w:rPr>
          <w:sz w:val="20"/>
          <w:szCs w:val="20"/>
          <w:color w:val="auto"/>
        </w:rPr>
      </w:pPr>
      <w:r>
        <w:rPr>
          <w:rFonts w:ascii="Arial" w:cs="Arial" w:eastAsia="Arial" w:hAnsi="Arial"/>
          <w:sz w:val="18"/>
          <w:szCs w:val="18"/>
          <w:color w:val="auto"/>
        </w:rPr>
        <w:t>Less: net income allocated to outstanding restricted stock and stock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Net income allocated to common stockholders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common shares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Outstanding assuming dilution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815.7</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1,565.1</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946.1</w:t>
            </w:r>
          </w:p>
        </w:tc>
      </w:tr>
      <w:tr>
        <w:trPr>
          <w:trHeight w:val="405"/>
        </w:trPr>
        <w:tc>
          <w:tcPr>
            <w:tcW w:w="620" w:type="dxa"/>
            <w:vAlign w:val="bottom"/>
          </w:tcPr>
          <w:p>
            <w:pPr>
              <w:jc w:val="right"/>
              <w:ind w:right="90"/>
              <w:spacing w:after="0"/>
              <w:rPr>
                <w:sz w:val="20"/>
                <w:szCs w:val="20"/>
                <w:color w:val="auto"/>
              </w:rPr>
            </w:pPr>
            <w:r>
              <w:rPr>
                <w:rFonts w:ascii="Arial" w:cs="Arial" w:eastAsia="Arial" w:hAnsi="Arial"/>
                <w:sz w:val="18"/>
                <w:szCs w:val="18"/>
                <w:color w:val="auto"/>
              </w:rPr>
              <w:t>22.2</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793.5</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w:t>
            </w:r>
          </w:p>
        </w:tc>
      </w:tr>
      <w:tr>
        <w:trPr>
          <w:trHeight w:val="20"/>
        </w:trPr>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95"/>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226.9</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r>
      <w:tr>
        <w:trPr>
          <w:trHeight w:val="20"/>
        </w:trPr>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229.2</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w:t>
            </w:r>
          </w:p>
        </w:tc>
      </w:tr>
      <w:tr>
        <w:trPr>
          <w:trHeight w:val="20"/>
        </w:trPr>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-7620</wp:posOffset>
            </wp:positionV>
            <wp:extent cx="9086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-213995</wp:posOffset>
            </wp:positionV>
            <wp:extent cx="9086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-668020</wp:posOffset>
            </wp:positionV>
            <wp:extent cx="9086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40"/>
          </w:cols>
          <w:pgMar w:left="320" w:top="886" w:right="33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2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three months ended June 30, 2021 and 2020 are presented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940" w:type="dxa"/>
            <w:vAlign w:val="bottom"/>
            <w:gridSpan w:val="8"/>
            <w:shd w:val="clear" w:color="auto" w:fill="CCEEFF"/>
          </w:tcPr>
          <w:p>
            <w:pPr>
              <w:ind w:left="760"/>
              <w:spacing w:after="0"/>
              <w:rPr>
                <w:sz w:val="20"/>
                <w:szCs w:val="20"/>
                <w:color w:val="auto"/>
              </w:rPr>
            </w:pPr>
            <w:r>
              <w:rPr>
                <w:rFonts w:ascii="Arial" w:cs="Arial" w:eastAsia="Arial" w:hAnsi="Arial"/>
                <w:sz w:val="14"/>
                <w:szCs w:val="14"/>
                <w:b w:val="1"/>
                <w:bCs w:val="1"/>
                <w:color w:val="auto"/>
              </w:rPr>
              <w:t>Three months ended 6/30/2021</w:t>
            </w:r>
          </w:p>
        </w:tc>
        <w:tc>
          <w:tcPr>
            <w:tcW w:w="140" w:type="dxa"/>
            <w:vAlign w:val="bottom"/>
            <w:shd w:val="clear" w:color="auto" w:fill="CCEEFF"/>
          </w:tcPr>
          <w:p>
            <w:pPr>
              <w:spacing w:after="0"/>
              <w:rPr>
                <w:sz w:val="16"/>
                <w:szCs w:val="16"/>
                <w:color w:val="auto"/>
              </w:rPr>
            </w:pPr>
          </w:p>
        </w:tc>
        <w:tc>
          <w:tcPr>
            <w:tcW w:w="3800" w:type="dxa"/>
            <w:vAlign w:val="bottom"/>
            <w:gridSpan w:val="7"/>
            <w:shd w:val="clear" w:color="auto" w:fill="CCEEFF"/>
          </w:tcPr>
          <w:p>
            <w:pPr>
              <w:jc w:val="right"/>
              <w:ind w:right="842"/>
              <w:spacing w:after="0"/>
              <w:rPr>
                <w:sz w:val="20"/>
                <w:szCs w:val="20"/>
                <w:color w:val="auto"/>
              </w:rPr>
            </w:pPr>
            <w:r>
              <w:rPr>
                <w:rFonts w:ascii="Arial" w:cs="Arial" w:eastAsia="Arial" w:hAnsi="Arial"/>
                <w:sz w:val="14"/>
                <w:szCs w:val="14"/>
                <w:b w:val="1"/>
                <w:bCs w:val="1"/>
                <w:color w:val="auto"/>
              </w:rPr>
              <w:t>Three months ended 6/30/2020</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1"/>
                <w:szCs w:val="11"/>
                <w:color w:val="auto"/>
              </w:rPr>
            </w:pPr>
          </w:p>
        </w:tc>
        <w:tc>
          <w:tcPr>
            <w:tcW w:w="11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gridSpan w:val="3"/>
            <w:vMerge w:val="continue"/>
          </w:tcPr>
          <w:p>
            <w:pPr>
              <w:spacing w:after="0"/>
              <w:rPr>
                <w:sz w:val="11"/>
                <w:szCs w:val="11"/>
                <w:color w:val="auto"/>
              </w:rPr>
            </w:pPr>
          </w:p>
        </w:tc>
        <w:tc>
          <w:tcPr>
            <w:tcW w:w="13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translation</w:t>
            </w:r>
          </w:p>
        </w:tc>
        <w:tc>
          <w:tcPr>
            <w:tcW w:w="1280" w:type="dxa"/>
            <w:vAlign w:val="bottom"/>
            <w:gridSpan w:val="3"/>
            <w:vMerge w:val="continue"/>
          </w:tcPr>
          <w:p>
            <w:pPr>
              <w:spacing w:after="0"/>
              <w:rPr>
                <w:sz w:val="11"/>
                <w:szCs w:val="11"/>
                <w:color w:val="auto"/>
              </w:rPr>
            </w:pPr>
          </w:p>
        </w:tc>
        <w:tc>
          <w:tcPr>
            <w:tcW w:w="13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1"/>
                <w:szCs w:val="11"/>
                <w:color w:val="auto"/>
              </w:rPr>
            </w:pPr>
          </w:p>
        </w:tc>
        <w:tc>
          <w:tcPr>
            <w:tcW w:w="116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75"/>
        </w:trPr>
        <w:tc>
          <w:tcPr>
            <w:tcW w:w="3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5"/>
                <w:szCs w:val="15"/>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center"/>
              <w:ind w:left="623"/>
              <w:spacing w:after="0"/>
              <w:rPr>
                <w:sz w:val="20"/>
                <w:szCs w:val="20"/>
                <w:color w:val="auto"/>
              </w:rPr>
            </w:pPr>
            <w:r>
              <w:rPr>
                <w:rFonts w:ascii="Arial" w:cs="Arial" w:eastAsia="Arial" w:hAnsi="Arial"/>
                <w:sz w:val="16"/>
                <w:szCs w:val="16"/>
                <w:color w:val="auto"/>
                <w:w w:val="97"/>
              </w:rPr>
              <w:t>(2.1)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157"/>
        </w:trPr>
        <w:tc>
          <w:tcPr>
            <w:tcW w:w="3160" w:type="dxa"/>
            <w:vAlign w:val="bottom"/>
          </w:tcPr>
          <w:p>
            <w:pPr>
              <w:ind w:left="20"/>
              <w:spacing w:after="0" w:line="158" w:lineRule="exact"/>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6"/>
                <w:szCs w:val="16"/>
                <w:color w:val="auto"/>
              </w:rPr>
              <w:t>before reclassifications and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left="643"/>
              <w:spacing w:after="0"/>
              <w:rPr>
                <w:sz w:val="20"/>
                <w:szCs w:val="20"/>
                <w:color w:val="auto"/>
              </w:rPr>
            </w:pPr>
            <w:r>
              <w:rPr>
                <w:rFonts w:ascii="Arial" w:cs="Arial" w:eastAsia="Arial" w:hAnsi="Arial"/>
                <w:sz w:val="16"/>
                <w:szCs w:val="16"/>
                <w:color w:val="auto"/>
                <w:w w:val="98"/>
              </w:rPr>
              <w:t>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623"/>
              <w:spacing w:after="0"/>
              <w:rPr>
                <w:sz w:val="20"/>
                <w:szCs w:val="20"/>
                <w:color w:val="auto"/>
              </w:rPr>
            </w:pPr>
            <w:r>
              <w:rPr>
                <w:rFonts w:ascii="Arial" w:cs="Arial" w:eastAsia="Arial" w:hAnsi="Arial"/>
                <w:sz w:val="16"/>
                <w:szCs w:val="16"/>
                <w:color w:val="auto"/>
                <w:w w:val="97"/>
              </w:rPr>
              <w:t>(1.4)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643"/>
              <w:spacing w:after="0"/>
              <w:rPr>
                <w:sz w:val="20"/>
                <w:szCs w:val="20"/>
                <w:color w:val="auto"/>
              </w:rPr>
            </w:pPr>
            <w:r>
              <w:rPr>
                <w:rFonts w:ascii="Arial" w:cs="Arial" w:eastAsia="Arial" w:hAnsi="Arial"/>
                <w:sz w:val="16"/>
                <w:szCs w:val="16"/>
                <w:color w:val="auto"/>
                <w:w w:val="98"/>
              </w:rPr>
              <w:t>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center"/>
              <w:ind w:left="643"/>
              <w:spacing w:after="0"/>
              <w:rPr>
                <w:sz w:val="20"/>
                <w:szCs w:val="20"/>
                <w:color w:val="auto"/>
              </w:rPr>
            </w:pPr>
            <w:r>
              <w:rPr>
                <w:rFonts w:ascii="Arial" w:cs="Arial" w:eastAsia="Arial" w:hAnsi="Arial"/>
                <w:sz w:val="16"/>
                <w:szCs w:val="16"/>
                <w:color w:val="auto"/>
                <w:w w:val="98"/>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6" w:name="page17"/>
    <w:bookmarkEnd w:id="16"/>
    <w:p>
      <w:pPr>
        <w:ind w:right="100"/>
        <w:spacing w:after="0" w:line="261" w:lineRule="auto"/>
        <w:rPr>
          <w:sz w:val="20"/>
          <w:szCs w:val="20"/>
          <w:color w:val="auto"/>
        </w:rPr>
      </w:pPr>
      <w:r>
        <w:rPr>
          <w:rFonts w:ascii="Arial" w:cs="Arial" w:eastAsia="Arial" w:hAnsi="Arial"/>
          <w:sz w:val="18"/>
          <w:szCs w:val="18"/>
          <w:color w:val="auto"/>
        </w:rPr>
        <w:t>The other comprehensive income (loss) in the table above excludes $3.8 million and $10.3 million of other comprehensive income related to redeemable non-controlling interests held in our consolidated products for the three months ended June 30, 2021 and 2020, respectively.</w:t>
      </w:r>
    </w:p>
    <w:p>
      <w:pPr>
        <w:spacing w:after="0" w:line="14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six months ended June 30, 2021 and 2020, are presented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94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Six months ended 6/30/2021</w:t>
            </w:r>
          </w:p>
        </w:tc>
        <w:tc>
          <w:tcPr>
            <w:tcW w:w="160" w:type="dxa"/>
            <w:vAlign w:val="bottom"/>
            <w:shd w:val="clear" w:color="auto" w:fill="CCEEFF"/>
          </w:tcPr>
          <w:p>
            <w:pPr>
              <w:spacing w:after="0"/>
              <w:rPr>
                <w:sz w:val="16"/>
                <w:szCs w:val="16"/>
                <w:color w:val="auto"/>
              </w:rPr>
            </w:pPr>
          </w:p>
        </w:tc>
        <w:tc>
          <w:tcPr>
            <w:tcW w:w="3840" w:type="dxa"/>
            <w:vAlign w:val="bottom"/>
            <w:gridSpan w:val="7"/>
            <w:shd w:val="clear" w:color="auto" w:fill="CCEEFF"/>
          </w:tcPr>
          <w:p>
            <w:pPr>
              <w:jc w:val="center"/>
              <w:ind w:right="82"/>
              <w:spacing w:after="0"/>
              <w:rPr>
                <w:sz w:val="20"/>
                <w:szCs w:val="20"/>
                <w:color w:val="auto"/>
              </w:rPr>
            </w:pPr>
            <w:r>
              <w:rPr>
                <w:rFonts w:ascii="Arial" w:cs="Arial" w:eastAsia="Arial" w:hAnsi="Arial"/>
                <w:sz w:val="14"/>
                <w:szCs w:val="14"/>
                <w:b w:val="1"/>
                <w:bCs w:val="1"/>
                <w:color w:val="auto"/>
              </w:rPr>
              <w:t>Six months ended 6/30/2020</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Consolidated T.</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Consolidated T.</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currency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1"/>
                <w:szCs w:val="11"/>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products -</w:t>
            </w: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variable interest</w:t>
            </w:r>
          </w:p>
        </w:tc>
        <w:tc>
          <w:tcPr>
            <w:tcW w:w="10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translation</w:t>
            </w:r>
          </w:p>
        </w:tc>
        <w:tc>
          <w:tcPr>
            <w:tcW w:w="1320" w:type="dxa"/>
            <w:vAlign w:val="bottom"/>
            <w:gridSpan w:val="3"/>
            <w:vMerge w:val="continue"/>
          </w:tcPr>
          <w:p>
            <w:pPr>
              <w:spacing w:after="0"/>
              <w:rPr>
                <w:sz w:val="11"/>
                <w:szCs w:val="11"/>
                <w:color w:val="auto"/>
              </w:rPr>
            </w:pPr>
          </w:p>
        </w:tc>
        <w:tc>
          <w:tcPr>
            <w:tcW w:w="14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products - variable</w:t>
            </w:r>
          </w:p>
        </w:tc>
        <w:tc>
          <w:tcPr>
            <w:tcW w:w="100" w:type="dxa"/>
            <w:vAlign w:val="bottom"/>
          </w:tcPr>
          <w:p>
            <w:pPr>
              <w:spacing w:after="0"/>
              <w:rPr>
                <w:sz w:val="11"/>
                <w:szCs w:val="11"/>
                <w:color w:val="auto"/>
              </w:rPr>
            </w:pPr>
          </w:p>
        </w:tc>
        <w:tc>
          <w:tcPr>
            <w:tcW w:w="114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10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00" w:type="dxa"/>
            <w:vAlign w:val="bottom"/>
          </w:tcPr>
          <w:p>
            <w:pPr>
              <w:spacing w:after="0"/>
              <w:rPr>
                <w:sz w:val="15"/>
                <w:szCs w:val="15"/>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157"/>
        </w:trPr>
        <w:tc>
          <w:tcPr>
            <w:tcW w:w="3080" w:type="dxa"/>
            <w:vAlign w:val="bottom"/>
          </w:tcPr>
          <w:p>
            <w:pPr>
              <w:ind w:left="20"/>
              <w:spacing w:after="0" w:line="158" w:lineRule="exact"/>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before reclassifications and income</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6"/>
                <w:szCs w:val="16"/>
                <w:color w:val="auto"/>
              </w:rPr>
              <w:t>taxes</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Reclassification adjustments recognized</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other comprehensive income (loss) in the table above excludes $8.0 million for the 2021 period and $(6.9) million for the 2020 period of other comprehensive income (loss) related to redeemable non-controlling interests held in our consolidated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The parties have reached an agreement in principle, which will be presented to the court for approval. The proposed settlement would not be material to T. Rowe Price Group, Inc.</w:t>
      </w:r>
    </w:p>
    <w:p>
      <w:pPr>
        <w:spacing w:after="0" w:line="23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addition to the matter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June 30, 2021, the related condensed consolidated statements of income, comprehensive income, and stockholders’ equity for the three-month and six-month periods ended June 30, 2021 and 2020, the related condensed consolidated statements of cash flows for the six-month periods ended June 30, 2021 and 2020,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2020, and the related consolidated statements of income, comprehensive income, stockholders’ equity, and cash flows for the year then ended (not presented herein); and in our report dated February 11, 2021, we expressed an unqualified opinion on those consolidated financial statements. In our opinion, the information set forth in the accompanying condensed consolidated balance sheet as of December 31, 2020, is fairly stated, in all material respects, in relation to the consolidated balance sheet from which it has been derived.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collective investment trusts, and other T. Rowe Price products. The other 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collective investment trusts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Additionally, approximately 30% of our operating expenses are impacted by fluctuations in our assets under management.</w:t>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6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Led by large-caps, U.S. stocks produced solid gains in the second quarter of 2021, with many major indexes reaching all-time highs at some point during the last three months. Investors were encouraged by favorable economic data and the broadening distribution of coronavirus vaccines, which enabled state and local governments to roll back more of their pandemic restrictions on business operations and gatherings. The market was also buoyed by strong earnings and revenue growth reported by many companies in recent months. Inflation concerns remained prevalent, but investors largely seemed to accept the Federal Reserve’s determination that rising price pressures were due to “transitory” factors—a viewpoint supported late in the quarter by sharp declines in some commodity prices from recent peaks.</w:t>
      </w:r>
    </w:p>
    <w:p>
      <w:pPr>
        <w:spacing w:after="0" w:line="218"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Stocks in many developed non-U.S. equity markets advanced in U.S. dollar terms, though major non-U.S. currencies were mixed versus the dollar. UK stocks rose about 6%, and other European stock markets were mostly positive. Developed Asian and Far East markets were generally positive, although Japanese shares edged lower.</w:t>
      </w:r>
    </w:p>
    <w:p>
      <w:pPr>
        <w:spacing w:after="0" w:line="218"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Equities in emerging markets generally rose in U.S. dollar terms. Shares in most major emerging European markets produced strong returns, though Turkish shares fell slightly. Latin American markets were mixed, though Brazil led the region with a 23% gain. Asian emerging markets were also mixed, though several markets rose at least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8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6/30/2021</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440" w:type="dxa"/>
            <w:vAlign w:val="bottom"/>
          </w:tcPr>
          <w:p>
            <w:pPr>
              <w:jc w:val="center"/>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440" w:type="dxa"/>
            <w:vAlign w:val="bottom"/>
          </w:tcPr>
          <w:p>
            <w:pPr>
              <w:jc w:val="center"/>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9.2%</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hanging="132"/>
        <w:spacing w:after="0"/>
        <w:tabs>
          <w:tab w:leader="none" w:pos="180" w:val="left"/>
        </w:tabs>
        <w:numPr>
          <w:ilvl w:val="0"/>
          <w:numId w:val="7"/>
        </w:numPr>
        <w:rPr>
          <w:rFonts w:ascii="Arial" w:cs="Arial" w:eastAsia="Arial" w:hAnsi="Arial"/>
          <w:sz w:val="9"/>
          <w:szCs w:val="9"/>
          <w:color w:val="auto"/>
        </w:rPr>
      </w:pPr>
      <w:r>
        <w:rPr>
          <w:rFonts w:ascii="Arial" w:cs="Arial" w:eastAsia="Arial" w:hAnsi="Arial"/>
          <w:sz w:val="14"/>
          <w:szCs w:val="14"/>
          <w:i w:val="1"/>
          <w:iCs w:val="1"/>
          <w:color w:val="auto"/>
        </w:rPr>
        <w:t>Returns exclude dividends</w:t>
      </w:r>
    </w:p>
    <w:p>
      <w:pPr>
        <w:spacing w:after="0" w:line="23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Global bond returns were mostly positive in U.S. dollar terms. In the U.S., bond prices rose as long-term Treasury yields decreased from their first-quarter highs—the 10-year Treasury yield dropped from 1.74% to 1.45%—even though inflation remained a concern among some investors. Shorter-term Treasury yields increased amid expectations that the Federal Reserve could reduce its monthly asset purchases and raise the overnight federal funds target rate sooner than anticipated.</w:t>
      </w:r>
    </w:p>
    <w:p>
      <w:pPr>
        <w:spacing w:after="0" w:line="216" w:lineRule="exact"/>
        <w:rPr>
          <w:sz w:val="20"/>
          <w:szCs w:val="20"/>
          <w:color w:val="auto"/>
        </w:rPr>
      </w:pPr>
    </w:p>
    <w:p>
      <w:pPr>
        <w:jc w:val="both"/>
        <w:ind w:right="540"/>
        <w:spacing w:after="0" w:line="229" w:lineRule="auto"/>
        <w:rPr>
          <w:sz w:val="20"/>
          <w:szCs w:val="20"/>
          <w:color w:val="auto"/>
        </w:rPr>
      </w:pPr>
      <w:r>
        <w:rPr>
          <w:rFonts w:ascii="Arial" w:cs="Arial" w:eastAsia="Arial" w:hAnsi="Arial"/>
          <w:sz w:val="18"/>
          <w:szCs w:val="18"/>
          <w:color w:val="auto"/>
        </w:rPr>
        <w:t>In the investment-grade universe, corporate bonds, long-term Treasuries, and commercial mortgage-backed securities performed well. Asset- and mortgage-backed securities advanced modestly. Tax-free municipal securities trailed the taxable investment-grade market, whereas high yield bonds outperformed, helped by investors’ search for attractive yields.</w:t>
      </w:r>
    </w:p>
    <w:p>
      <w:pPr>
        <w:spacing w:after="0" w:line="21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Bonds in developed non-U.S. markets gained in U.S. dollar terms, though major non-U.S. currencies were mixed versus the U.S. dollar. The dollar rose slightly against the yen, fell almost 1% against the euro, and was little changed against the British pound.</w:t>
      </w:r>
    </w:p>
    <w:p>
      <w:pPr>
        <w:spacing w:after="0" w:line="216"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Emerging markets bonds easily outperformed bonds in developed countries. Local currency issues modestly lagged bonds denominated in U.S. dollars. Many emerging markets currencies rose versus the dollar, with the Brazilian real posting a particularly notable gain. However, the Turkish lira fell materially.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8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6/30/2021</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U.S. Aggregate Bond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(1.6)%</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1440" w:type="dxa"/>
            <w:vAlign w:val="bottom"/>
          </w:tcPr>
          <w:p>
            <w:pPr>
              <w:jc w:val="center"/>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4.0%</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Municipal Bond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Bloomberg Barclays Global Aggregate Ex-U.S. Dollar Bond Index</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.9%</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(4.4)%</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100"/>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274" w:lineRule="exact"/>
        <w:rPr>
          <w:sz w:val="20"/>
          <w:szCs w:val="20"/>
          <w:color w:val="auto"/>
        </w:rPr>
      </w:pPr>
    </w:p>
    <w:p>
      <w:pPr>
        <w:ind w:left="100" w:right="340"/>
        <w:spacing w:after="0" w:line="253" w:lineRule="auto"/>
        <w:rPr>
          <w:sz w:val="20"/>
          <w:szCs w:val="20"/>
          <w:color w:val="auto"/>
        </w:rPr>
      </w:pPr>
      <w:r>
        <w:rPr>
          <w:rFonts w:ascii="Arial" w:cs="Arial" w:eastAsia="Arial" w:hAnsi="Arial"/>
          <w:sz w:val="18"/>
          <w:szCs w:val="18"/>
          <w:color w:val="auto"/>
        </w:rPr>
        <w:t>Assets under management ended the second quarter of 2021 at $1,623.1 billion, an increase of $105.1 billion from March 31, 2021, and $152.6 billion from the end of 2020. For the three months ended June 30, 2021, the increase in assets under management was driven by market appreciation, net of distributions not reinvested, of $105.7 billion, partially offset by net cash outflows of $0.6 billion. Clients transferred $9.2 billion in net assets from the U.S. mutual funds primarily to collective investment trusts and other investment products, of which $5.9 billion transferred into the retirement date trusts.</w:t>
      </w:r>
    </w:p>
    <w:p>
      <w:pPr>
        <w:spacing w:after="0" w:line="232" w:lineRule="exact"/>
        <w:rPr>
          <w:sz w:val="20"/>
          <w:szCs w:val="20"/>
          <w:color w:val="auto"/>
        </w:rPr>
      </w:pPr>
    </w:p>
    <w:p>
      <w:pPr>
        <w:ind w:left="100" w:right="120"/>
        <w:spacing w:after="0" w:line="256" w:lineRule="auto"/>
        <w:rPr>
          <w:sz w:val="20"/>
          <w:szCs w:val="20"/>
          <w:color w:val="auto"/>
        </w:rPr>
      </w:pPr>
      <w:r>
        <w:rPr>
          <w:rFonts w:ascii="Arial" w:cs="Arial" w:eastAsia="Arial" w:hAnsi="Arial"/>
          <w:sz w:val="18"/>
          <w:szCs w:val="18"/>
          <w:color w:val="auto"/>
        </w:rPr>
        <w:t>For the six months ended June 30, 2021, the increase in assets under management was driven by market appreciation, net of distributions not reinvested, of $152.0 billion and net cash inflows of $0.6 billion. Clients transferred $14.8 billion in net assets from the U.S. mutual funds primarily to collective investment trusts and other investment products, of which $10.8 billion transferred into the retirement date trusts.</w:t>
      </w:r>
    </w:p>
    <w:p>
      <w:pPr>
        <w:spacing w:after="0" w:line="229" w:lineRule="exact"/>
        <w:rPr>
          <w:sz w:val="20"/>
          <w:szCs w:val="20"/>
          <w:color w:val="auto"/>
        </w:rPr>
      </w:pPr>
    </w:p>
    <w:p>
      <w:pPr>
        <w:ind w:left="100" w:right="320"/>
        <w:spacing w:after="0" w:line="261" w:lineRule="auto"/>
        <w:rPr>
          <w:sz w:val="20"/>
          <w:szCs w:val="20"/>
          <w:color w:val="auto"/>
        </w:rPr>
      </w:pPr>
      <w:r>
        <w:rPr>
          <w:rFonts w:ascii="Arial" w:cs="Arial" w:eastAsia="Arial" w:hAnsi="Arial"/>
          <w:sz w:val="18"/>
          <w:szCs w:val="18"/>
          <w:color w:val="auto"/>
        </w:rPr>
        <w:t>The following tables detail changes in our assets under management, by vehicle and asset class, during the three- and six-month periods ended June 30,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Borders>
              <w:right w:val="single" w:sz="8" w:color="CCEEFF"/>
            </w:tcBorders>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440" w:type="dxa"/>
            <w:vAlign w:val="bottom"/>
            <w:tcBorders>
              <w:bottom w:val="single" w:sz="8" w:color="auto"/>
            </w:tcBorders>
            <w:gridSpan w:val="11"/>
            <w:shd w:val="clear" w:color="auto" w:fill="CCEEFF"/>
          </w:tcPr>
          <w:p>
            <w:pPr>
              <w:jc w:val="center"/>
              <w:ind w:right="60"/>
              <w:spacing w:after="0"/>
              <w:rPr>
                <w:sz w:val="20"/>
                <w:szCs w:val="20"/>
                <w:color w:val="auto"/>
              </w:rPr>
            </w:pPr>
            <w:r>
              <w:rPr>
                <w:rFonts w:ascii="Arial" w:cs="Arial" w:eastAsia="Arial" w:hAnsi="Arial"/>
                <w:sz w:val="14"/>
                <w:szCs w:val="14"/>
                <w:b w:val="1"/>
                <w:bCs w:val="1"/>
                <w:color w:val="auto"/>
              </w:rPr>
              <w:t>Three months ended 6/30/2021</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60" w:type="dxa"/>
            <w:vAlign w:val="bottom"/>
            <w:tcBorders>
              <w:bottom w:val="single" w:sz="8" w:color="auto"/>
            </w:tcBorders>
            <w:gridSpan w:val="11"/>
            <w:shd w:val="clear" w:color="auto" w:fill="CCEEFF"/>
          </w:tcPr>
          <w:p>
            <w:pPr>
              <w:ind w:left="100"/>
              <w:spacing w:after="0"/>
              <w:rPr>
                <w:sz w:val="20"/>
                <w:szCs w:val="20"/>
                <w:color w:val="auto"/>
              </w:rPr>
            </w:pPr>
            <w:r>
              <w:rPr>
                <w:rFonts w:ascii="Arial" w:cs="Arial" w:eastAsia="Arial" w:hAnsi="Arial"/>
                <w:sz w:val="14"/>
                <w:szCs w:val="14"/>
                <w:b w:val="1"/>
                <w:bCs w:val="1"/>
                <w:color w:val="auto"/>
              </w:rPr>
              <w:t>Six months ended 6/30/2021</w:t>
            </w: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Collective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tcPr>
          <w:p>
            <w:pPr>
              <w:jc w:val="center"/>
              <w:ind w:right="240"/>
              <w:spacing w:after="0" w:line="142" w:lineRule="exact"/>
              <w:rPr>
                <w:sz w:val="20"/>
                <w:szCs w:val="20"/>
                <w:color w:val="auto"/>
              </w:rPr>
            </w:pPr>
            <w:r>
              <w:rPr>
                <w:rFonts w:ascii="Arial" w:cs="Arial" w:eastAsia="Arial" w:hAnsi="Arial"/>
                <w:sz w:val="14"/>
                <w:szCs w:val="14"/>
                <w:b w:val="1"/>
                <w:bCs w:val="1"/>
                <w:color w:val="auto"/>
              </w:rPr>
              <w:t>Collective</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Subadvised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Subadvised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5"/>
          </w:tcPr>
          <w:p>
            <w:pPr>
              <w:jc w:val="center"/>
              <w:ind w:right="240"/>
              <w:spacing w:after="0" w:line="135" w:lineRule="exact"/>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6"/>
          </w:tcPr>
          <w:p>
            <w:pPr>
              <w:jc w:val="center"/>
              <w:ind w:right="120"/>
              <w:spacing w:after="0" w:line="135" w:lineRule="exact"/>
              <w:rPr>
                <w:sz w:val="20"/>
                <w:szCs w:val="20"/>
                <w:color w:val="auto"/>
              </w:rPr>
            </w:pPr>
            <w:r>
              <w:rPr>
                <w:rFonts w:ascii="Arial" w:cs="Arial" w:eastAsia="Arial" w:hAnsi="Arial"/>
                <w:sz w:val="14"/>
                <w:szCs w:val="14"/>
                <w:b w:val="1"/>
                <w:bCs w:val="1"/>
                <w:color w:val="auto"/>
              </w:rPr>
              <w:t>investment trusts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5"/>
          </w:tcPr>
          <w:p>
            <w:pPr>
              <w:jc w:val="center"/>
              <w:ind w:right="220"/>
              <w:spacing w:after="0" w:line="135" w:lineRule="exact"/>
              <w:rPr>
                <w:sz w:val="20"/>
                <w:szCs w:val="20"/>
                <w:color w:val="auto"/>
              </w:rPr>
            </w:pPr>
            <w:r>
              <w:rPr>
                <w:rFonts w:ascii="Arial" w:cs="Arial" w:eastAsia="Arial" w:hAnsi="Arial"/>
                <w:sz w:val="14"/>
                <w:szCs w:val="14"/>
                <w:b w:val="1"/>
                <w:bCs w:val="1"/>
                <w:color w:val="auto"/>
              </w:rPr>
              <w:t>trusts and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U.S. mutual</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funds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and 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funds and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left="22"/>
              <w:spacing w:after="0" w:line="135"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220" w:type="dxa"/>
            <w:vAlign w:val="bottom"/>
            <w:vMerge w:val="restart"/>
          </w:tcPr>
          <w:p>
            <w:pPr>
              <w:spacing w:after="0"/>
              <w:rPr>
                <w:sz w:val="20"/>
                <w:szCs w:val="20"/>
                <w:color w:val="auto"/>
              </w:rPr>
            </w:pPr>
            <w:r>
              <w:rPr>
                <w:rFonts w:ascii="Arial" w:cs="Arial" w:eastAsia="Arial" w:hAnsi="Arial"/>
                <w:sz w:val="14"/>
                <w:szCs w:val="14"/>
                <w:color w:val="auto"/>
              </w:rPr>
              <w:t>(in billions)</w:t>
            </w: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separate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mutual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separate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5"/>
          </w:tcPr>
          <w:p>
            <w:pPr>
              <w:jc w:val="center"/>
              <w:ind w:right="240"/>
              <w:spacing w:after="0" w:line="135" w:lineRule="exact"/>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1"/>
                <w:szCs w:val="11"/>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40"/>
              <w:spacing w:after="0"/>
              <w:rPr>
                <w:sz w:val="20"/>
                <w:szCs w:val="20"/>
                <w:color w:val="auto"/>
              </w:rPr>
            </w:pPr>
            <w:r>
              <w:rPr>
                <w:rFonts w:ascii="Arial" w:cs="Arial" w:eastAsia="Arial" w:hAnsi="Arial"/>
                <w:sz w:val="14"/>
                <w:szCs w:val="14"/>
                <w:b w:val="1"/>
                <w:bCs w:val="1"/>
                <w:color w:val="auto"/>
              </w:rPr>
              <w:t>funds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accounts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products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funds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accounts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40" w:type="dxa"/>
            <w:vAlign w:val="bottom"/>
            <w:tcBorders>
              <w:right w:val="single" w:sz="8" w:color="CCEEFF"/>
            </w:tcBorders>
          </w:tcPr>
          <w:p>
            <w:pPr>
              <w:spacing w:after="0"/>
              <w:rPr>
                <w:sz w:val="13"/>
                <w:szCs w:val="13"/>
                <w:color w:val="auto"/>
              </w:rPr>
            </w:pPr>
          </w:p>
        </w:tc>
        <w:tc>
          <w:tcPr>
            <w:tcW w:w="222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6"/>
                <w:szCs w:val="16"/>
                <w:color w:val="auto"/>
              </w:rPr>
              <w:t>Assets under management at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40" w:type="dxa"/>
            <w:vAlign w:val="bottom"/>
            <w:tcBorders>
              <w:right w:val="single" w:sz="8" w:color="CCEEFF"/>
            </w:tcBorders>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beginning of period</w:t>
            </w: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ind w:right="8"/>
              <w:spacing w:after="0"/>
              <w:rPr>
                <w:sz w:val="20"/>
                <w:szCs w:val="20"/>
                <w:color w:val="auto"/>
              </w:rPr>
            </w:pPr>
            <w:r>
              <w:rPr>
                <w:rFonts w:ascii="Arial" w:cs="Arial" w:eastAsia="Arial" w:hAnsi="Arial"/>
                <w:sz w:val="16"/>
                <w:szCs w:val="16"/>
                <w:color w:val="auto"/>
                <w:w w:val="89"/>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297.8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1,518.0</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794.6</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400.1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275.8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91"/>
        </w:trPr>
        <w:tc>
          <w:tcPr>
            <w:tcW w:w="140" w:type="dxa"/>
            <w:vAlign w:val="bottom"/>
          </w:tcPr>
          <w:p>
            <w:pPr>
              <w:spacing w:after="0"/>
              <w:rPr>
                <w:sz w:val="7"/>
                <w:szCs w:val="7"/>
                <w:color w:val="auto"/>
              </w:rPr>
            </w:pPr>
          </w:p>
        </w:tc>
        <w:tc>
          <w:tcPr>
            <w:tcW w:w="2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40" w:type="dxa"/>
            <w:vAlign w:val="bottom"/>
            <w:tcBorders>
              <w:right w:val="single" w:sz="8" w:color="CCEEFF"/>
            </w:tcBorders>
          </w:tcPr>
          <w:p>
            <w:pPr>
              <w:spacing w:after="0"/>
              <w:rPr>
                <w:sz w:val="15"/>
                <w:szCs w:val="15"/>
                <w:color w:val="auto"/>
              </w:rPr>
            </w:pPr>
          </w:p>
        </w:tc>
        <w:tc>
          <w:tcPr>
            <w:tcW w:w="22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cash flows before client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40" w:type="dxa"/>
            <w:vAlign w:val="bottom"/>
            <w:tcBorders>
              <w:right w:val="single" w:sz="8" w:color="CCEEFF"/>
            </w:tcBorders>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transfers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Client transfers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13.3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140" w:type="dxa"/>
            <w:vAlign w:val="bottom"/>
            <w:tcBorders>
              <w:right w:val="single" w:sz="8" w:color="CCEEFF"/>
            </w:tcBorders>
          </w:tcPr>
          <w:p>
            <w:pPr>
              <w:spacing w:after="0"/>
              <w:rPr>
                <w:sz w:val="13"/>
                <w:szCs w:val="13"/>
                <w:color w:val="auto"/>
              </w:rPr>
            </w:pPr>
          </w:p>
        </w:tc>
        <w:tc>
          <w:tcPr>
            <w:tcW w:w="222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Net cash flows after client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40" w:type="dxa"/>
            <w:vAlign w:val="bottom"/>
            <w:tcBorders>
              <w:right w:val="single" w:sz="8" w:color="CCEEFF"/>
            </w:tcBorders>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transfers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26.9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2220" w:type="dxa"/>
            <w:vAlign w:val="bottom"/>
          </w:tcPr>
          <w:p>
            <w:pPr>
              <w:spacing w:after="0" w:line="178" w:lineRule="exact"/>
              <w:rPr>
                <w:sz w:val="20"/>
                <w:szCs w:val="20"/>
                <w:color w:val="auto"/>
              </w:rPr>
            </w:pPr>
            <w:r>
              <w:rPr>
                <w:rFonts w:ascii="Arial" w:cs="Arial" w:eastAsia="Arial" w:hAnsi="Arial"/>
                <w:sz w:val="16"/>
                <w:szCs w:val="16"/>
                <w:color w:val="auto"/>
              </w:rPr>
              <w:t>Net market appreciation and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gains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105.9</w:t>
            </w: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83.2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41.4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27.7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Net distributions not reinvested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Change during the period</w:t>
            </w: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105.1</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71.2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26.8</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54.6</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91"/>
        </w:trPr>
        <w:tc>
          <w:tcPr>
            <w:tcW w:w="140" w:type="dxa"/>
            <w:vAlign w:val="bottom"/>
            <w:tcBorders>
              <w:right w:val="single" w:sz="8" w:color="CCEEFF"/>
            </w:tcBorders>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2220" w:type="dxa"/>
            <w:vAlign w:val="bottom"/>
          </w:tcPr>
          <w:p>
            <w:pPr>
              <w:spacing w:after="0" w:line="178" w:lineRule="exact"/>
              <w:rPr>
                <w:sz w:val="20"/>
                <w:szCs w:val="20"/>
                <w:color w:val="auto"/>
              </w:rPr>
            </w:pPr>
            <w:r>
              <w:rPr>
                <w:rFonts w:ascii="Arial" w:cs="Arial" w:eastAsia="Arial" w:hAnsi="Arial"/>
                <w:sz w:val="16"/>
                <w:szCs w:val="16"/>
                <w:color w:val="auto"/>
              </w:rPr>
              <w:t>Assets under management at</w:t>
            </w:r>
          </w:p>
        </w:tc>
        <w:tc>
          <w:tcPr>
            <w:tcW w:w="80" w:type="dxa"/>
            <w:vAlign w:val="bottom"/>
            <w:vMerge w:val="restart"/>
          </w:tcPr>
          <w:p>
            <w:pPr>
              <w:spacing w:after="0"/>
              <w:rPr>
                <w:sz w:val="15"/>
                <w:szCs w:val="15"/>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865.8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426.9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vMerge w:val="restart"/>
          </w:tcPr>
          <w:p>
            <w:pPr>
              <w:jc w:val="center"/>
              <w:ind w:right="8"/>
              <w:spacing w:after="0"/>
              <w:rPr>
                <w:sz w:val="20"/>
                <w:szCs w:val="20"/>
                <w:color w:val="auto"/>
              </w:rPr>
            </w:pPr>
            <w:r>
              <w:rPr>
                <w:rFonts w:ascii="Arial" w:cs="Arial" w:eastAsia="Arial" w:hAnsi="Arial"/>
                <w:sz w:val="16"/>
                <w:szCs w:val="16"/>
                <w:color w:val="auto"/>
                <w:w w:val="89"/>
              </w:rPr>
              <w:t>$</w:t>
            </w:r>
          </w:p>
        </w:tc>
        <w:tc>
          <w:tcPr>
            <w:tcW w:w="106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330.4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1,623.1</w:t>
            </w: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865.8</w:t>
            </w:r>
          </w:p>
        </w:tc>
        <w:tc>
          <w:tcPr>
            <w:tcW w:w="2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426.9</w:t>
            </w:r>
          </w:p>
        </w:tc>
        <w:tc>
          <w:tcPr>
            <w:tcW w:w="4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330.4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1,623.1</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2220" w:type="dxa"/>
            <w:vAlign w:val="bottom"/>
          </w:tcPr>
          <w:p>
            <w:pPr>
              <w:spacing w:after="0" w:line="174" w:lineRule="exact"/>
              <w:rPr>
                <w:sz w:val="20"/>
                <w:szCs w:val="20"/>
                <w:color w:val="auto"/>
              </w:rPr>
            </w:pPr>
            <w:r>
              <w:rPr>
                <w:rFonts w:ascii="Arial" w:cs="Arial" w:eastAsia="Arial" w:hAnsi="Arial"/>
                <w:sz w:val="16"/>
                <w:szCs w:val="16"/>
                <w:color w:val="auto"/>
              </w:rPr>
              <w:t>June 30, 2021</w:t>
            </w:r>
          </w:p>
        </w:tc>
        <w:tc>
          <w:tcPr>
            <w:tcW w:w="80" w:type="dxa"/>
            <w:vAlign w:val="bottom"/>
            <w:vMerge w:val="continue"/>
          </w:tcPr>
          <w:p>
            <w:pPr>
              <w:spacing w:after="0"/>
              <w:rPr>
                <w:sz w:val="18"/>
                <w:szCs w:val="18"/>
                <w:color w:val="auto"/>
              </w:rPr>
            </w:pPr>
          </w:p>
        </w:tc>
        <w:tc>
          <w:tcPr>
            <w:tcW w:w="160" w:type="dxa"/>
            <w:vAlign w:val="bottom"/>
            <w:tcBorders>
              <w:bottom w:val="single" w:sz="8" w:color="auto"/>
            </w:tcBorders>
            <w:gridSpan w:val="2"/>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gridSpan w:val="2"/>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vMerge w:val="continue"/>
          </w:tcPr>
          <w:p>
            <w:pPr>
              <w:spacing w:after="0"/>
              <w:rPr>
                <w:sz w:val="18"/>
                <w:szCs w:val="18"/>
                <w:color w:val="auto"/>
              </w:rPr>
            </w:pPr>
          </w:p>
        </w:tc>
        <w:tc>
          <w:tcPr>
            <w:tcW w:w="106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10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180" w:type="dxa"/>
            <w:vAlign w:val="bottom"/>
            <w:tcBorders>
              <w:bottom w:val="single" w:sz="8" w:color="auto"/>
            </w:tcBorders>
            <w:gridSpan w:val="8"/>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6/30/2021</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140" w:type="dxa"/>
            <w:vAlign w:val="bottom"/>
            <w:tcBorders>
              <w:bottom w:val="single" w:sz="8" w:color="auto"/>
            </w:tcBorders>
            <w:gridSpan w:val="9"/>
            <w:shd w:val="clear" w:color="auto" w:fill="CCEEFF"/>
          </w:tcPr>
          <w:p>
            <w:pPr>
              <w:ind w:left="100"/>
              <w:spacing w:after="0"/>
              <w:rPr>
                <w:sz w:val="20"/>
                <w:szCs w:val="20"/>
                <w:color w:val="auto"/>
              </w:rPr>
            </w:pPr>
            <w:r>
              <w:rPr>
                <w:rFonts w:ascii="Arial" w:cs="Arial" w:eastAsia="Arial" w:hAnsi="Arial"/>
                <w:sz w:val="14"/>
                <w:szCs w:val="14"/>
                <w:b w:val="1"/>
                <w:bCs w:val="1"/>
                <w:color w:val="auto"/>
              </w:rPr>
              <w:t>Six months ended 6/30/2021</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rPr>
              <w:t>Fixed income,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right"/>
              <w:ind w:right="22"/>
              <w:spacing w:after="0" w:line="142" w:lineRule="exact"/>
              <w:rPr>
                <w:sz w:val="20"/>
                <w:szCs w:val="20"/>
                <w:color w:val="auto"/>
              </w:rPr>
            </w:pPr>
            <w:r>
              <w:rPr>
                <w:rFonts w:ascii="Arial" w:cs="Arial" w:eastAsia="Arial" w:hAnsi="Arial"/>
                <w:sz w:val="14"/>
                <w:szCs w:val="14"/>
                <w:b w:val="1"/>
                <w:bCs w:val="1"/>
                <w:color w:val="auto"/>
              </w:rPr>
              <w:t>Fixed income,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gridSpan w:val="2"/>
            <w:vMerge w:val="restart"/>
          </w:tcPr>
          <w:p>
            <w:pPr>
              <w:spacing w:after="0"/>
              <w:rPr>
                <w:sz w:val="20"/>
                <w:szCs w:val="20"/>
                <w:color w:val="auto"/>
              </w:rPr>
            </w:pPr>
            <w:r>
              <w:rPr>
                <w:rFonts w:ascii="Arial" w:cs="Arial" w:eastAsia="Arial" w:hAnsi="Arial"/>
                <w:sz w:val="14"/>
                <w:szCs w:val="14"/>
                <w:color w:val="auto"/>
              </w:rPr>
              <w:t>(in billions)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including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vMerge w:val="restart"/>
          </w:tcPr>
          <w:p>
            <w:pPr>
              <w:jc w:val="right"/>
              <w:ind w:right="61"/>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9"/>
                <w:szCs w:val="9"/>
                <w:b w:val="1"/>
                <w:bCs w:val="1"/>
                <w:color w:val="auto"/>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02"/>
              <w:spacing w:after="0" w:line="135" w:lineRule="exact"/>
              <w:rPr>
                <w:sz w:val="20"/>
                <w:szCs w:val="20"/>
                <w:color w:val="auto"/>
              </w:rPr>
            </w:pPr>
            <w:r>
              <w:rPr>
                <w:rFonts w:ascii="Arial" w:cs="Arial" w:eastAsia="Arial" w:hAnsi="Arial"/>
                <w:sz w:val="14"/>
                <w:szCs w:val="14"/>
                <w:b w:val="1"/>
                <w:bCs w:val="1"/>
                <w:color w:val="auto"/>
                <w:w w:val="99"/>
              </w:rPr>
              <w:t>including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restart"/>
          </w:tcPr>
          <w:p>
            <w:pPr>
              <w:jc w:val="right"/>
              <w:ind w:right="2"/>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9"/>
                <w:szCs w:val="9"/>
                <w:b w:val="1"/>
                <w:bCs w:val="1"/>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3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money market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money market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360" w:type="dxa"/>
            <w:vAlign w:val="bottom"/>
            <w:gridSpan w:val="2"/>
          </w:tcPr>
          <w:p>
            <w:pPr>
              <w:spacing w:after="0" w:line="158" w:lineRule="exact"/>
              <w:rPr>
                <w:sz w:val="20"/>
                <w:szCs w:val="20"/>
                <w:color w:val="auto"/>
              </w:rPr>
            </w:pPr>
            <w:r>
              <w:rPr>
                <w:rFonts w:ascii="Arial" w:cs="Arial" w:eastAsia="Arial" w:hAnsi="Arial"/>
                <w:sz w:val="16"/>
                <w:szCs w:val="16"/>
                <w:color w:val="auto"/>
              </w:rPr>
              <w:t>Assets under management at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beginning of period</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917.2</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172.8</w:t>
            </w:r>
          </w:p>
        </w:tc>
        <w:tc>
          <w:tcPr>
            <w:tcW w:w="20" w:type="dxa"/>
            <w:vAlign w:val="bottom"/>
          </w:tcPr>
          <w:p>
            <w:pPr>
              <w:spacing w:after="0"/>
              <w:rPr>
                <w:sz w:val="17"/>
                <w:szCs w:val="17"/>
                <w:color w:val="auto"/>
              </w:rPr>
            </w:pPr>
          </w:p>
        </w:tc>
        <w:tc>
          <w:tcPr>
            <w:tcW w:w="1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428.0</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1,518.0</w:t>
            </w:r>
          </w:p>
        </w:tc>
        <w:tc>
          <w:tcPr>
            <w:tcW w:w="6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Arial" w:cs="Arial" w:eastAsia="Arial" w:hAnsi="Arial"/>
                <w:sz w:val="16"/>
                <w:szCs w:val="16"/>
                <w:color w:val="auto"/>
              </w:rPr>
              <w:t>895.8 $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168.7</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406.0</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1,470.5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2360" w:type="dxa"/>
            <w:vAlign w:val="bottom"/>
            <w:gridSpan w:val="2"/>
          </w:tcPr>
          <w:p>
            <w:pPr>
              <w:spacing w:after="0"/>
              <w:rPr>
                <w:sz w:val="20"/>
                <w:szCs w:val="20"/>
                <w:color w:val="auto"/>
              </w:rPr>
            </w:pPr>
            <w:r>
              <w:rPr>
                <w:rFonts w:ascii="Arial" w:cs="Arial" w:eastAsia="Arial" w:hAnsi="Arial"/>
                <w:sz w:val="16"/>
                <w:szCs w:val="16"/>
                <w:color w:val="auto"/>
              </w:rPr>
              <w:t>Net cash flows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(11.5)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360" w:type="dxa"/>
            <w:vAlign w:val="bottom"/>
            <w:gridSpan w:val="2"/>
          </w:tcPr>
          <w:p>
            <w:pPr>
              <w:spacing w:after="0" w:line="181" w:lineRule="exact"/>
              <w:rPr>
                <w:sz w:val="20"/>
                <w:szCs w:val="20"/>
                <w:color w:val="auto"/>
              </w:rPr>
            </w:pPr>
            <w:r>
              <w:rPr>
                <w:rFonts w:ascii="Arial" w:cs="Arial" w:eastAsia="Arial" w:hAnsi="Arial"/>
                <w:sz w:val="16"/>
                <w:szCs w:val="16"/>
                <w:color w:val="auto"/>
              </w:rPr>
              <w:t>Net market appreciation and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22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6"/>
                <w:szCs w:val="16"/>
                <w:color w:val="auto"/>
              </w:rPr>
              <w:t>gains</w:t>
            </w:r>
            <w:r>
              <w:rPr>
                <w:rFonts w:ascii="Arial" w:cs="Arial" w:eastAsia="Arial" w:hAnsi="Arial"/>
                <w:sz w:val="21"/>
                <w:szCs w:val="21"/>
                <w:color w:val="auto"/>
                <w:vertAlign w:val="superscript"/>
              </w:rPr>
              <w:t>(2)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109.7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Change during the period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600" w:type="dxa"/>
            <w:vAlign w:val="bottom"/>
            <w:gridSpan w:val="5"/>
          </w:tcPr>
          <w:p>
            <w:pPr>
              <w:spacing w:after="0" w:line="145" w:lineRule="exact"/>
              <w:rPr>
                <w:sz w:val="20"/>
                <w:szCs w:val="20"/>
                <w:color w:val="auto"/>
              </w:rPr>
            </w:pPr>
            <w:r>
              <w:rPr>
                <w:rFonts w:ascii="Arial" w:cs="Arial" w:eastAsia="Arial" w:hAnsi="Arial"/>
                <w:sz w:val="16"/>
                <w:szCs w:val="16"/>
                <w:color w:val="auto"/>
              </w:rPr>
              <w:t>Assets under management at June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60" w:type="dxa"/>
            <w:vAlign w:val="bottom"/>
            <w:gridSpan w:val="2"/>
          </w:tcPr>
          <w:p>
            <w:pPr>
              <w:ind w:left="160"/>
              <w:spacing w:after="0"/>
              <w:rPr>
                <w:sz w:val="20"/>
                <w:szCs w:val="20"/>
                <w:color w:val="auto"/>
              </w:rPr>
            </w:pPr>
            <w:r>
              <w:rPr>
                <w:rFonts w:ascii="Arial" w:cs="Arial" w:eastAsia="Arial" w:hAnsi="Arial"/>
                <w:sz w:val="16"/>
                <w:szCs w:val="16"/>
                <w:color w:val="auto"/>
              </w:rPr>
              <w:t>30, 2021</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985.1</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178.7</w:t>
            </w:r>
          </w:p>
        </w:tc>
        <w:tc>
          <w:tcPr>
            <w:tcW w:w="20" w:type="dxa"/>
            <w:vAlign w:val="bottom"/>
          </w:tcPr>
          <w:p>
            <w:pPr>
              <w:spacing w:after="0"/>
              <w:rPr>
                <w:sz w:val="16"/>
                <w:szCs w:val="16"/>
                <w:color w:val="auto"/>
              </w:rPr>
            </w:pPr>
          </w:p>
        </w:tc>
        <w:tc>
          <w:tcPr>
            <w:tcW w:w="1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459.3</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1,623.1</w:t>
            </w:r>
          </w:p>
        </w:tc>
        <w:tc>
          <w:tcPr>
            <w:tcW w:w="60" w:type="dxa"/>
            <w:vAlign w:val="bottom"/>
          </w:tcPr>
          <w:p>
            <w:pPr>
              <w:spacing w:after="0"/>
              <w:rPr>
                <w:sz w:val="16"/>
                <w:szCs w:val="16"/>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ind w:left="80"/>
              <w:spacing w:after="0"/>
              <w:rPr>
                <w:sz w:val="20"/>
                <w:szCs w:val="20"/>
                <w:color w:val="auto"/>
              </w:rPr>
            </w:pPr>
            <w:r>
              <w:rPr>
                <w:rFonts w:ascii="Arial" w:cs="Arial" w:eastAsia="Arial" w:hAnsi="Arial"/>
                <w:sz w:val="16"/>
                <w:szCs w:val="16"/>
                <w:color w:val="auto"/>
              </w:rPr>
              <w:t>985.1 $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178.7</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459.3</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1,623.1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-1508125</wp:posOffset>
            </wp:positionV>
            <wp:extent cx="6995160" cy="1491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491615"/>
                    </a:xfrm>
                    <a:prstGeom prst="rect">
                      <a:avLst/>
                    </a:prstGeom>
                    <a:noFill/>
                  </pic:spPr>
                </pic:pic>
              </a:graphicData>
            </a:graphic>
          </wp:anchor>
        </w:drawing>
      </w:r>
    </w:p>
    <w:p>
      <w:pPr>
        <w:spacing w:after="0" w:line="91" w:lineRule="exact"/>
        <w:rPr>
          <w:sz w:val="20"/>
          <w:szCs w:val="20"/>
          <w:color w:val="auto"/>
        </w:rPr>
      </w:pPr>
    </w:p>
    <w:p>
      <w:pPr>
        <w:ind w:left="240" w:hanging="132"/>
        <w:spacing w:after="0"/>
        <w:tabs>
          <w:tab w:leader="none" w:pos="2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The underlying assets under management of the multi-asset portfolios have been aggregated and presented in this category and not reported in the equity and fixed income columns.</w:t>
      </w:r>
    </w:p>
    <w:p>
      <w:pPr>
        <w:spacing w:after="0" w:line="23" w:lineRule="exact"/>
        <w:rPr>
          <w:rFonts w:ascii="Arial" w:cs="Arial" w:eastAsia="Arial" w:hAnsi="Arial"/>
          <w:sz w:val="16"/>
          <w:szCs w:val="16"/>
          <w:i w:val="1"/>
          <w:iCs w:val="1"/>
          <w:color w:val="auto"/>
          <w:vertAlign w:val="superscript"/>
        </w:rPr>
      </w:pPr>
    </w:p>
    <w:p>
      <w:pPr>
        <w:ind w:left="260" w:hanging="152"/>
        <w:spacing w:after="0" w:line="186" w:lineRule="auto"/>
        <w:tabs>
          <w:tab w:leader="none" w:pos="260" w:val="left"/>
        </w:tabs>
        <w:numPr>
          <w:ilvl w:val="0"/>
          <w:numId w:val="8"/>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distributions reinvested and not reinvested.</w:t>
      </w:r>
    </w:p>
    <w:p>
      <w:pPr>
        <w:spacing w:after="0" w:line="245" w:lineRule="exact"/>
        <w:rPr>
          <w:sz w:val="20"/>
          <w:szCs w:val="20"/>
          <w:color w:val="auto"/>
        </w:rPr>
      </w:pPr>
    </w:p>
    <w:p>
      <w:pPr>
        <w:ind w:left="100" w:right="220"/>
        <w:spacing w:after="0" w:line="261" w:lineRule="auto"/>
        <w:rPr>
          <w:sz w:val="20"/>
          <w:szCs w:val="20"/>
          <w:color w:val="auto"/>
        </w:rPr>
      </w:pPr>
      <w:r>
        <w:rPr>
          <w:rFonts w:ascii="Arial" w:cs="Arial" w:eastAsia="Arial" w:hAnsi="Arial"/>
          <w:sz w:val="18"/>
          <w:szCs w:val="18"/>
          <w:color w:val="auto"/>
        </w:rPr>
        <w:t>Investment advisory clients outside the United States account for 9.0% of our assets under management at June 30, 2021, 8.8% at March, 31, 2021, and 9.3% at December 31, 2020.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886" w:right="339" w:bottom="1440" w:gutter="0" w:footer="0" w:header="0"/>
        </w:sectPr>
      </w:pPr>
    </w:p>
    <w:bookmarkStart w:id="21" w:name="page22"/>
    <w:bookmarkEnd w:id="21"/>
    <w:p>
      <w:pPr>
        <w:ind w:right="160"/>
        <w:spacing w:after="0" w:line="261"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these portfolios, as well as net cash inflows (outflows), by vehicle, were as follows:</w:t>
      </w:r>
    </w:p>
    <w:p>
      <w:pPr>
        <w:spacing w:after="0" w:line="104"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3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Net cash inflows (outflows)</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r>
      <w:tr>
        <w:trPr>
          <w:trHeight w:val="183"/>
        </w:trPr>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tcBorders>
              <w:right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Assets under management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Borders>
              <w:right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4"/>
                <w:szCs w:val="14"/>
                <w:b w:val="1"/>
                <w:bCs w:val="1"/>
                <w:color w:val="auto"/>
              </w:rPr>
              <w:t>12/31/2020</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4"/>
                <w:szCs w:val="14"/>
                <w:b w:val="1"/>
                <w:bCs w:val="1"/>
                <w:color w:val="auto"/>
              </w:rPr>
              <w:t>6/30/2020</w:t>
            </w:r>
          </w:p>
        </w:tc>
      </w:tr>
      <w:tr>
        <w:trPr>
          <w:trHeight w:val="207"/>
        </w:trPr>
        <w:tc>
          <w:tcPr>
            <w:tcW w:w="3240" w:type="dxa"/>
            <w:vAlign w:val="bottom"/>
          </w:tcPr>
          <w:p>
            <w:pPr>
              <w:ind w:left="20"/>
              <w:spacing w:after="0"/>
              <w:rPr>
                <w:sz w:val="20"/>
                <w:szCs w:val="20"/>
                <w:color w:val="auto"/>
              </w:rPr>
            </w:pPr>
            <w:r>
              <w:rPr>
                <w:rFonts w:ascii="Arial" w:cs="Arial" w:eastAsia="Arial" w:hAnsi="Arial"/>
                <w:sz w:val="15"/>
                <w:szCs w:val="15"/>
                <w:color w:val="auto"/>
              </w:rPr>
              <w:t>U.S. mutual funds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179.9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176.1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Collective investment trusts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Separately managed accounts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r>
      <w:tr>
        <w:trPr>
          <w:trHeight w:val="234"/>
        </w:trPr>
        <w:tc>
          <w:tcPr>
            <w:tcW w:w="3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332.2</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provide participant accounting and plan administration for defined contribution retirement plans that invest in the firm's U.S. mutual funds, collective investment trusts and funds outside of the firm's complex. As of June 30, 2021, our assets under administration were $263 billion, of which nearly $162 billion are assets we manage.</w:t>
      </w:r>
    </w:p>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recent years, the firm began offering non-discretionary advisory services through model delivery and multi-asset solutions for providers to implement. We record the revenue earned on these services in administrative fees. The assets under advisement in these portfolios, predominantly in the United States, were $8 billion at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p>
    <w:p>
      <w:pPr>
        <w:spacing w:after="0" w:line="25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trong investment performance and brand awareness is a key driver to attracting and retaining assets—and to our long-term success.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disclosures include specific asset classes, assets under management weighted performance, mutual fund performance against passive peers and composite performance against benchmarks. The following tables present investment performance for the one-, three-, five-, and 10-years ended June 30, 2021. Past performance is no guarantee of future results.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(1),(2)</w:t>
            </w: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13"/>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82%</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59%</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76%</w:t>
            </w:r>
          </w:p>
        </w:tc>
      </w:tr>
      <w:tr>
        <w:trPr>
          <w:trHeight w:val="111"/>
        </w:trPr>
        <w:tc>
          <w:tcPr>
            <w:tcW w:w="568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(1),(3)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64%</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71%</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61%</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86%</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r>
      <w:tr>
        <w:trPr>
          <w:trHeight w:val="162"/>
        </w:trPr>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(4)</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75%</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148"/>
        </w:trPr>
        <w:tc>
          <w:tcPr>
            <w:tcW w:w="39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(1),(2)</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90%</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61%</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96%</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89%</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(1),(3)</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2"/>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62%</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84%</w:t>
            </w:r>
          </w:p>
        </w:tc>
      </w:tr>
      <w:tr>
        <w:trPr>
          <w:trHeight w:val="165"/>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71%</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88%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72%</w:t>
            </w:r>
          </w:p>
        </w:tc>
      </w:tr>
    </w:tbl>
    <w:p>
      <w:pPr>
        <w:spacing w:after="0" w:line="113"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As of June 30, 2021, 77 of 123 (62.6%)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86%</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the firm's rated U.S. mutual funds (across primary share classes) ended June 30, 2021 with an overall rating of 4 or 5 stars.</w:t>
      </w:r>
    </w:p>
    <w:p>
      <w:pPr>
        <w:spacing w:after="0" w:line="222" w:lineRule="exact"/>
        <w:rPr>
          <w:sz w:val="20"/>
          <w:szCs w:val="20"/>
          <w:color w:val="auto"/>
        </w:rPr>
      </w:pPr>
    </w:p>
    <w:p>
      <w:pPr>
        <w:ind w:right="60" w:firstLine="8"/>
        <w:spacing w:after="0" w:line="342" w:lineRule="auto"/>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Source: © 2021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ind w:right="60" w:firstLine="8"/>
        <w:spacing w:after="0" w:line="221" w:lineRule="auto"/>
        <w:tabs>
          <w:tab w:leader="none" w:pos="154" w:val="left"/>
        </w:tabs>
        <w:numPr>
          <w:ilvl w:val="0"/>
          <w:numId w:val="9"/>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AUM included for this analysis includes $526B for 1 year, $526B for 3 years, $525B for 5 years, and $515B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24" w:lineRule="auto"/>
        <w:tabs>
          <w:tab w:leader="none" w:pos="154" w:val="left"/>
        </w:tabs>
        <w:numPr>
          <w:ilvl w:val="0"/>
          <w:numId w:val="9"/>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$506B for 1 year, $499B for 3 years, $499B for 5 years, and $433B for 10 years.</w:t>
      </w:r>
    </w:p>
    <w:p>
      <w:pPr>
        <w:spacing w:after="0" w:line="1" w:lineRule="exact"/>
        <w:rPr>
          <w:rFonts w:ascii="Arial" w:cs="Arial" w:eastAsia="Arial" w:hAnsi="Arial"/>
          <w:sz w:val="17"/>
          <w:szCs w:val="17"/>
          <w:i w:val="1"/>
          <w:iCs w:val="1"/>
          <w:color w:val="auto"/>
          <w:vertAlign w:val="superscript"/>
        </w:rPr>
      </w:pPr>
    </w:p>
    <w:p>
      <w:pPr>
        <w:ind w:right="280"/>
        <w:spacing w:after="0" w:line="206" w:lineRule="auto"/>
        <w:rPr>
          <w:rFonts w:ascii="Arial" w:cs="Arial" w:eastAsia="Arial" w:hAnsi="Arial"/>
          <w:sz w:val="17"/>
          <w:szCs w:val="17"/>
          <w:i w:val="1"/>
          <w:iCs w:val="1"/>
          <w:color w:val="auto"/>
          <w:vertAlign w:val="superscript"/>
        </w:rPr>
      </w:pPr>
      <w:r>
        <w:rPr>
          <w:rFonts w:ascii="Arial" w:cs="Arial" w:eastAsia="Arial" w:hAnsi="Arial"/>
          <w:sz w:val="18"/>
          <w:szCs w:val="18"/>
          <w:i w:val="1"/>
          <w:iCs w:val="1"/>
          <w:color w:val="auto"/>
          <w:vertAlign w:val="superscript"/>
        </w:rPr>
        <w:t>(4)</w:t>
      </w: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$1,513B for 1 year, $1,510B for 3 years, $1,494B for 5 years, and $1,458B for 10 years.</w:t>
      </w:r>
    </w:p>
    <w:p>
      <w:pPr>
        <w:spacing w:after="0" w:line="1" w:lineRule="exact"/>
        <w:rPr>
          <w:rFonts w:ascii="Arial" w:cs="Arial" w:eastAsia="Arial" w:hAnsi="Arial"/>
          <w:sz w:val="17"/>
          <w:szCs w:val="17"/>
          <w:i w:val="1"/>
          <w:iCs w:val="1"/>
          <w:color w:val="auto"/>
          <w:vertAlign w:val="superscript"/>
        </w:rPr>
      </w:pPr>
    </w:p>
    <w:p>
      <w:pPr>
        <w:ind w:right="100" w:firstLine="8"/>
        <w:spacing w:after="0" w:line="231" w:lineRule="auto"/>
        <w:tabs>
          <w:tab w:leader="none" w:pos="154" w:val="left"/>
        </w:tabs>
        <w:numPr>
          <w:ilvl w:val="0"/>
          <w:numId w:val="10"/>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7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and six months ended June 30, 2021 and 2020 on a U.S. GAAP basis as well as a non-GAAP basis.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 if any.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Q2 2021 vs. Q2 2020</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gridSpan w:val="4"/>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YTD 2021 vs. YTD 2020</w:t>
            </w:r>
          </w:p>
        </w:tc>
      </w:tr>
      <w:tr>
        <w:trPr>
          <w:trHeight w:val="183"/>
        </w:trPr>
        <w:tc>
          <w:tcPr>
            <w:tcW w:w="20" w:type="dxa"/>
            <w:vAlign w:val="bottom"/>
          </w:tcPr>
          <w:p>
            <w:pPr>
              <w:spacing w:after="0"/>
              <w:rPr>
                <w:sz w:val="15"/>
                <w:szCs w:val="15"/>
                <w:color w:val="auto"/>
              </w:rPr>
            </w:pPr>
          </w:p>
        </w:tc>
        <w:tc>
          <w:tcPr>
            <w:tcW w:w="2540" w:type="dxa"/>
            <w:vAlign w:val="bottom"/>
            <w:gridSpan w:val="4"/>
          </w:tcPr>
          <w:p>
            <w:pPr>
              <w:spacing w:after="0"/>
              <w:rPr>
                <w:sz w:val="20"/>
                <w:szCs w:val="20"/>
                <w:color w:val="auto"/>
              </w:rPr>
            </w:pPr>
            <w:r>
              <w:rPr>
                <w:rFonts w:ascii="Arial" w:cs="Arial" w:eastAsia="Arial" w:hAnsi="Arial"/>
                <w:sz w:val="13"/>
                <w:szCs w:val="13"/>
                <w:color w:val="auto"/>
              </w:rPr>
              <w:t>(in millions, except per-share data)</w:t>
            </w:r>
          </w:p>
        </w:tc>
        <w:tc>
          <w:tcPr>
            <w:tcW w:w="14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8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U.S. GAAP basis</w:t>
            </w:r>
          </w:p>
        </w:tc>
        <w:tc>
          <w:tcPr>
            <w:tcW w:w="110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6"/>
                <w:szCs w:val="16"/>
                <w:color w:val="auto"/>
              </w:rPr>
              <w:t>Investment advisory fees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1,787.2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1,293.8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493.4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38.1 %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3,475.0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2,621.6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853.4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32.6 %</w:t>
            </w:r>
          </w:p>
        </w:tc>
      </w:tr>
      <w:tr>
        <w:trPr>
          <w:trHeight w:val="219"/>
        </w:trPr>
        <w:tc>
          <w:tcPr>
            <w:tcW w:w="20" w:type="dxa"/>
            <w:vAlign w:val="bottom"/>
            <w:shd w:val="clear" w:color="auto" w:fill="CCEEFF"/>
          </w:tcPr>
          <w:p>
            <w:pPr>
              <w:spacing w:after="0"/>
              <w:rPr>
                <w:sz w:val="19"/>
                <w:szCs w:val="19"/>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30.5 %</w:t>
            </w:r>
          </w:p>
        </w:tc>
      </w:tr>
      <w:tr>
        <w:trPr>
          <w:trHeight w:val="213"/>
        </w:trPr>
        <w:tc>
          <w:tcPr>
            <w:tcW w:w="2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861.7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1,904.8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1,617.1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287.7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17.8 %</w:t>
            </w:r>
          </w:p>
        </w:tc>
      </w:tr>
      <w:tr>
        <w:trPr>
          <w:trHeight w:val="219"/>
        </w:trPr>
        <w:tc>
          <w:tcPr>
            <w:tcW w:w="20" w:type="dxa"/>
            <w:vAlign w:val="bottom"/>
            <w:shd w:val="clear" w:color="auto" w:fill="CCEEFF"/>
          </w:tcPr>
          <w:p>
            <w:pPr>
              <w:spacing w:after="0"/>
              <w:rPr>
                <w:sz w:val="19"/>
                <w:szCs w:val="19"/>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46.8 %</w:t>
            </w:r>
          </w:p>
        </w:tc>
      </w:tr>
      <w:tr>
        <w:trPr>
          <w:trHeight w:val="216"/>
        </w:trPr>
        <w:tc>
          <w:tcPr>
            <w:tcW w:w="20" w:type="dxa"/>
            <w:vAlign w:val="bottom"/>
          </w:tcPr>
          <w:p>
            <w:pPr>
              <w:spacing w:after="0"/>
              <w:rPr>
                <w:sz w:val="18"/>
                <w:szCs w:val="18"/>
                <w:color w:val="auto"/>
              </w:rPr>
            </w:pPr>
          </w:p>
        </w:tc>
        <w:tc>
          <w:tcPr>
            <w:tcW w:w="2540" w:type="dxa"/>
            <w:vAlign w:val="bottom"/>
            <w:gridSpan w:val="4"/>
          </w:tcPr>
          <w:p>
            <w:pPr>
              <w:spacing w:after="0" w:line="216" w:lineRule="exact"/>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415.1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(271.2)</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ind w:left="76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331.2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177"/>
        </w:trPr>
        <w:tc>
          <w:tcPr>
            <w:tcW w:w="20" w:type="dxa"/>
            <w:vAlign w:val="bottom"/>
            <w:shd w:val="clear" w:color="auto" w:fill="CCEEFF"/>
          </w:tcPr>
          <w:p>
            <w:pPr>
              <w:spacing w:after="0"/>
              <w:rPr>
                <w:sz w:val="15"/>
                <w:szCs w:val="15"/>
                <w:color w:val="auto"/>
              </w:rPr>
            </w:pPr>
          </w:p>
        </w:tc>
        <w:tc>
          <w:tcPr>
            <w:tcW w:w="254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color w:val="auto"/>
              </w:rPr>
              <w:t>Net income attributable to</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 Rowe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35.3 %</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65.4 %</w:t>
            </w:r>
          </w:p>
        </w:tc>
      </w:tr>
      <w:tr>
        <w:trPr>
          <w:trHeight w:val="177"/>
        </w:trPr>
        <w:tc>
          <w:tcPr>
            <w:tcW w:w="20" w:type="dxa"/>
            <w:vAlign w:val="bottom"/>
          </w:tcPr>
          <w:p>
            <w:pPr>
              <w:spacing w:after="0"/>
              <w:rPr>
                <w:sz w:val="15"/>
                <w:szCs w:val="15"/>
                <w:color w:val="auto"/>
              </w:rPr>
            </w:pPr>
          </w:p>
        </w:tc>
        <w:tc>
          <w:tcPr>
            <w:tcW w:w="2540" w:type="dxa"/>
            <w:vAlign w:val="bottom"/>
            <w:gridSpan w:val="4"/>
          </w:tcPr>
          <w:p>
            <w:pPr>
              <w:spacing w:after="0" w:line="178" w:lineRule="exact"/>
              <w:rPr>
                <w:sz w:val="20"/>
                <w:szCs w:val="20"/>
                <w:color w:val="auto"/>
              </w:rPr>
            </w:pPr>
            <w:r>
              <w:rPr>
                <w:rFonts w:ascii="Arial" w:cs="Arial" w:eastAsia="Arial" w:hAnsi="Arial"/>
                <w:sz w:val="16"/>
                <w:szCs w:val="16"/>
                <w:color w:val="auto"/>
              </w:rPr>
              <w:t>Diluted earnings per common</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2540" w:type="dxa"/>
            <w:vAlign w:val="bottom"/>
            <w:gridSpan w:val="4"/>
          </w:tcPr>
          <w:p>
            <w:pPr>
              <w:spacing w:after="0"/>
              <w:rPr>
                <w:sz w:val="20"/>
                <w:szCs w:val="20"/>
                <w:color w:val="auto"/>
              </w:rPr>
            </w:pPr>
            <w:r>
              <w:rPr>
                <w:rFonts w:ascii="Arial" w:cs="Arial" w:eastAsia="Arial" w:hAnsi="Arial"/>
                <w:sz w:val="16"/>
                <w:szCs w:val="16"/>
                <w:color w:val="auto"/>
              </w:rPr>
              <w:t>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67.8 %</w:t>
            </w:r>
          </w:p>
        </w:tc>
      </w:tr>
      <w:tr>
        <w:trPr>
          <w:trHeight w:val="180"/>
        </w:trPr>
        <w:tc>
          <w:tcPr>
            <w:tcW w:w="20" w:type="dxa"/>
            <w:vAlign w:val="bottom"/>
            <w:shd w:val="clear" w:color="auto" w:fill="CCEEFF"/>
          </w:tcPr>
          <w:p>
            <w:pPr>
              <w:spacing w:after="0"/>
              <w:rPr>
                <w:sz w:val="15"/>
                <w:szCs w:val="15"/>
                <w:color w:val="auto"/>
              </w:rPr>
            </w:pPr>
          </w:p>
        </w:tc>
        <w:tc>
          <w:tcPr>
            <w:tcW w:w="254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color w:val="auto"/>
              </w:rPr>
              <w:t>Weighted average common shares</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outstanding assuming dilution</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14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6"/>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line="176"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20"/>
                <w:szCs w:val="20"/>
                <w:b w:val="1"/>
                <w:bCs w:val="1"/>
                <w:color w:val="auto"/>
                <w:vertAlign w:val="superscript"/>
              </w:rPr>
              <w:t>(2)</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Operating expenses</w:t>
            </w:r>
          </w:p>
        </w:tc>
        <w:tc>
          <w:tcPr>
            <w:tcW w:w="5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931.8</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785.8</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18.6 %</w:t>
            </w:r>
          </w:p>
        </w:tc>
        <w:tc>
          <w:tcPr>
            <w:tcW w:w="14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1,841.0</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1,603.7</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237.3</w:t>
            </w: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14.8 %</w:t>
            </w:r>
          </w:p>
        </w:tc>
      </w:tr>
      <w:tr>
        <w:trPr>
          <w:trHeight w:val="219"/>
        </w:trPr>
        <w:tc>
          <w:tcPr>
            <w:tcW w:w="20" w:type="dxa"/>
            <w:vAlign w:val="bottom"/>
            <w:shd w:val="clear" w:color="auto" w:fill="CCEEFF"/>
          </w:tcPr>
          <w:p>
            <w:pPr>
              <w:spacing w:after="0"/>
              <w:rPr>
                <w:sz w:val="19"/>
                <w:szCs w:val="19"/>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49.9 %</w:t>
            </w:r>
          </w:p>
        </w:tc>
      </w:tr>
      <w:tr>
        <w:trPr>
          <w:trHeight w:val="216"/>
        </w:trPr>
        <w:tc>
          <w:tcPr>
            <w:tcW w:w="20" w:type="dxa"/>
            <w:vAlign w:val="bottom"/>
          </w:tcPr>
          <w:p>
            <w:pPr>
              <w:spacing w:after="0"/>
              <w:rPr>
                <w:sz w:val="18"/>
                <w:szCs w:val="18"/>
                <w:color w:val="auto"/>
              </w:rPr>
            </w:pPr>
          </w:p>
        </w:tc>
        <w:tc>
          <w:tcPr>
            <w:tcW w:w="2540" w:type="dxa"/>
            <w:vAlign w:val="bottom"/>
            <w:gridSpan w:val="4"/>
          </w:tcPr>
          <w:p>
            <w:pPr>
              <w:spacing w:after="0" w:line="216" w:lineRule="exact"/>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ind w:left="76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177"/>
        </w:trPr>
        <w:tc>
          <w:tcPr>
            <w:tcW w:w="20" w:type="dxa"/>
            <w:vAlign w:val="bottom"/>
            <w:shd w:val="clear" w:color="auto" w:fill="CCEEFF"/>
          </w:tcPr>
          <w:p>
            <w:pPr>
              <w:spacing w:after="0"/>
              <w:rPr>
                <w:sz w:val="15"/>
                <w:szCs w:val="15"/>
                <w:color w:val="auto"/>
              </w:rPr>
            </w:pPr>
          </w:p>
        </w:tc>
        <w:tc>
          <w:tcPr>
            <w:tcW w:w="254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color w:val="auto"/>
              </w:rPr>
              <w:t>Net income attributable to T. Rowe</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Price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44.4 %</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r>
      <w:tr>
        <w:trPr>
          <w:trHeight w:val="177"/>
        </w:trPr>
        <w:tc>
          <w:tcPr>
            <w:tcW w:w="20" w:type="dxa"/>
            <w:vAlign w:val="bottom"/>
          </w:tcPr>
          <w:p>
            <w:pPr>
              <w:spacing w:after="0"/>
              <w:rPr>
                <w:sz w:val="15"/>
                <w:szCs w:val="15"/>
                <w:color w:val="auto"/>
              </w:rPr>
            </w:pPr>
          </w:p>
        </w:tc>
        <w:tc>
          <w:tcPr>
            <w:tcW w:w="2540" w:type="dxa"/>
            <w:vAlign w:val="bottom"/>
            <w:gridSpan w:val="4"/>
          </w:tcPr>
          <w:p>
            <w:pPr>
              <w:spacing w:after="0" w:line="178" w:lineRule="exact"/>
              <w:rPr>
                <w:sz w:val="20"/>
                <w:szCs w:val="20"/>
                <w:color w:val="auto"/>
              </w:rPr>
            </w:pPr>
            <w:r>
              <w:rPr>
                <w:rFonts w:ascii="Arial" w:cs="Arial" w:eastAsia="Arial" w:hAnsi="Arial"/>
                <w:sz w:val="16"/>
                <w:szCs w:val="16"/>
                <w:color w:val="auto"/>
              </w:rPr>
              <w:t>Diluted earnings per common</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2540" w:type="dxa"/>
            <w:vAlign w:val="bottom"/>
            <w:gridSpan w:val="4"/>
          </w:tcPr>
          <w:p>
            <w:pPr>
              <w:spacing w:after="0"/>
              <w:rPr>
                <w:sz w:val="20"/>
                <w:szCs w:val="20"/>
                <w:color w:val="auto"/>
              </w:rPr>
            </w:pPr>
            <w:r>
              <w:rPr>
                <w:rFonts w:ascii="Arial" w:cs="Arial" w:eastAsia="Arial" w:hAnsi="Arial"/>
                <w:sz w:val="16"/>
                <w:szCs w:val="16"/>
                <w:color w:val="auto"/>
              </w:rPr>
              <w:t>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44.5 %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52.3 %</w:t>
            </w:r>
          </w:p>
        </w:tc>
      </w:tr>
      <w:tr>
        <w:trPr>
          <w:trHeight w:val="98"/>
        </w:trPr>
        <w:tc>
          <w:tcPr>
            <w:tcW w:w="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20" w:type="dxa"/>
            <w:vAlign w:val="bottom"/>
            <w:gridSpan w:val="3"/>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176"/>
        </w:trPr>
        <w:tc>
          <w:tcPr>
            <w:tcW w:w="20" w:type="dxa"/>
            <w:vAlign w:val="bottom"/>
          </w:tcPr>
          <w:p>
            <w:pPr>
              <w:spacing w:after="0"/>
              <w:rPr>
                <w:sz w:val="15"/>
                <w:szCs w:val="15"/>
                <w:color w:val="auto"/>
              </w:rPr>
            </w:pPr>
          </w:p>
        </w:tc>
        <w:tc>
          <w:tcPr>
            <w:tcW w:w="3600" w:type="dxa"/>
            <w:vAlign w:val="bottom"/>
            <w:gridSpan w:val="7"/>
          </w:tcPr>
          <w:p>
            <w:pPr>
              <w:spacing w:after="0" w:line="175" w:lineRule="exact"/>
              <w:rPr>
                <w:sz w:val="20"/>
                <w:szCs w:val="20"/>
                <w:color w:val="auto"/>
              </w:rPr>
            </w:pPr>
            <w:r>
              <w:rPr>
                <w:rFonts w:ascii="Arial" w:cs="Arial" w:eastAsia="Arial" w:hAnsi="Arial"/>
                <w:sz w:val="16"/>
                <w:szCs w:val="16"/>
                <w:b w:val="1"/>
                <w:bCs w:val="1"/>
                <w:color w:val="auto"/>
              </w:rPr>
              <w:t xml:space="preserve">Assets under management </w:t>
            </w:r>
            <w:r>
              <w:rPr>
                <w:rFonts w:ascii="Arial" w:cs="Arial" w:eastAsia="Arial" w:hAnsi="Arial"/>
                <w:sz w:val="16"/>
                <w:szCs w:val="16"/>
                <w:color w:val="auto"/>
              </w:rPr>
              <w:t>(in billions)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54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color w:val="auto"/>
              </w:rPr>
              <w:t>Average assets under</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management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39.0 %</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395.7</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34.4 %</w:t>
            </w:r>
          </w:p>
        </w:tc>
      </w:tr>
      <w:tr>
        <w:trPr>
          <w:trHeight w:val="216"/>
        </w:trPr>
        <w:tc>
          <w:tcPr>
            <w:tcW w:w="20" w:type="dxa"/>
            <w:vAlign w:val="bottom"/>
          </w:tcPr>
          <w:p>
            <w:pPr>
              <w:spacing w:after="0"/>
              <w:rPr>
                <w:sz w:val="18"/>
                <w:szCs w:val="18"/>
                <w:color w:val="auto"/>
              </w:rPr>
            </w:pPr>
          </w:p>
        </w:tc>
        <w:tc>
          <w:tcPr>
            <w:tcW w:w="2680" w:type="dxa"/>
            <w:vAlign w:val="bottom"/>
            <w:gridSpan w:val="5"/>
          </w:tcPr>
          <w:p>
            <w:pPr>
              <w:spacing w:after="0"/>
              <w:rPr>
                <w:sz w:val="20"/>
                <w:szCs w:val="20"/>
                <w:color w:val="auto"/>
              </w:rPr>
            </w:pPr>
            <w:r>
              <w:rPr>
                <w:rFonts w:ascii="Arial" w:cs="Arial" w:eastAsia="Arial" w:hAnsi="Arial"/>
                <w:sz w:val="16"/>
                <w:szCs w:val="16"/>
                <w:color w:val="auto"/>
              </w:rPr>
              <w:t>Ending assets under management $</w:t>
            </w:r>
          </w:p>
        </w:tc>
        <w:tc>
          <w:tcPr>
            <w:tcW w:w="820" w:type="dxa"/>
            <w:vAlign w:val="bottom"/>
          </w:tcPr>
          <w:p>
            <w:pPr>
              <w:jc w:val="right"/>
              <w:spacing w:after="0"/>
              <w:rPr>
                <w:sz w:val="20"/>
                <w:szCs w:val="20"/>
                <w:color w:val="auto"/>
              </w:rPr>
            </w:pPr>
            <w:r>
              <w:rPr>
                <w:rFonts w:ascii="Arial" w:cs="Arial" w:eastAsia="Arial" w:hAnsi="Arial"/>
                <w:sz w:val="16"/>
                <w:szCs w:val="16"/>
                <w:color w:val="auto"/>
              </w:rPr>
              <w:t>1,623.1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1,220.0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403.1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1,623.1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1,220.0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403.1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33.0 %</w:t>
            </w:r>
          </w:p>
        </w:tc>
      </w:tr>
    </w:tbl>
    <w:p>
      <w:pPr>
        <w:spacing w:after="0" w:line="72"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in non-operating income (loss) is not meaningful (n/m).</w:t>
      </w:r>
    </w:p>
    <w:p>
      <w:pPr>
        <w:spacing w:after="0" w:line="15" w:lineRule="exact"/>
        <w:rPr>
          <w:rFonts w:ascii="Arial" w:cs="Arial" w:eastAsia="Arial" w:hAnsi="Arial"/>
          <w:sz w:val="9"/>
          <w:szCs w:val="9"/>
          <w:i w:val="1"/>
          <w:iCs w:val="1"/>
          <w:color w:val="auto"/>
        </w:rPr>
      </w:pPr>
    </w:p>
    <w:p>
      <w:pPr>
        <w:ind w:left="140" w:hanging="132"/>
        <w:spacing w:after="0"/>
        <w:tabs>
          <w:tab w:leader="none" w:pos="140" w:val="left"/>
        </w:tabs>
        <w:numPr>
          <w:ilvl w:val="0"/>
          <w:numId w:val="11"/>
        </w:numPr>
        <w:rPr>
          <w:rFonts w:ascii="Arial" w:cs="Arial" w:eastAsia="Arial" w:hAnsi="Arial"/>
          <w:sz w:val="9"/>
          <w:szCs w:val="9"/>
          <w:i w:val="1"/>
          <w:iCs w:val="1"/>
          <w:color w:val="auto"/>
        </w:rPr>
      </w:pPr>
      <w:r>
        <w:rPr>
          <w:rFonts w:ascii="Arial" w:cs="Arial" w:eastAsia="Arial" w:hAnsi="Arial"/>
          <w:sz w:val="14"/>
          <w:szCs w:val="14"/>
          <w:i w:val="1"/>
          <w:iCs w:val="1"/>
          <w:color w:val="auto"/>
        </w:rPr>
        <w:t>See the reconciliation to the comparable U.S. GAAP measures at the end of the Results of Operations section of this Management’s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June 30, 2021</w:t>
      </w:r>
    </w:p>
    <w:p>
      <w:pPr>
        <w:spacing w:after="0" w:line="25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2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Investment advisory revenues earned in the second quarter of 2021 increased over the comparable 2020 quarter as average assets under our management increased $445.1 billion, or 39.0%, to $ 1,585.3 billion. In the second quarter of 2021, we voluntarily waived $14.3 million, or less than 1%, of our investment advisory fees in order to continue to maintain a positive yield for investors. At June 30, 2021, combined net assets of the investment portfolios in which we waived fees in the second quarter of 2021 were $ 23.4 billion. We expect to continue to waive fees for the remainder of 2021 and anticipate that the waivers in each of the next two quarters of 2021 will be at similar levels.</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average annualized effective fee rate earned during the second quarter of 2021 was 45.2 basis points, compared with 45.6 basis points earned during the second quarter of 2020 and 45.4 basis points during the first quarter of 2021. In comparison to the second quarter of 2020, our annualized effective fee rate declined primarily due to client transfers within the complex to lower fee vehicles or share classes over the last twelve months and the money market fee waivers.</w:t>
      </w:r>
    </w:p>
    <w:p>
      <w:pPr>
        <w:spacing w:after="0" w:line="213"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$971.2 million in the second quarter of 2021 compared with $861.7 million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2020. Approximately 50% of the increase in our operating expenses for the second quarter of 2021 compared to the second quarter of 2020 was due to higher compensation expenses. The largest drivers of the increased compensation expenses was the higher interim bonus accrual and increased salaries and benefits, partially offset by lower compensation expenses related to the supplemental savings plan. For the second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4" w:name="page25"/>
    <w:bookmarkEnd w:id="24"/>
    <w:p>
      <w:pPr>
        <w:ind w:right="100"/>
        <w:spacing w:after="0" w:line="254" w:lineRule="auto"/>
        <w:rPr>
          <w:sz w:val="20"/>
          <w:szCs w:val="20"/>
          <w:color w:val="auto"/>
        </w:rPr>
      </w:pPr>
      <w:r>
        <w:rPr>
          <w:rFonts w:ascii="Arial" w:cs="Arial" w:eastAsia="Arial" w:hAnsi="Arial"/>
          <w:sz w:val="18"/>
          <w:szCs w:val="18"/>
          <w:color w:val="auto"/>
        </w:rPr>
        <w:t>quarter of 2021, the expense related to the supplemental savings plan was almost entirely offset by the non-operating gains earned on the investments used to economically hedge the related liability. Also contributing to the increase in operating expenses were higher distribution and servicing costs due to higher average assets under management. The firm employed 7,804 associates at June 30, 2021, an increase of 1.6% from the end of 2020 and 3.7% from June 30, 2020.</w:t>
      </w:r>
    </w:p>
    <w:p>
      <w:pPr>
        <w:spacing w:after="0" w:line="21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the second quarter of 2021, we announced a transformation of our retirement recordkeeping business with the expansion of our partnership with FIS, a global technology leader. FIS will assume responsibility for managing retirement technology development and core operations for our full-service recordkeeping offering. This relationship will allow us to quickly add new features to our clients’ plans while driving long term efficiencies that we expect to reinvest into strategic growth areas across the firm. As part of this expanded relationship, approximately 800 T. Rowe Price operations and technology associates will become employees of FIS as of August 1, 2021. The transfer of these employees will result in a decrease in compensation and related expenses offset by the cost of this relationship, which will be reflected in product and recordkeeping related costs along with the technology, occupancy, and facilities cost lines of the income statement. We expect the primary driver of these costs in the future to be the number of plan participants. Additionally, while we will incur some costs to transition to FIS’ platform, savings will ramp up from 2022 onwards, allowing us to reinvest across the firm broadly.</w:t>
      </w:r>
    </w:p>
    <w:p>
      <w:pPr>
        <w:spacing w:after="0" w:line="2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a non-GAAP basis, our operating expenses in the second quarter of 2021 increased 18.6% to $931.8 million compared to the second quarter of 2020. Our non-GAAP operating expenses do not include the impact of our supplemental savings plan and consolidated sponsored investment products. See our non-GAAP reconciliations later in this Management’s Discussion and Analysis section.</w:t>
      </w:r>
    </w:p>
    <w:p>
      <w:pPr>
        <w:spacing w:after="0" w:line="211"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i w:val="1"/>
          <w:iCs w:val="1"/>
          <w:u w:val="single" w:color="auto"/>
          <w:color w:val="auto"/>
        </w:rPr>
        <w:t>Operating margin.</w:t>
      </w:r>
      <w:r>
        <w:rPr>
          <w:rFonts w:ascii="Arial" w:cs="Arial" w:eastAsia="Arial" w:hAnsi="Arial"/>
          <w:sz w:val="17"/>
          <w:szCs w:val="17"/>
          <w:i w:val="1"/>
          <w:iCs w:val="1"/>
          <w:color w:val="auto"/>
        </w:rPr>
        <w:t xml:space="preserve"> </w:t>
      </w:r>
      <w:r>
        <w:rPr>
          <w:rFonts w:ascii="Arial" w:cs="Arial" w:eastAsia="Arial" w:hAnsi="Arial"/>
          <w:sz w:val="17"/>
          <w:szCs w:val="17"/>
          <w:color w:val="auto"/>
        </w:rPr>
        <w:t>Our operating margin in the second quarter of 2021 was 49.7%, compared to 39.1% earned in the 2020 quarter.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our operating margin for the second quarter of 2021 compared to the 2020 period was primarily driven by higher investment advisory fee revenue and lower expense related to our supplemental savings plan, partially offset by higher distribution and servicing costs.</w:t>
      </w:r>
    </w:p>
    <w:p>
      <w:pPr>
        <w:spacing w:after="0" w:line="18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$ 3.46 for the second quarter of 2021 as compared to $ 2.55 for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2020. The 35.7% increase was primarily driven by higher operating income, as strong markets since the end of the first quarter of 2020 have increased average assets under management resulting in higher investment advisory fee revenue. This increase was partially offset by lower net investment gains recognized in the second quarter of 2021 as the sharp market recovery following the significant losses experienced in the first quarter of 2020 outpaced the market performance in the second quarter of 2021.</w:t>
      </w:r>
    </w:p>
    <w:p>
      <w:pPr>
        <w:spacing w:after="0" w:line="22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 non-GAAP basis, diluted earnings per share was $3.31 for the second quarter of 2021 as compared to $2.29 for the second quarter of 2020. Similar to our GAAP diluted earnings, strong markets since the end of the second quarter of 2020 led to higher operating income in the comparable 2021 period. Our cash and discretionary investments experienced lower net gains in the 2021 quarter compared with 2020 quarter. The significant gains earned on our cash and discretionary investments in the second quarter of 2020 as the sharp market recovery following the significant losses experienced in the first quarter of 2020 outpaced the market performance in the second quarter of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Year-to-Date ended June 30, 2021</w:t>
      </w:r>
    </w:p>
    <w:p>
      <w:pPr>
        <w:spacing w:after="0" w:line="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revenues earned in the six months ended June 30, 2021 increased over the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2020 period as average assets under our management increased $395.7 billion, or 34.4%, to $1,547.1 billion. We waived $29.3 million, or less than 1% of total investment advisory fees from certain of our money market mutual funds, trusts and other investment portfolios during the six months ended June 30, 2021. We expect to continue to waive fees for the remainder of 2021 and anticipate that the waivers in each of the next two quarters of 2021 will be at similar levels.</w:t>
      </w:r>
    </w:p>
    <w:p>
      <w:pPr>
        <w:spacing w:after="0" w:line="232"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average annualized effective fee rate earned on our assets under management during the six months ended June 30, 2021 was 45.3 basis points compared with 45.8 basis points earned during the same period of 2020. Our annualized effective fee rate declined primarily due to client transfers within the complex to lower fee vehicles or share classes over the last twelve months and the money market fee waivers.</w:t>
      </w:r>
    </w:p>
    <w:p>
      <w:pPr>
        <w:spacing w:after="0" w:line="19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$ 1,904.8 million in the six months ended June 30, 2021 compared with $1,617.1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2020 period. About two-thirds of the increase in operating expenses was due to higher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right="80"/>
        <w:spacing w:after="0" w:line="254" w:lineRule="auto"/>
        <w:rPr>
          <w:sz w:val="20"/>
          <w:szCs w:val="20"/>
          <w:color w:val="auto"/>
        </w:rPr>
      </w:pPr>
      <w:r>
        <w:rPr>
          <w:rFonts w:ascii="Arial" w:cs="Arial" w:eastAsia="Arial" w:hAnsi="Arial"/>
          <w:sz w:val="18"/>
          <w:szCs w:val="18"/>
          <w:color w:val="auto"/>
        </w:rPr>
        <w:t>compensation expenses, including a $49.2 million increase in operating expenses related to the supplemental savings plan due to higher market returns in the six months ended June 30, 2021 as compared to the six months ended June 30, 2020, higher interim bonus accrual, and increased salaries and benefits. Also contributing to the increase in operating expenses were higher distribution and servicing costs due to higher average assets under management.</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 non-GAAP basis, our operating expenses for the six months ended June 30, 2021 increased 14.8% to $1,841.0 million compared to the 2020 period. Our non-GAAP operating expenses do not include the impact of our supplemental savings plan and consolidated sponsored investment products. See our non-GAAP reconciliations later in this Management’s Discussion and Analysis section.</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2021 and beyond, we expect to advance our strategic priorities to maintain our position as a global and diversified asset manager, a global partner for retirement investors and a provider of integrated investment solutions; to embed environmental, social and governance and sustainability principles across the firm; to maintain effective processes and controls while becoming a more adaptive and agile firm; and to become a destination of choice for top talent with a diverse workforce and inclusive culture. We updated our 2021 non-GAAP operating expense growth guidance from a range of 10% - 14% to a range of 12% - 15% to reflect an increase in our expectations for expenses. We can elect to adjust our expense growth in the future should unforeseen circumstances arise, including significant market movements. As discussed in May 2021, the impact of the firm's expanded partnership with FIS remains reflected in the expense growth guidance above.</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six months ended June 30, 2021 was 49.3%, compared to 43.8% earned in the 2020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our operating margin for the six months ended June 30, 2021 compared to the 2020 period was primarily driven by higher net revenues, partially offset by higher compensation costs and distribution and servicing costs.</w:t>
      </w:r>
    </w:p>
    <w:p>
      <w:pPr>
        <w:spacing w:after="0" w:line="203"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$6.63 for the six months ended June 30, 2021 as compared to $3.95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The 67.8% increase was primarily driven by higher operating income, higher net investment gains, and lower weighted average outstanding shares.</w:t>
      </w:r>
    </w:p>
    <w:p>
      <w:pPr>
        <w:spacing w:after="0" w:line="22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On a non-GAAP basis, diluted earnings per share was $6.32 for the six months ended June 30, 2021 as compared to $4.15 for the 2020 period. The increase in adjusted diluted earnings per share was primarily due to higher operating income and lower weighted average outstanding shares. See our non-GAAP reconciliations later in this Management’s Discussion and Analysis section.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92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Q2 2021 vs. Q2 2020</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YTD 2021 vs. YTD 2020</w:t>
            </w:r>
          </w:p>
        </w:tc>
      </w:tr>
      <w:tr>
        <w:trPr>
          <w:trHeight w:val="183"/>
        </w:trPr>
        <w:tc>
          <w:tcPr>
            <w:tcW w:w="2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5"/>
                <w:szCs w:val="15"/>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6/30/2021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6/30/2020</w:t>
            </w:r>
          </w:p>
        </w:tc>
        <w:tc>
          <w:tcPr>
            <w:tcW w:w="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right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6/30/2021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U.S. mutual funds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1,097.5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823.1</w:t>
            </w:r>
          </w:p>
        </w:tc>
        <w:tc>
          <w:tcPr>
            <w:tcW w:w="12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274.4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33.3 %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2,147.7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1,699.3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448.4</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26.4 %</w:t>
            </w:r>
          </w:p>
        </w:tc>
      </w:tr>
      <w:tr>
        <w:trPr>
          <w:trHeight w:val="180"/>
        </w:trPr>
        <w:tc>
          <w:tcPr>
            <w:tcW w:w="250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Subadvised funds, separate</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62"/>
        </w:trPr>
        <w:tc>
          <w:tcPr>
            <w:tcW w:w="25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accounts, collective investment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2"/>
        </w:trPr>
        <w:tc>
          <w:tcPr>
            <w:tcW w:w="25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trusts, and other investment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98"/>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219.0</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46.5 %</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1,327.3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43.9 %</w:t>
            </w:r>
          </w:p>
        </w:tc>
      </w:tr>
      <w:tr>
        <w:trPr>
          <w:trHeight w:val="210"/>
        </w:trPr>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493.4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38.1 %</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3,475.0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853.4</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32.6 %</w:t>
            </w:r>
          </w:p>
        </w:tc>
      </w:tr>
      <w:tr>
        <w:trPr>
          <w:trHeight w:val="145"/>
        </w:trPr>
        <w:tc>
          <w:tcPr>
            <w:tcW w:w="250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Administrative, distribution,</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 servicing fees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Administrative fees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9.5 %</w:t>
            </w: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and servicing fees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209"/>
        </w:trPr>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16.9 %</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9.6 %</w:t>
            </w:r>
          </w:p>
        </w:tc>
      </w:tr>
      <w:tr>
        <w:trPr>
          <w:trHeight w:val="238"/>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513.9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3,756.1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30.5 %</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mutual funds</w:t>
      </w:r>
    </w:p>
    <w:p>
      <w:pPr>
        <w:spacing w:after="0" w:line="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Investment advisory revenues earned in the second quarter of 2021 from our U.S. mutual funds were $1,097.5 million, an increase of 33.3% from the comparable 2020 quarter. Average assets under management in these funds for the second quarter of 2021 increased 34.9% from the 2020 quarter to $848.2 billion.</w:t>
      </w:r>
    </w:p>
    <w:p>
      <w:pPr>
        <w:spacing w:after="0" w:line="22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For the six months ended June 30, 2021, investment advisory revenues earned from the firm's U.S. mutual funds were $2,147.7 million, an increase of 26.4% from the comparable 2020 period. Average assets under management in these funds for the six months ended June 30, 2021 increased 29.6% from the 2020 period to $831.3 billion.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second quarter and six months ended June 30, 2021, the relationship between U.S. mutual funds’ average assets under management and investment advisory fee growth was impacted primarily by client transfers within the complex to lower fee vehicles or share classes during the last twelve months and the money market fee waivers. In addition, strong market returns led to a relative decrease in the percentage fee earned as the asset levels of certain tiered-fee funds crossed a new tier.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Subadvised funds, separate accounts, collective investment trusts and other investment products (other portfolios)</w:t>
      </w:r>
    </w:p>
    <w:p>
      <w:pPr>
        <w:spacing w:after="0" w:line="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Investment advisory revenues earned in the second quarter of 2021 from these other portfolios were $689.7 million, an increase of 46.5% from the comparable 2020 quarter. Average assets under management for these products increased 44.1% from the 2020 quarter to $737.1 billion.</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six months ended June 30, 2021, investment advisory revenues earned from subadvised and separate accounts as well as collective investment trusts and other investment products were $1,327.3 million, an increase of 43.9% from the 2020 period. Average assets under management for these products increased 40.4% from the 2020 period to $715.8 billion.</w:t>
      </w:r>
    </w:p>
    <w:p>
      <w:pPr>
        <w:spacing w:after="0" w:line="22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For the other portfolios, inflows into our international products, which have a higher fee rate relative to other products, drove investment advisory revenues to outpace the increase in average assets under management.</w:t>
      </w:r>
    </w:p>
    <w:p>
      <w:pPr>
        <w:spacing w:after="0" w:line="22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These investment advisory revenues include distribution-related services we provide to the international products and then contract with third-party intermediaries to distribute these products. The costs we incur to pay the third-party intermediaries are recorded as part of distribution and servicing expenses.</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the second quarter of 2021 were $142.1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 increase of $20.5 million, or 16.9%, from the comparable 2020 quarter. For the six months ended June 30, 2021, these fees were $281.1 million, an increase of $24.7 million, or 9.6%, from the 2020 period. The increase was primarily due to higher transfer agent servicing activities provided to the U.S. mutual funds, higher model delivery revenue, as well as higher 12b-1 revenue earned on the Advisor and R share classes of the U.S. mutual funds as a result of increased assets under management in these share classes. The increase in 12b-1 revenue is offset entirely by an increase in the costs paid to third-party intermediaries that source these assets and are reported in distribution and servicing expense.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 Rowe Price investment products. The corresponding expenses recognized by these products, and consolidated in our financial statements, were also eliminated from operating expenses. For the second quarter, we eliminated net revenue of $1.1 million in 2021 and $2.1 million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Q2 2021 vs. Q2 2020</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YTD 2021 vs. YTD 2020</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5"/>
                <w:szCs w:val="15"/>
                <w:color w:val="auto"/>
              </w:rPr>
            </w:pPr>
          </w:p>
        </w:tc>
        <w:tc>
          <w:tcPr>
            <w:tcW w:w="780" w:type="dxa"/>
            <w:vAlign w:val="bottom"/>
          </w:tcPr>
          <w:p>
            <w:pPr>
              <w:jc w:val="right"/>
              <w:ind w:right="41"/>
              <w:spacing w:after="0"/>
              <w:rPr>
                <w:sz w:val="20"/>
                <w:szCs w:val="20"/>
                <w:color w:val="auto"/>
              </w:rPr>
            </w:pPr>
            <w:r>
              <w:rPr>
                <w:rFonts w:ascii="Arial" w:cs="Arial" w:eastAsia="Arial" w:hAnsi="Arial"/>
                <w:sz w:val="14"/>
                <w:szCs w:val="14"/>
                <w:b w:val="1"/>
                <w:bCs w:val="1"/>
                <w:color w:val="auto"/>
              </w:rPr>
              <w:t>6/30/2021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rPr>
              <w:t>6/30/2020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80" w:type="dxa"/>
            <w:vAlign w:val="bottom"/>
            <w:tcBorders>
              <w:right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4"/>
                <w:szCs w:val="14"/>
                <w:b w:val="1"/>
                <w:bCs w:val="1"/>
                <w:color w:val="auto"/>
                <w:w w:val="99"/>
              </w:rPr>
              <w:t>6/30/2021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rPr>
              <w:t>6/30/2020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9"/>
        </w:trPr>
        <w:tc>
          <w:tcPr>
            <w:tcW w:w="3120" w:type="dxa"/>
            <w:vAlign w:val="bottom"/>
            <w:tcBorders>
              <w:top w:val="single" w:sz="8" w:color="CCEEFF"/>
            </w:tcBorders>
            <w:shd w:val="clear" w:color="auto" w:fill="CCEEFF"/>
          </w:tcPr>
          <w:p>
            <w:pPr>
              <w:ind w:left="20"/>
              <w:spacing w:after="0" w:line="138" w:lineRule="exact"/>
              <w:rPr>
                <w:sz w:val="20"/>
                <w:szCs w:val="20"/>
                <w:color w:val="auto"/>
              </w:rPr>
            </w:pPr>
            <w:r>
              <w:rPr>
                <w:rFonts w:ascii="Arial" w:cs="Arial" w:eastAsia="Arial" w:hAnsi="Arial"/>
                <w:sz w:val="15"/>
                <w:szCs w:val="15"/>
                <w:color w:val="auto"/>
              </w:rPr>
              <w:t>Compensation and related costs, excluding</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566.1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474.6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1,127.4</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979.0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148.4</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savings plan</w:t>
            </w: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line="216" w:lineRule="exact"/>
              <w:rPr>
                <w:sz w:val="20"/>
                <w:szCs w:val="20"/>
                <w:color w:val="auto"/>
              </w:rPr>
            </w:pPr>
            <w:r>
              <w:rPr>
                <w:rFonts w:ascii="Arial" w:cs="Arial" w:eastAsia="Arial" w:hAnsi="Arial"/>
                <w:sz w:val="15"/>
                <w:szCs w:val="15"/>
                <w:color w:val="auto"/>
              </w:rPr>
              <w:t>Supplemental savings plan</w:t>
            </w:r>
            <w:r>
              <w:rPr>
                <w:rFonts w:ascii="Arial" w:cs="Arial" w:eastAsia="Arial" w:hAnsi="Arial"/>
                <w:sz w:val="19"/>
                <w:szCs w:val="19"/>
                <w:color w:val="auto"/>
                <w:vertAlign w:val="superscript"/>
              </w:rPr>
              <w:t>(1)</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1080" w:type="dxa"/>
            <w:vAlign w:val="bottom"/>
            <w:tcBorders>
              <w:right w:val="single" w:sz="8" w:color="auto"/>
            </w:tcBorders>
            <w:gridSpan w:val="2"/>
          </w:tcPr>
          <w:p>
            <w:pPr>
              <w:ind w:left="66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459.8 %</w:t>
            </w:r>
          </w:p>
        </w:tc>
        <w:tc>
          <w:tcPr>
            <w:tcW w:w="0" w:type="dxa"/>
            <w:vAlign w:val="bottom"/>
          </w:tcPr>
          <w:p>
            <w:pPr>
              <w:spacing w:after="0"/>
              <w:rPr>
                <w:sz w:val="1"/>
                <w:szCs w:val="1"/>
                <w:color w:val="auto"/>
              </w:rPr>
            </w:pPr>
          </w:p>
        </w:tc>
      </w:tr>
      <w:tr>
        <w:trPr>
          <w:trHeight w:val="207"/>
        </w:trPr>
        <w:tc>
          <w:tcPr>
            <w:tcW w:w="31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compensation and related costs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197.6</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09"/>
        </w:trPr>
        <w:tc>
          <w:tcPr>
            <w:tcW w:w="3120" w:type="dxa"/>
            <w:vAlign w:val="bottom"/>
          </w:tcPr>
          <w:p>
            <w:pPr>
              <w:ind w:left="20"/>
              <w:spacing w:after="0"/>
              <w:rPr>
                <w:sz w:val="20"/>
                <w:szCs w:val="20"/>
                <w:color w:val="auto"/>
              </w:rPr>
            </w:pPr>
            <w:r>
              <w:rPr>
                <w:rFonts w:ascii="Arial" w:cs="Arial" w:eastAsia="Arial" w:hAnsi="Arial"/>
                <w:sz w:val="15"/>
                <w:szCs w:val="15"/>
                <w:color w:val="auto"/>
              </w:rPr>
              <w:t>Distribution and servicing</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49.5 %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178.3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39.6 %</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Advertising and promotion</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5"/>
                <w:szCs w:val="15"/>
                <w:color w:val="auto"/>
              </w:rPr>
              <w:t>Product and recordkeeping related costs</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 occupancy, and facility costs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General, administrative, and other</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38"/>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971.2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1,904.8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287.7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i w:val="1"/>
          <w:iCs w:val="1"/>
          <w:color w:val="auto"/>
        </w:rPr>
        <w:t>The impact of the market on the supplemental savings plan liability drives the expense recognized each period.</w:t>
      </w:r>
    </w:p>
    <w:p>
      <w:pPr>
        <w:spacing w:after="0" w:line="20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u w:val="single" w:color="auto"/>
          <w:color w:val="auto"/>
        </w:rPr>
        <w:t>Compensation and related costs, excluding supplemental savings plan.</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excluding supplemental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plan, were $566.1 million in the second quarter of 2021, an increase of $91.5 million, or 19.3%, compared to the 2020 quarter. The increase from the 2020 quarter was primarily due to a $54.3 million increase in our interim accrual for annual variable compensation, primarily bonus compensation. We recognize the interim bonus accrual ratably over the year using the ratio of recognized quarterly net revenues to currently forecasted annual net revenues. Also contributing to the increase in 2021 costs compared to the second quarter of 2020 was a $35.9 million increase in salaries and benefits due to a 3.3% increase in our average staff size and modest increases in base salaries at the beginning of the year.</w:t>
      </w:r>
    </w:p>
    <w:p>
      <w:pPr>
        <w:spacing w:after="0" w:line="23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For the six months ended June 30, 2021, compensation and related costs, excluding supplemental savings plan, were $1,127.4 million , an increase of $148.4 million, or 15.2%, compared to the 2020 period. The increase in compensation and related costs from the 2020 period was primarily due to a $90.6 million increase in our interim bonus accrual for annual variable compensation, primarily bonus compensation. Also contributing to the increase in costs compared to 2020 was a $58.6 million increase in salaries and benefits due to a 3.4% increase in our average staff size and modest increases in base salaries at the beginning of 2021. These increases in compensation and related costs were offset in part by $11.8 million in higher labor capitalization related to internally developed software in 2021 period.</w:t>
      </w:r>
    </w:p>
    <w:p>
      <w:pPr>
        <w:spacing w:after="0" w:line="21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i w:val="1"/>
          <w:iCs w:val="1"/>
          <w:u w:val="single" w:color="auto"/>
          <w:color w:val="auto"/>
        </w:rPr>
        <w:t>Distribution and servicing.</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and servicing costs were $92.7 million for the second quarter of 2021, an increase of 49.5%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$62.0 million recognized in the 2020 quarter. For the six months ended June 30, 2021, these costs were $178.3 million, an increase of 39.6% over the $ 127.7 million recognized in the comparable 2020 period. The increase is primarily driven by higher distribution costs as a result of continued inflows and market appreciation in our international products, including our Japanese Investment Trusts (ITMs), and SICAVs.</w:t>
      </w: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amounts paid to third-party intermediaries that source the assets of certain share classes of our U.S. mutual funds and our international products, such as our Japanese ITMs and SICAVs, are recognized in the distribution and servicing expense category. Both of these costs are offset entirely by the revenue we earn and report in net revenues: 12b-1 revenue recognized in administrative, distribution, and servicing fees for the U.S. mutual funds and investment advisory fee revenue for our international products.</w:t>
      </w:r>
    </w:p>
    <w:p>
      <w:pPr>
        <w:spacing w:after="0" w:line="21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$20.4 million in the second quarter of 2021, an increase of $7.0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52.2%, compared to the $13.4 million recognized in the 2020 quarter. For the six months ended June 30, 2021, these costs were $ 39.3 million, an increase of $1.0 million, or 2.6%, compared to the 2020 period. The increase in both the second quarter and six months ended June 30, 2021 was driven primarily by the timing of media-related spend related to the launch of our new marketing campaign to promote the firm's target date solutions, along with lower spending in 2020 due to the impact of the coronavirus pandemic.</w:t>
      </w:r>
    </w:p>
    <w:p>
      <w:pPr>
        <w:spacing w:after="0" w:line="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were $119.3 million in the second quarter of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$8.0 million, or 7.2%, compared to the $111.3 million recognized in the 2020 quarter. For the six months ended June 30, 2021, these costs were $236.6 million, an increase of $19.9 million, or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8" w:name="page29"/>
    <w:bookmarkEnd w:id="28"/>
    <w:p>
      <w:pPr>
        <w:ind w:right="140"/>
        <w:spacing w:after="0" w:line="261" w:lineRule="auto"/>
        <w:rPr>
          <w:sz w:val="20"/>
          <w:szCs w:val="20"/>
          <w:color w:val="auto"/>
        </w:rPr>
      </w:pPr>
      <w:r>
        <w:rPr>
          <w:rFonts w:ascii="Arial" w:cs="Arial" w:eastAsia="Arial" w:hAnsi="Arial"/>
          <w:sz w:val="18"/>
          <w:szCs w:val="18"/>
          <w:color w:val="auto"/>
        </w:rPr>
        <w:t>9.2%, compared to the 2020 period. The increase is due primarily to the ongoing investment in our technology capabilities, including hosted solution licenses and depreciation, and higher facility-related costs.</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u w:val="single" w:color="auto"/>
          <w:color w:val="auto"/>
        </w:rPr>
        <w:t>General, administrative,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expenses were $ 91.7 million in the second quarter of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$5.3 million, or 6.1%, compared to the $86.4 million recognized in the 2020 quarter. For the six months ended June 30, 2021, general, administrative, and other expenses were $179.0 million, an increase of $15.5 million, or 9.5%, compared to the 2020 period. Higher information services, professional fees and research costs were primary contributors to the higher costs in 2021 as compared to 2020. Additionally, travel-related expenses were nearly flat in the second quarter of 2021 compared to the second quarter of 2020 and were lower compared to the six months ended June 30, 2020, due to the impact of the coronavirus pandemic.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Non-operating income for the second quarter of 2021 was $143.9 million, a decrease of $271.2 million from non-operating income of $415.1 million in the 2020 quarter. For the six months ended June 30, 2021, non-operating income was $246.0 million, an increase of $331.2 million from a non-operating loss of $85.2 million in the comparable 2020 period. The following table details the components of non-operating income (loss) for both the second quarter and six months ended June 30, 2021 and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4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16"/>
                <w:szCs w:val="16"/>
                <w:color w:val="auto"/>
              </w:rPr>
            </w:pPr>
          </w:p>
        </w:tc>
        <w:tc>
          <w:tcPr>
            <w:tcW w:w="2000" w:type="dxa"/>
            <w:vAlign w:val="bottom"/>
            <w:gridSpan w:val="4"/>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6/30/2020</w:t>
            </w: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 related gains and equity in earnings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and discretionary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Market related gains (losses) and equity in earnings (losses)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recognized upon deconsolidation</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gains from non-consolidated T. Rowe Price investment products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investment income (loss)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on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Net gains (losses) on consolidated sponsored investment portfolios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including foreign currency gains and losses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(85.2)</w:t>
            </w:r>
          </w:p>
        </w:tc>
      </w:tr>
      <w:tr>
        <w:trPr>
          <w:trHeight w:val="20"/>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The significant investment portfolio gains in the second quarter of 2020, which reflected the sharp market recovery following the significant losses experienced in the first quarter of 2020, outperformed the investment gains in the second quarter of 2021 and drove the decrease in non-operating income. Our consolidated investment products and supplemental savings plan hedge portfolio comprised nearly two-thirds of the net gains recognized during the second quarter of 2021.</w:t>
      </w:r>
    </w:p>
    <w:p>
      <w:pPr>
        <w:spacing w:after="0" w:line="23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Despite the sharp market recovery in the second quarter of 2020, our investment portfolio for the six months ended June 30, 2021 outperformed the same period in 2020 as a result of the significant market losses experienced in the first quarter of 2020. Our consolidated investment products and supplemental savings plan hedge portfolio comprised just over 60% of the net gains recognized during the six months ended June 30, 2021.</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right="440"/>
        <w:spacing w:after="0" w:line="254" w:lineRule="auto"/>
        <w:rPr>
          <w:sz w:val="20"/>
          <w:szCs w:val="20"/>
          <w:color w:val="auto"/>
        </w:rPr>
      </w:pPr>
      <w:r>
        <w:rPr>
          <w:rFonts w:ascii="Arial" w:cs="Arial" w:eastAsia="Arial" w:hAnsi="Arial"/>
          <w:sz w:val="18"/>
          <w:szCs w:val="18"/>
          <w:color w:val="auto"/>
        </w:rPr>
        <w:t>The table above includes the net investment income of the underlying portfolios included in the consolidated T. Rowe Price investment products and not just the net investment income related to our interest. The table below shows the impact that the consolidated T. Rowe Price investment products had on the individual lines of our unaudited condensed consolidated statements of income and the portion attributable to our interest: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6/30/2020</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(loss) reflected in non-operating income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8"/>
        </w:trPr>
        <w:tc>
          <w:tcPr>
            <w:tcW w:w="5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our interest in the consolidated T.</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Rowe Price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188"/>
        </w:trPr>
        <w:tc>
          <w:tcPr>
            <w:tcW w:w="5720" w:type="dxa"/>
            <w:vAlign w:val="bottom"/>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non-controlling interests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(unrelated third-party investors)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48"/>
        </w:trPr>
        <w:tc>
          <w:tcPr>
            <w:tcW w:w="5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74"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Our effective tax rate for the second quarter of 2021 was 23.5%, compared with 24.8% in the 2020 quarter. The effective tax rate for the second quarter of 2021 as compared to the second quarter of 2020 was favorably impacted by a discrete remeasurement of deferred tax assets as a result of an increase in the corporate income tax rate in the United Kingdom.</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effective tax rate for the six months ended June 30, 2021 was 23.4%, compared with 23.9% in the 2020 period. The year-to-date 2021 effective tax rate was lower than the 2020 period primarily due to a lower state effective tax rate and higher net gains attributable to redeemable non-controlling interests held in our consolidated investment products. These benefits were partially offset by lower discrete tax benefits associated with the settlement of stock-based awards.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tax rate for both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shd w:val="clear" w:color="auto" w:fill="CCEEFF"/>
          </w:tcPr>
          <w:p>
            <w:pPr>
              <w:spacing w:after="0"/>
              <w:rPr>
                <w:sz w:val="16"/>
                <w:szCs w:val="16"/>
                <w:color w:val="auto"/>
              </w:rPr>
            </w:pPr>
          </w:p>
        </w:tc>
        <w:tc>
          <w:tcPr>
            <w:tcW w:w="3260" w:type="dxa"/>
            <w:vAlign w:val="bottom"/>
            <w:gridSpan w:val="4"/>
            <w:shd w:val="clear" w:color="auto" w:fill="CCEEFF"/>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2660" w:type="dxa"/>
            <w:vAlign w:val="bottom"/>
            <w:gridSpan w:val="3"/>
            <w:shd w:val="clear" w:color="auto" w:fill="CCEEFF"/>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5320" w:type="dxa"/>
            <w:vAlign w:val="bottom"/>
            <w:tcBorders>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top w:val="single" w:sz="8" w:color="auto"/>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6/30/2020</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5320" w:type="dxa"/>
            <w:vAlign w:val="bottom"/>
          </w:tcPr>
          <w:p>
            <w:pPr>
              <w:ind w:left="20"/>
              <w:spacing w:after="0" w:line="230" w:lineRule="exact"/>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520" w:type="dxa"/>
            <w:vAlign w:val="bottom"/>
          </w:tcPr>
          <w:p>
            <w:pPr>
              <w:jc w:val="right"/>
              <w:ind w:right="15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4.2</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losses attributable to redeemable non-controlling interests</w:t>
            </w:r>
          </w:p>
        </w:tc>
        <w:tc>
          <w:tcPr>
            <w:tcW w:w="15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r>
      <w:tr>
        <w:trPr>
          <w:trHeight w:val="230"/>
        </w:trPr>
        <w:tc>
          <w:tcPr>
            <w:tcW w:w="5320" w:type="dxa"/>
            <w:vAlign w:val="bottom"/>
          </w:tcPr>
          <w:p>
            <w:pPr>
              <w:ind w:left="20"/>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(1.7)</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5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r>
      <w:tr>
        <w:trPr>
          <w:trHeight w:val="223"/>
        </w:trPr>
        <w:tc>
          <w:tcPr>
            <w:tcW w:w="53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23.9 %</w:t>
            </w:r>
          </w:p>
        </w:tc>
      </w:tr>
      <w:tr>
        <w:trPr>
          <w:trHeight w:val="20"/>
        </w:trPr>
        <w:tc>
          <w:tcPr>
            <w:tcW w:w="5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i w:val="1"/>
          <w:iCs w:val="1"/>
          <w:color w:val="auto"/>
        </w:rPr>
      </w:pPr>
      <w:r>
        <w:rPr>
          <w:rFonts w:ascii="Arial" w:cs="Arial" w:eastAsia="Arial" w:hAnsi="Arial"/>
          <w:sz w:val="14"/>
          <w:szCs w:val="14"/>
          <w:i w:val="1"/>
          <w:iCs w:val="1"/>
          <w:color w:val="auto"/>
        </w:rPr>
        <w:t>State income tax benefits are reflected in the total benefits for net income attributable to redeemable non-controlling interests and stock-based compensation plans activity.</w:t>
      </w:r>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effective tax rate will continue to experience volatility in future periods as the discrete tax benefits recognized from option exercises are impacted by market fluctuations in our stock price and timing of option exercises. The rate will also be impacted by net investment income recognized on our consolidated investment products that are driven by market fluctuations and changes in the proportion of their net income that is attributable to non-controlling interests.</w:t>
      </w:r>
    </w:p>
    <w:p>
      <w:pPr>
        <w:spacing w:after="0" w:line="23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non-GAAP tax rate primarily adjusts for the impact of the consolidated investment products, including the net income attributable to the redeemable non-controlling interests. Our non-GAAP effective tax rate was 23.4% in the second quarter of 2021 compared with 24.8% in second quarter of 2020, and was 23.5% for the six months ended June 30, 2021 compared with 23.8% for the six months ended June 30, 2020. The non-GAAP effective tax rate for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right="300"/>
        <w:spacing w:after="0" w:line="254" w:lineRule="auto"/>
        <w:rPr>
          <w:sz w:val="20"/>
          <w:szCs w:val="20"/>
          <w:color w:val="auto"/>
        </w:rPr>
      </w:pPr>
      <w:r>
        <w:rPr>
          <w:rFonts w:ascii="Arial" w:cs="Arial" w:eastAsia="Arial" w:hAnsi="Arial"/>
          <w:sz w:val="18"/>
          <w:szCs w:val="18"/>
          <w:color w:val="auto"/>
        </w:rPr>
        <w:t>the second quarter of 2021 was favorably impacted by a discrete remeasurement of deferred tax assets as a result of an increase in the corporate income tax rate in the United Kingdom. The non-GAAP effective tax rate for the six months ended June 30, 2021 was favorably impacted by a lower state effective tax rate, partially offset by lower discrete tax benefits associated with the settlement of stock-based awards in the second quarter of 2021.</w:t>
      </w:r>
    </w:p>
    <w:p>
      <w:pPr>
        <w:spacing w:after="0" w:line="23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firm continues to see the phased-in benefit of the 2018 Maryland state tax legislation in which we expect to reduce our effective state rate over the five-year phase-in period to less than 3% by the end of 2022.</w:t>
      </w:r>
    </w:p>
    <w:p>
      <w:pPr>
        <w:spacing w:after="0" w:line="22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We currently estimate that our effective tax rate for the full year 2021, on a GAAP and non-GAAP basis, will be in the range of 22.5% to 24.5%.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74"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32" w:lineRule="exact"/>
        <w:rPr>
          <w:sz w:val="20"/>
          <w:szCs w:val="20"/>
          <w:color w:val="auto"/>
        </w:rPr>
      </w:pPr>
    </w:p>
    <w:p>
      <w:pPr>
        <w:ind w:right="3220"/>
        <w:spacing w:after="0" w:line="261" w:lineRule="auto"/>
        <w:rPr>
          <w:sz w:val="20"/>
          <w:szCs w:val="20"/>
          <w:color w:val="auto"/>
        </w:rPr>
      </w:pPr>
      <w:r>
        <w:rPr>
          <w:rFonts w:ascii="Arial" w:cs="Arial" w:eastAsia="Arial" w:hAnsi="Arial"/>
          <w:sz w:val="18"/>
          <w:szCs w:val="18"/>
          <w:color w:val="auto"/>
        </w:rPr>
        <w:t>The following schedules reconcile certain U.S. GAAP financial measures for the three months ended June 30, 2021 and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7"/>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Three months ended 6/30/2021</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Net 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Non-operating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rPr>
              <w:t>Provision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(benefit) for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jc w:val="right"/>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expenses</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income</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9"/>
              </w:rPr>
              <w:t>income (loss)</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jc w:val="center"/>
              <w:spacing w:after="0" w:line="176"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(4)</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Rowe Price</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220"/>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958.1</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143.9</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259.3</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815.7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34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Consolidated T. Rowe Price</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8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80" w:type="dxa"/>
            <w:vAlign w:val="bottom"/>
          </w:tcPr>
          <w:p>
            <w:pPr>
              <w:ind w:left="14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ind w:left="14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998.6</w:t>
            </w:r>
          </w:p>
        </w:tc>
        <w:tc>
          <w:tcPr>
            <w:tcW w:w="120" w:type="dxa"/>
            <w:vAlign w:val="bottom"/>
            <w:gridSpan w:val="2"/>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17.8</w:t>
            </w:r>
          </w:p>
        </w:tc>
        <w:tc>
          <w:tcPr>
            <w:tcW w:w="120" w:type="dxa"/>
            <w:vAlign w:val="bottom"/>
            <w:gridSpan w:val="2"/>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237.4</w:t>
            </w:r>
          </w:p>
        </w:tc>
        <w:tc>
          <w:tcPr>
            <w:tcW w:w="120" w:type="dxa"/>
            <w:vAlign w:val="bottom"/>
            <w:gridSpan w:val="2"/>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779.0</w:t>
            </w:r>
          </w:p>
        </w:tc>
        <w:tc>
          <w:tcPr>
            <w:tcW w:w="10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7"/>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Three months ended 6/30/2020</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Provision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128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right"/>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attributable to T.</w:t>
            </w:r>
          </w:p>
        </w:tc>
        <w:tc>
          <w:tcPr>
            <w:tcW w:w="2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expenses</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Rowe Price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3"/>
              <w:spacing w:after="0" w:line="176" w:lineRule="exact"/>
              <w:rPr>
                <w:sz w:val="20"/>
                <w:szCs w:val="20"/>
                <w:color w:val="auto"/>
              </w:rPr>
            </w:pPr>
            <w:r>
              <w:rPr>
                <w:rFonts w:ascii="Arial" w:cs="Arial" w:eastAsia="Arial" w:hAnsi="Arial"/>
                <w:sz w:val="14"/>
                <w:szCs w:val="14"/>
                <w:b w:val="1"/>
                <w:bCs w:val="1"/>
                <w:color w:val="auto"/>
                <w:w w:val="95"/>
              </w:rPr>
              <w:t>per share</w:t>
            </w:r>
            <w:r>
              <w:rPr>
                <w:rFonts w:ascii="Arial" w:cs="Arial" w:eastAsia="Arial" w:hAnsi="Arial"/>
                <w:sz w:val="18"/>
                <w:szCs w:val="18"/>
                <w:b w:val="1"/>
                <w:bCs w:val="1"/>
                <w:color w:val="auto"/>
                <w:w w:val="95"/>
                <w:vertAlign w:val="superscript"/>
              </w:rPr>
              <w:t>(5)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shd w:val="clear" w:color="auto" w:fill="CCEEFF"/>
          </w:tcPr>
          <w:p>
            <w:pPr>
              <w:spacing w:after="0"/>
              <w:rPr>
                <w:sz w:val="14"/>
                <w:szCs w:val="14"/>
                <w:color w:val="auto"/>
              </w:rPr>
            </w:pPr>
          </w:p>
        </w:tc>
        <w:tc>
          <w:tcPr>
            <w:tcW w:w="3480" w:type="dxa"/>
            <w:vAlign w:val="bottom"/>
            <w:shd w:val="clear" w:color="auto" w:fill="CCEEFF"/>
          </w:tcPr>
          <w:p>
            <w:pPr>
              <w:ind w:left="120"/>
              <w:spacing w:after="0" w:line="165" w:lineRule="exact"/>
              <w:rPr>
                <w:sz w:val="20"/>
                <w:szCs w:val="20"/>
                <w:color w:val="auto"/>
              </w:rPr>
            </w:pPr>
            <w:r>
              <w:rPr>
                <w:rFonts w:ascii="Arial" w:cs="Arial" w:eastAsia="Arial" w:hAnsi="Arial"/>
                <w:sz w:val="16"/>
                <w:szCs w:val="16"/>
                <w:color w:val="auto"/>
              </w:rPr>
              <w:t>Consolidated T. Rowe Price</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80" w:type="dxa"/>
            <w:vAlign w:val="bottom"/>
          </w:tcPr>
          <w:p>
            <w:pPr>
              <w:ind w:left="12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480" w:type="dxa"/>
            <w:vAlign w:val="bottom"/>
            <w:shd w:val="clear" w:color="auto" w:fill="CCEEFF"/>
          </w:tcPr>
          <w:p>
            <w:pPr>
              <w:ind w:left="12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785.8</w:t>
            </w:r>
          </w:p>
        </w:tc>
        <w:tc>
          <w:tcPr>
            <w:tcW w:w="40" w:type="dxa"/>
            <w:vAlign w:val="bottom"/>
          </w:tcPr>
          <w:p>
            <w:pPr>
              <w:spacing w:after="0"/>
              <w:rPr>
                <w:sz w:val="19"/>
                <w:szCs w:val="19"/>
                <w:color w:val="auto"/>
              </w:rPr>
            </w:pPr>
          </w:p>
        </w:tc>
        <w:tc>
          <w:tcPr>
            <w:tcW w:w="280" w:type="dxa"/>
            <w:vAlign w:val="bottom"/>
            <w:gridSpan w:val="3"/>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631.7</w:t>
            </w:r>
          </w:p>
        </w:tc>
        <w:tc>
          <w:tcPr>
            <w:tcW w:w="80" w:type="dxa"/>
            <w:vAlign w:val="bottom"/>
          </w:tcPr>
          <w:p>
            <w:pPr>
              <w:spacing w:after="0"/>
              <w:rPr>
                <w:sz w:val="19"/>
                <w:szCs w:val="19"/>
                <w:color w:val="auto"/>
              </w:rPr>
            </w:pPr>
          </w:p>
        </w:tc>
        <w:tc>
          <w:tcPr>
            <w:tcW w:w="240" w:type="dxa"/>
            <w:vAlign w:val="bottom"/>
            <w:gridSpan w:val="3"/>
          </w:tcPr>
          <w:p>
            <w:pPr>
              <w:jc w:val="right"/>
              <w:ind w:right="4"/>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19"/>
                <w:szCs w:val="19"/>
                <w:color w:val="auto"/>
              </w:rPr>
            </w:pPr>
          </w:p>
        </w:tc>
        <w:tc>
          <w:tcPr>
            <w:tcW w:w="260" w:type="dxa"/>
            <w:vAlign w:val="bottom"/>
            <w:gridSpan w:val="3"/>
          </w:tcPr>
          <w:p>
            <w:pPr>
              <w:jc w:val="right"/>
              <w:ind w:right="24"/>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177.9</w:t>
            </w:r>
          </w:p>
        </w:tc>
        <w:tc>
          <w:tcPr>
            <w:tcW w:w="80" w:type="dxa"/>
            <w:vAlign w:val="bottom"/>
          </w:tcPr>
          <w:p>
            <w:pPr>
              <w:spacing w:after="0"/>
              <w:rPr>
                <w:sz w:val="19"/>
                <w:szCs w:val="19"/>
                <w:color w:val="auto"/>
              </w:rPr>
            </w:pPr>
          </w:p>
        </w:tc>
        <w:tc>
          <w:tcPr>
            <w:tcW w:w="260" w:type="dxa"/>
            <w:vAlign w:val="bottom"/>
            <w:gridSpan w:val="3"/>
          </w:tcPr>
          <w:p>
            <w:pPr>
              <w:jc w:val="right"/>
              <w:ind w:right="2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539.6</w:t>
            </w:r>
          </w:p>
        </w:tc>
        <w:tc>
          <w:tcPr>
            <w:tcW w:w="80" w:type="dxa"/>
            <w:vAlign w:val="bottom"/>
          </w:tcPr>
          <w:p>
            <w:pPr>
              <w:spacing w:after="0"/>
              <w:rPr>
                <w:sz w:val="19"/>
                <w:szCs w:val="19"/>
                <w:color w:val="auto"/>
              </w:rPr>
            </w:pPr>
          </w:p>
        </w:tc>
        <w:tc>
          <w:tcPr>
            <w:tcW w:w="24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schedules reconcile certain U.S. GAAP financial measures for the six months ended June 30, 2021 and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5"/>
            <w:shd w:val="clear" w:color="auto" w:fill="CCEEFF"/>
          </w:tcPr>
          <w:p>
            <w:pPr>
              <w:ind w:left="300"/>
              <w:spacing w:after="0"/>
              <w:rPr>
                <w:sz w:val="20"/>
                <w:szCs w:val="20"/>
                <w:color w:val="auto"/>
              </w:rPr>
            </w:pPr>
            <w:r>
              <w:rPr>
                <w:rFonts w:ascii="Arial" w:cs="Arial" w:eastAsia="Arial" w:hAnsi="Arial"/>
                <w:sz w:val="14"/>
                <w:szCs w:val="14"/>
                <w:b w:val="1"/>
                <w:bCs w:val="1"/>
                <w:color w:val="auto"/>
              </w:rPr>
              <w:t>Six months ended 6/30/2021</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taxes(4)</w:t>
            </w: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6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4"/>
                <w:szCs w:val="14"/>
                <w:b w:val="1"/>
                <w:bCs w:val="1"/>
                <w:color w:val="auto"/>
              </w:rPr>
              <w:t>per share(5)</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2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5"/>
            <w:shd w:val="clear" w:color="auto" w:fill="CCEEFF"/>
          </w:tcPr>
          <w:p>
            <w:pPr>
              <w:ind w:left="300"/>
              <w:spacing w:after="0"/>
              <w:rPr>
                <w:sz w:val="20"/>
                <w:szCs w:val="20"/>
                <w:color w:val="auto"/>
              </w:rPr>
            </w:pPr>
            <w:r>
              <w:rPr>
                <w:rFonts w:ascii="Arial" w:cs="Arial" w:eastAsia="Arial" w:hAnsi="Arial"/>
                <w:sz w:val="14"/>
                <w:szCs w:val="14"/>
                <w:b w:val="1"/>
                <w:bCs w:val="1"/>
                <w:color w:val="auto"/>
              </w:rPr>
              <w:t>Six months ended 6/30/2020</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taxes(4)</w:t>
            </w: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6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4"/>
                <w:szCs w:val="14"/>
                <w:b w:val="1"/>
                <w:bCs w:val="1"/>
                <w:color w:val="auto"/>
              </w:rPr>
              <w:t>per share(5)</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160"/>
              <w:spacing w:after="0" w:line="165" w:lineRule="exact"/>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340" w:right="20" w:hanging="332"/>
        <w:spacing w:after="0" w:line="237" w:lineRule="auto"/>
        <w:tabs>
          <w:tab w:leader="none" w:pos="33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impact that the consolidated T. Rowe Price investment products have on our U.S. GAAP consolidated statements of income. Specifically, we add back the operating expenses and subtract the investment income of the consolidated T. Rowe Price investment products. The adjustment to our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 We remove the impact of the consolidated T. Rowe Price investment products as we believe they impact the reader’s ability to understand our core operating results.</w:t>
      </w:r>
    </w:p>
    <w:p>
      <w:pPr>
        <w:spacing w:after="0" w:line="243" w:lineRule="exact"/>
        <w:rPr>
          <w:rFonts w:ascii="Arial" w:cs="Arial" w:eastAsia="Arial" w:hAnsi="Arial"/>
          <w:sz w:val="22"/>
          <w:szCs w:val="22"/>
          <w:color w:val="auto"/>
          <w:vertAlign w:val="superscript"/>
        </w:rPr>
      </w:pPr>
    </w:p>
    <w:p>
      <w:pPr>
        <w:ind w:left="340" w:hanging="332"/>
        <w:spacing w:after="0" w:line="237" w:lineRule="auto"/>
        <w:tabs>
          <w:tab w:leader="none" w:pos="33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We believe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spacing w:after="0" w:line="243" w:lineRule="exact"/>
        <w:rPr>
          <w:rFonts w:ascii="Arial" w:cs="Arial" w:eastAsia="Arial" w:hAnsi="Arial"/>
          <w:sz w:val="22"/>
          <w:szCs w:val="22"/>
          <w:color w:val="auto"/>
          <w:vertAlign w:val="superscript"/>
        </w:rPr>
      </w:pPr>
    </w:p>
    <w:p>
      <w:pPr>
        <w:ind w:left="340" w:right="240" w:hanging="332"/>
        <w:spacing w:after="0" w:line="238" w:lineRule="auto"/>
        <w:tabs>
          <w:tab w:leader="none" w:pos="33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This non-GAAP adjustment represents the other non-operating income (loss) and the net gains (losses) earned on our non-consolidated investment portfolio that are not designated as economic hedges of the supplemental savings plan liability, and non-consolidated seed investments and other investments that are not part of the cash and discretionary investment portfolio. We retain the investment gains recognized on our non-consolidated cash and discretionary investments as these assets and related income (loss) are considered part of our core operations. We believe adjusting for these non-operating income (loss) items helps the reader’s ability to understand our core operating results and increases comparability to prior years. Additionally, we do not emphasize the impact of the portion of non-operating income (loss) removed when managing and evaluating our core performance.</w:t>
      </w:r>
    </w:p>
    <w:p>
      <w:pPr>
        <w:spacing w:after="0" w:line="246" w:lineRule="exact"/>
        <w:rPr>
          <w:rFonts w:ascii="Arial" w:cs="Arial" w:eastAsia="Arial" w:hAnsi="Arial"/>
          <w:sz w:val="22"/>
          <w:szCs w:val="22"/>
          <w:color w:val="auto"/>
          <w:vertAlign w:val="superscript"/>
        </w:rPr>
      </w:pPr>
    </w:p>
    <w:p>
      <w:pPr>
        <w:ind w:left="340" w:right="40" w:hanging="332"/>
        <w:spacing w:after="0" w:line="217" w:lineRule="auto"/>
        <w:tabs>
          <w:tab w:leader="none" w:pos="33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The income tax impacts were calculated in order to achieve an overall non-GAAP effective tax rate of 23.5% for the first half of 2021 and 23.8% for the first half of 2020. As such, the non-GAAP effective tax rate for the second quarter</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2" w:name="page33"/>
    <w:bookmarkEnd w:id="32"/>
    <w:p>
      <w:pPr>
        <w:ind w:left="340" w:right="120"/>
        <w:spacing w:after="0" w:line="259" w:lineRule="auto"/>
        <w:rPr>
          <w:sz w:val="20"/>
          <w:szCs w:val="20"/>
          <w:color w:val="auto"/>
        </w:rPr>
      </w:pPr>
      <w:r>
        <w:rPr>
          <w:rFonts w:ascii="Arial" w:cs="Arial" w:eastAsia="Arial" w:hAnsi="Arial"/>
          <w:sz w:val="17"/>
          <w:szCs w:val="17"/>
          <w:color w:val="auto"/>
        </w:rPr>
        <w:t>was 23.4% for 2021 and 24.8% for 2020. We estimate that our effective tax rate for the full-year 2021 on a non-GAAP basis will be in the range of 22.5% to 24.5%.</w:t>
      </w:r>
    </w:p>
    <w:p>
      <w:pPr>
        <w:spacing w:after="0" w:line="226" w:lineRule="exact"/>
        <w:rPr>
          <w:sz w:val="20"/>
          <w:szCs w:val="20"/>
          <w:color w:val="auto"/>
        </w:rPr>
      </w:pPr>
    </w:p>
    <w:p>
      <w:pPr>
        <w:jc w:val="both"/>
        <w:ind w:left="340" w:right="180" w:hanging="332"/>
        <w:spacing w:after="0" w:line="227" w:lineRule="auto"/>
        <w:tabs>
          <w:tab w:leader="none" w:pos="33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divided by the weighted-average common shares outstanding assuming dilution. The calculation of adjusted net income allocated to common stockholders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20" w:type="dxa"/>
            <w:vAlign w:val="bottom"/>
            <w:gridSpan w:val="4"/>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jc w:val="right"/>
              <w:ind w:right="441"/>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596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6/30/2021</w:t>
            </w:r>
          </w:p>
        </w:tc>
        <w:tc>
          <w:tcPr>
            <w:tcW w:w="2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6/30/2021</w:t>
            </w: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6/30/2020</w:t>
            </w:r>
          </w:p>
        </w:tc>
      </w:tr>
      <w:tr>
        <w:trPr>
          <w:trHeight w:val="20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779.0</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1,491.0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993.9</w:t>
            </w:r>
          </w:p>
        </w:tc>
      </w:tr>
      <w:tr>
        <w:trPr>
          <w:trHeight w:val="177"/>
        </w:trPr>
        <w:tc>
          <w:tcPr>
            <w:tcW w:w="5960" w:type="dxa"/>
            <w:vAlign w:val="bottom"/>
          </w:tcPr>
          <w:p>
            <w:pPr>
              <w:ind w:left="20"/>
              <w:spacing w:after="0" w:line="178" w:lineRule="exact"/>
              <w:rPr>
                <w:sz w:val="20"/>
                <w:szCs w:val="20"/>
                <w:color w:val="auto"/>
              </w:rPr>
            </w:pPr>
            <w:r>
              <w:rPr>
                <w:rFonts w:ascii="Arial" w:cs="Arial" w:eastAsia="Arial" w:hAnsi="Arial"/>
                <w:sz w:val="16"/>
                <w:szCs w:val="16"/>
                <w:color w:val="auto"/>
              </w:rPr>
              <w:t>Less: adjusted net income allocated to outstanding restricted stock and stock</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 holders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40.1</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27.4</w:t>
            </w:r>
          </w:p>
        </w:tc>
      </w:tr>
      <w:tr>
        <w:trPr>
          <w:trHeight w:val="23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757.7</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1,450.9</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966.5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6/30/2021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3,514.9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2,151.7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5,468.3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4,247.4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Our discretionary investment portfolio is comprised primarily of short duration bond funds, which typically yield higher than money market rates, and asset allocation products. Cash and discretionary investments returned gains of $17.8 million and $31.5 million in the three- and six- months ended June 30, 2021, respectively, as compared to investment gains of $85.8 million and $24.6 million in the three- and six-months ended June 30, 2020. Cash and discretionary investments in T. Rowe Price products held by our subsidiaries outside the United States were $871.1 million at June 30, 2021 and $675.8 million at December 31, 2020. Given the availability of our financial resources and cash expected to be generated through future operations, we do not maintain an available external source of additional liquidity.</w:t>
      </w:r>
    </w:p>
    <w:p>
      <w:pPr>
        <w:spacing w:after="0" w:line="23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Price’s interests in cash and investments relate to where they are presented on the unaudited condensed consolidated balance sheet as of June 30, 2021.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b w:val="1"/>
                <w:bCs w:val="1"/>
                <w:color w:val="auto"/>
              </w:rPr>
              <w:t>consolidated T.</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w:t>
            </w: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b w:val="1"/>
                <w:bCs w:val="1"/>
                <w:color w:val="auto"/>
              </w:rPr>
              <w:t>Rowe Price</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Investments</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b w:val="1"/>
                <w:bCs w:val="1"/>
                <w:color w:val="auto"/>
              </w:rPr>
              <w:t>investment</w:t>
            </w:r>
          </w:p>
        </w:tc>
        <w:tc>
          <w:tcPr>
            <w:tcW w:w="2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6/30/2021</w:t>
            </w:r>
          </w:p>
        </w:tc>
        <w:tc>
          <w:tcPr>
            <w:tcW w:w="0" w:type="dxa"/>
            <w:vAlign w:val="bottom"/>
          </w:tcPr>
          <w:p>
            <w:pPr>
              <w:spacing w:after="0"/>
              <w:rPr>
                <w:sz w:val="1"/>
                <w:szCs w:val="1"/>
                <w:color w:val="auto"/>
              </w:rPr>
            </w:pPr>
          </w:p>
        </w:tc>
      </w:tr>
      <w:tr>
        <w:trPr>
          <w:trHeight w:val="176"/>
        </w:trPr>
        <w:tc>
          <w:tcPr>
            <w:tcW w:w="508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equivalents</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center"/>
              <w:ind w:right="77"/>
              <w:spacing w:after="0" w:line="176" w:lineRule="exact"/>
              <w:rPr>
                <w:sz w:val="20"/>
                <w:szCs w:val="20"/>
                <w:color w:val="auto"/>
              </w:rPr>
            </w:pPr>
            <w:r>
              <w:rPr>
                <w:rFonts w:ascii="Arial" w:cs="Arial" w:eastAsia="Arial" w:hAnsi="Arial"/>
                <w:sz w:val="14"/>
                <w:szCs w:val="14"/>
                <w:b w:val="1"/>
                <w:bCs w:val="1"/>
                <w:color w:val="auto"/>
                <w:w w:val="96"/>
              </w:rPr>
              <w:t>products</w:t>
            </w:r>
            <w:r>
              <w:rPr>
                <w:rFonts w:ascii="Arial" w:cs="Arial" w:eastAsia="Arial" w:hAnsi="Arial"/>
                <w:sz w:val="18"/>
                <w:szCs w:val="18"/>
                <w:b w:val="1"/>
                <w:bCs w:val="1"/>
                <w:color w:val="auto"/>
                <w:w w:val="96"/>
                <w:vertAlign w:val="superscript"/>
              </w:rPr>
              <w:t>(1)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Cash and discretionary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3,514.9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5,468.3</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1,211.1</w:t>
            </w:r>
          </w:p>
        </w:tc>
        <w:tc>
          <w:tcPr>
            <w:tcW w:w="0" w:type="dxa"/>
            <w:vAlign w:val="bottom"/>
          </w:tcPr>
          <w:p>
            <w:pPr>
              <w:spacing w:after="0"/>
              <w:rPr>
                <w:sz w:val="1"/>
                <w:szCs w:val="1"/>
                <w:color w:val="auto"/>
              </w:rPr>
            </w:pPr>
          </w:p>
        </w:tc>
      </w:tr>
      <w:tr>
        <w:trPr>
          <w:trHeight w:val="188"/>
        </w:trPr>
        <w:tc>
          <w:tcPr>
            <w:tcW w:w="51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Investments used to hedge the supplemental savings plan</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liability</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168"/>
        </w:trPr>
        <w:tc>
          <w:tcPr>
            <w:tcW w:w="518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cash and investments in T. Rowe Price products</w:t>
            </w: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attributable to T. Rowe Price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7,482.2</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7,745.3</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880.4</w:t>
            </w:r>
          </w:p>
        </w:tc>
        <w:tc>
          <w:tcPr>
            <w:tcW w:w="0" w:type="dxa"/>
            <w:vAlign w:val="bottom"/>
          </w:tcPr>
          <w:p>
            <w:pPr>
              <w:spacing w:after="0"/>
              <w:rPr>
                <w:sz w:val="1"/>
                <w:szCs w:val="1"/>
                <w:color w:val="auto"/>
              </w:rPr>
            </w:pPr>
          </w:p>
        </w:tc>
      </w:tr>
      <w:tr>
        <w:trPr>
          <w:trHeight w:val="168"/>
        </w:trPr>
        <w:tc>
          <w:tcPr>
            <w:tcW w:w="518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As reported on unaudited condensed consolidated balance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3,514.9</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3,473.9</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1,636.9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8,625.7</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sheet at June 30, 2021</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80" w:right="140" w:hanging="172"/>
        <w:spacing w:after="0" w:line="254" w:lineRule="auto"/>
        <w:tabs>
          <w:tab w:leader="none" w:pos="158" w:val="left"/>
        </w:tabs>
        <w:numPr>
          <w:ilvl w:val="0"/>
          <w:numId w:val="16"/>
        </w:numPr>
        <w:rPr>
          <w:rFonts w:ascii="Arial" w:cs="Arial" w:eastAsia="Arial" w:hAnsi="Arial"/>
          <w:sz w:val="9"/>
          <w:szCs w:val="9"/>
          <w:i w:val="1"/>
          <w:iCs w:val="1"/>
          <w:color w:val="auto"/>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as well as those funds regulated outside the U.S. The $55.0 million and the $701.5 million represent the total value at June 30, 2021 of our interest in the consolidated T. Rowe Price investment products. The total net assets of the T. Rowe Price investment products at June 30, 2021 of $1,636.9 million includes assets of $1,667.9 million, less liabilities of $31.0 million as reflected in our unaudited condensed consolidated balance sheets.</w:t>
      </w:r>
    </w:p>
    <w:p>
      <w:pPr>
        <w:spacing w:after="0" w:line="218" w:lineRule="exact"/>
        <w:rPr>
          <w:sz w:val="20"/>
          <w:szCs w:val="20"/>
          <w:color w:val="auto"/>
        </w:rPr>
      </w:pPr>
    </w:p>
    <w:p>
      <w:pPr>
        <w:jc w:val="both"/>
        <w:ind w:right="260"/>
        <w:spacing w:after="0" w:line="265" w:lineRule="auto"/>
        <w:rPr>
          <w:sz w:val="20"/>
          <w:szCs w:val="20"/>
          <w:color w:val="auto"/>
        </w:rPr>
      </w:pPr>
      <w:r>
        <w:rPr>
          <w:rFonts w:ascii="Arial" w:cs="Arial" w:eastAsia="Arial" w:hAnsi="Arial"/>
          <w:sz w:val="17"/>
          <w:szCs w:val="17"/>
          <w:color w:val="auto"/>
        </w:rPr>
        <w:t>Our unaudited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increased our quarterly recurring dividend per common share in February 2021 by 20.0% to $ 1.08 per common share from $.90 per common share. Additionally, our Board of Directors declared a special cash dividend of $3.00 per common share, or $699.8 million, on June 14, 2021, that was paid on July 7, 2021. Further, we expended $.3 billion in the first half of 2021 to repurchase 1.9 million shares, or 0.8%, of our outstanding common stock at an average price of $166.57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3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Since the end of 2018, we have returned $5.0 billion to stockholders through stock repurchases, regular quarterly dividends, and special dividends,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Recurring dividend</w:t>
            </w:r>
          </w:p>
        </w:tc>
        <w:tc>
          <w:tcPr>
            <w:tcW w:w="120" w:type="dxa"/>
            <w:vAlign w:val="bottom"/>
            <w:vMerge w:val="restart"/>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Special dividend</w:t>
            </w:r>
            <w:r>
              <w:rPr>
                <w:rFonts w:ascii="Arial" w:cs="Arial" w:eastAsia="Arial" w:hAnsi="Arial"/>
                <w:sz w:val="18"/>
                <w:szCs w:val="18"/>
                <w:b w:val="1"/>
                <w:bCs w:val="1"/>
                <w:color w:val="auto"/>
                <w:vertAlign w:val="superscript"/>
              </w:rPr>
              <w:t>(1)</w:t>
            </w:r>
          </w:p>
        </w:tc>
        <w:tc>
          <w:tcPr>
            <w:tcW w:w="100" w:type="dxa"/>
            <w:vAlign w:val="bottom"/>
            <w:vMerge w:val="restart"/>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Stock repurchases</w:t>
            </w:r>
          </w:p>
        </w:tc>
        <w:tc>
          <w:tcPr>
            <w:tcW w:w="120" w:type="dxa"/>
            <w:vAlign w:val="bottom"/>
            <w:vMerge w:val="restart"/>
            <w:shd w:val="clear" w:color="auto" w:fill="CCEEFF"/>
          </w:tcPr>
          <w:p>
            <w:pPr>
              <w:spacing w:after="0"/>
              <w:rPr>
                <w:sz w:val="14"/>
                <w:szCs w:val="14"/>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75"/>
        </w:trPr>
        <w:tc>
          <w:tcPr>
            <w:tcW w:w="5280" w:type="dxa"/>
            <w:vAlign w:val="bottom"/>
            <w:vMerge w:val="continue"/>
            <w:shd w:val="clear" w:color="auto" w:fill="CCEEFF"/>
          </w:tcPr>
          <w:p>
            <w:pPr>
              <w:spacing w:after="0"/>
              <w:rPr>
                <w:sz w:val="15"/>
                <w:szCs w:val="15"/>
                <w:color w:val="auto"/>
              </w:rPr>
            </w:pPr>
          </w:p>
        </w:tc>
        <w:tc>
          <w:tcPr>
            <w:tcW w:w="1420" w:type="dxa"/>
            <w:vAlign w:val="bottom"/>
            <w:tcBorders>
              <w:bottom w:val="single" w:sz="8" w:color="auto"/>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32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40" w:type="dxa"/>
            <w:vAlign w:val="bottom"/>
            <w:tcBorders>
              <w:bottom w:val="single" w:sz="8" w:color="auto"/>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733.6</w:t>
            </w:r>
          </w:p>
        </w:tc>
        <w:tc>
          <w:tcPr>
            <w:tcW w:w="1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708.8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1,442.4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Six months ended 6/30/2021</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1,513.0</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Special cash dividend declared in June 2021 was paid in July 2021.</w:t>
      </w:r>
    </w:p>
    <w:p>
      <w:pPr>
        <w:spacing w:after="0" w:line="2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anticipate property, equipment and other capital expenditures, including internal labor capitalization, for the full-year 2021 to be about $265 million, of which more than three-quarters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7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summarizes the cash flows for the six months ended June 30, 2021 and 2020, that are attributable to T. Rowe Price, our consolidated T. Rowe Price investment products, and the related eliminations required in preparing the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6/30/2021</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6/30/2020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2" w:lineRule="exact"/>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2"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00" w:type="dxa"/>
            <w:vAlign w:val="bottom"/>
            <w:gridSpan w:val="3"/>
            <w:shd w:val="clear" w:color="auto" w:fill="CCEEFF"/>
          </w:tcPr>
          <w:p>
            <w:pPr>
              <w:jc w:val="center"/>
              <w:ind w:right="60"/>
              <w:spacing w:after="0" w:line="135"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Cash flow</w:t>
            </w:r>
          </w:p>
        </w:tc>
        <w:tc>
          <w:tcPr>
            <w:tcW w:w="11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rPr>
                <w:sz w:val="11"/>
                <w:szCs w:val="11"/>
                <w:color w:val="auto"/>
              </w:rPr>
            </w:pPr>
          </w:p>
        </w:tc>
        <w:tc>
          <w:tcPr>
            <w:tcW w:w="980" w:type="dxa"/>
            <w:vAlign w:val="bottom"/>
            <w:gridSpan w:val="3"/>
            <w:vMerge w:val="continue"/>
            <w:shd w:val="clear" w:color="auto" w:fill="CCEEFF"/>
          </w:tcPr>
          <w:p>
            <w:pPr>
              <w:spacing w:after="0"/>
              <w:rPr>
                <w:sz w:val="11"/>
                <w:szCs w:val="11"/>
                <w:color w:val="auto"/>
              </w:rPr>
            </w:pPr>
          </w:p>
        </w:tc>
        <w:tc>
          <w:tcPr>
            <w:tcW w:w="11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3"/>
            <w:vMerge w:val="continue"/>
            <w:shd w:val="clear" w:color="auto" w:fill="CCEEFF"/>
          </w:tcPr>
          <w:p>
            <w:pPr>
              <w:spacing w:after="0"/>
              <w:rPr>
                <w:sz w:val="11"/>
                <w:szCs w:val="11"/>
                <w:color w:val="auto"/>
              </w:rPr>
            </w:pPr>
          </w:p>
        </w:tc>
        <w:tc>
          <w:tcPr>
            <w:tcW w:w="11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T. Rowe Price</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As</w:t>
            </w:r>
          </w:p>
        </w:tc>
        <w:tc>
          <w:tcPr>
            <w:tcW w:w="96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w:t>
            </w:r>
          </w:p>
        </w:tc>
        <w:tc>
          <w:tcPr>
            <w:tcW w:w="11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T. Rowe Price</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35"/>
        </w:trPr>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000" w:type="dxa"/>
            <w:vAlign w:val="bottom"/>
            <w:gridSpan w:val="2"/>
            <w:vMerge w:val="continue"/>
            <w:shd w:val="clear" w:color="auto" w:fill="CCEEFF"/>
          </w:tcPr>
          <w:p>
            <w:pPr>
              <w:spacing w:after="0"/>
              <w:rPr>
                <w:sz w:val="11"/>
                <w:szCs w:val="11"/>
                <w:color w:val="auto"/>
              </w:rPr>
            </w:pPr>
          </w:p>
        </w:tc>
        <w:tc>
          <w:tcPr>
            <w:tcW w:w="96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8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Price</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895.1</w:t>
            </w:r>
          </w:p>
        </w:tc>
        <w:tc>
          <w:tcPr>
            <w:tcW w:w="0" w:type="dxa"/>
            <w:vAlign w:val="bottom"/>
          </w:tcPr>
          <w:p>
            <w:pPr>
              <w:spacing w:after="0"/>
              <w:rPr>
                <w:sz w:val="1"/>
                <w:szCs w:val="1"/>
                <w:color w:val="auto"/>
              </w:rPr>
            </w:pPr>
          </w:p>
        </w:tc>
      </w:tr>
      <w:tr>
        <w:trPr>
          <w:trHeight w:val="188"/>
        </w:trPr>
        <w:tc>
          <w:tcPr>
            <w:tcW w:w="3820" w:type="dxa"/>
            <w:vAlign w:val="bottom"/>
          </w:tcPr>
          <w:p>
            <w:pPr>
              <w:ind w:left="140"/>
              <w:spacing w:after="0" w:line="189" w:lineRule="exact"/>
              <w:rPr>
                <w:sz w:val="20"/>
                <w:szCs w:val="20"/>
                <w:color w:val="auto"/>
              </w:rPr>
            </w:pPr>
            <w:r>
              <w:rPr>
                <w:rFonts w:ascii="Arial" w:cs="Arial" w:eastAsia="Arial" w:hAnsi="Arial"/>
                <w:sz w:val="18"/>
                <w:szCs w:val="18"/>
                <w:color w:val="auto"/>
              </w:rPr>
              <w:t>Adjustments to reconcile net income to net</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140"/>
              <w:spacing w:after="0"/>
              <w:rPr>
                <w:sz w:val="20"/>
                <w:szCs w:val="20"/>
                <w:color w:val="auto"/>
              </w:rPr>
            </w:pPr>
            <w:r>
              <w:rPr>
                <w:rFonts w:ascii="Arial" w:cs="Arial" w:eastAsia="Arial" w:hAnsi="Arial"/>
                <w:sz w:val="18"/>
                <w:szCs w:val="18"/>
                <w:color w:val="auto"/>
              </w:rPr>
              <w:t>cash provided by operating activities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Depreciation and amortization of property</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equipment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29"/>
        </w:trPr>
        <w:tc>
          <w:tcPr>
            <w:tcW w:w="38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(gains) losses recognized on</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8"/>
        </w:trPr>
        <w:tc>
          <w:tcPr>
            <w:tcW w:w="3820" w:type="dxa"/>
            <w:vAlign w:val="bottom"/>
          </w:tcPr>
          <w:p>
            <w:pPr>
              <w:ind w:left="220"/>
              <w:spacing w:after="0" w:line="189" w:lineRule="exact"/>
              <w:rPr>
                <w:sz w:val="20"/>
                <w:szCs w:val="20"/>
                <w:color w:val="auto"/>
              </w:rPr>
            </w:pPr>
            <w:r>
              <w:rPr>
                <w:rFonts w:ascii="Arial" w:cs="Arial" w:eastAsia="Arial" w:hAnsi="Arial"/>
                <w:sz w:val="18"/>
                <w:szCs w:val="18"/>
                <w:color w:val="auto"/>
              </w:rPr>
              <w:t>Net (investments) redemptions in T. Rowe</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20"/>
              <w:spacing w:after="0" w:line="176" w:lineRule="exact"/>
              <w:rPr>
                <w:sz w:val="20"/>
                <w:szCs w:val="20"/>
                <w:color w:val="auto"/>
              </w:rPr>
            </w:pPr>
            <w:r>
              <w:rPr>
                <w:rFonts w:ascii="Arial" w:cs="Arial" w:eastAsia="Arial" w:hAnsi="Arial"/>
                <w:sz w:val="18"/>
                <w:szCs w:val="18"/>
                <w:color w:val="auto"/>
              </w:rPr>
              <w:t>Price investment products used to</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20"/>
              <w:spacing w:after="0" w:line="176" w:lineRule="exact"/>
              <w:rPr>
                <w:sz w:val="20"/>
                <w:szCs w:val="20"/>
                <w:color w:val="auto"/>
              </w:rPr>
            </w:pPr>
            <w:r>
              <w:rPr>
                <w:rFonts w:ascii="Arial" w:cs="Arial" w:eastAsia="Arial" w:hAnsi="Arial"/>
                <w:sz w:val="18"/>
                <w:szCs w:val="18"/>
                <w:color w:val="auto"/>
              </w:rPr>
              <w:t>economically hedge supplemental savings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20"/>
              <w:spacing w:after="0"/>
              <w:rPr>
                <w:sz w:val="20"/>
                <w:szCs w:val="20"/>
                <w:color w:val="auto"/>
              </w:rPr>
            </w:pPr>
            <w:r>
              <w:rPr>
                <w:rFonts w:ascii="Arial" w:cs="Arial" w:eastAsia="Arial" w:hAnsi="Arial"/>
                <w:sz w:val="18"/>
                <w:szCs w:val="18"/>
                <w:color w:val="auto"/>
              </w:rPr>
              <w:t>plan liability</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change in trading securities held by</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consolidated T. Rowe Price investment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changes in assets and liabilities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rPr>
              <w:t>Net cash provided by (used in) investing</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cash provided by (used in) financing</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(1,398.8)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0" w:type="dxa"/>
            <w:vAlign w:val="bottom"/>
          </w:tcPr>
          <w:p>
            <w:pPr>
              <w:spacing w:after="0"/>
              <w:rPr>
                <w:sz w:val="1"/>
                <w:szCs w:val="1"/>
                <w:color w:val="auto"/>
              </w:rPr>
            </w:pP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rPr>
              <w:t>Effect of exchange rate changes on cash and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Arial" w:cs="Arial" w:eastAsia="Arial" w:hAnsi="Arial"/>
                <w:sz w:val="18"/>
                <w:szCs w:val="18"/>
                <w:color w:val="auto"/>
                <w:w w:val="99"/>
              </w:rPr>
              <w:t>cash equivalents of consolidated T. Rowe Price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68"/>
        </w:trPr>
        <w:tc>
          <w:tcPr>
            <w:tcW w:w="382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during period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at beginning of</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3,571.0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 attributable to T. Rowe Price during the first half of 2021 provided cash flows of $2,025.2 million as compared to $1,690.7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during the first half of 2020. Operating cash flows attributable to T. Rowe Price increased $334.5 million, including a $619.0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in net income from the first half of 2020. This increase was partially offset by timing differences on the cash settlement of our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liabilities of $91.3 million and $225.1 million in lower non-cash adjustments, including unrealized investment gains/losses, depreciation,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stock-based compensation expense. The non-cash adjustments were primarily driven by a $232.5 million increase in net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gains in the first half of 2021 compared with net investment losses in the first half of 2020. Additionally, in 2021, we had net proceeds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$21.9 million from certain investment products that economically hedge our supplemental savings plan liability, while we had net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$10.0 million in the same period of 2020. Our interim operating cash flows do not include the cash impact of variable compensation that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throughout the year before being substantially paid out in December. The remaining change in reported cash flows from operating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activities was attributable to the net change in trading securities held in our consolidated investment products’ underlying portfolios.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Net cash provided by investing activities that are attributable to T. Rowe Price totaled $129.8 million in the first half of 2021 compared with $15.6 million of cash used by investing activities in the 2020 period. During 2021, we decreased the level of seed capital provided by $107.1 million. We eliminate our seed capital in those T. Rowe Price investment products we consolidate in preparing our unaudited condensed consolidated statement of cash flows. Further increasing the cash provided by investing activities were higher net proceeds from the sale of certain of our discretionary investments of $160.1 million compared to net proceeds of $110.8 million during 2020. Partially offsetting these increases were increased property and equipment expenditures of $16.5 million. The remaining $35.0 million change in reported cash flows from investing activities is related to the net cash removed from our balance sheet from consolidating and deconsolidating investment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used in financing activities attributable to T. Rowe Price were $791.8 million in the first half of 2021 compared with $1,398.8 million in the 2020 period. During the first half of 2021, we used $308.9 million to repurchase 1.9 million shares compared to $1.0 billion to repurchase 9.6 million shares in the first half of 2020. Partially offsetting this decrease in cash used for financing activities was a $79.4 million increase in dividends paid in 2021 as a result of an 20.0% increase in our quarterly dividend per share. Our 2021 net cash used in financing activities does not reflect the $3 per share special cash dividend declared by our Board of Directors in June 2021 as it was not paid until early July 2021. The remaining change in reported cash flows from financing activities is primarily attributable to a $211.4 million increase in net subscriptions received from redeemable non-controlling interest holders of our consolidated investment products during the first half of 2021 compared to the 2020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2020 Annual Report on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and our expectations regarding financial markets, strategic transactions, dividends, stock repurchases, investments, new products and services, capital expenditures, changes in our effective fee rate, the impact of the coronavirus pandemic,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2020.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coronavirus outbreak. The ability to attract and retain investors’ assets under our management is dependent on investor sentiment and confidence; the relative investment performance of the U.S. mutual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including our announced plan to establish T. Rowe Price Investment Management as a separate registered investment adviser.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3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level of third party research costs,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38"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total potential loss information provided in Item 7A of the Form 10-K Annual Report for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June 30, 2021. Based on that evaluation, our principal executive and principal financial officers have concluded that our disclosure controls and procedures as of June 30, 2021,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2021, and has concluded that there was no change during the second quarter of 2021 that has materially affected, or is reasonably likely to materially affect, our internal control over financial reporting.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4"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condensed consolidated financial statements in Part 1. of this Form 10-Q.</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2021 is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8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1"/>
                <w:szCs w:val="11"/>
                <w:color w:val="auto"/>
              </w:rPr>
            </w:pPr>
          </w:p>
        </w:tc>
        <w:tc>
          <w:tcPr>
            <w:tcW w:w="162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36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Month</w:t>
            </w:r>
          </w:p>
        </w:tc>
        <w:tc>
          <w:tcPr>
            <w:tcW w:w="100" w:type="dxa"/>
            <w:vAlign w:val="bottom"/>
            <w:vMerge w:val="restart"/>
            <w:shd w:val="clear" w:color="auto" w:fill="CCEEFF"/>
          </w:tcPr>
          <w:p>
            <w:pPr>
              <w:spacing w:after="0"/>
              <w:rPr>
                <w:sz w:val="11"/>
                <w:szCs w:val="11"/>
                <w:color w:val="auto"/>
              </w:rPr>
            </w:pPr>
          </w:p>
        </w:tc>
        <w:tc>
          <w:tcPr>
            <w:tcW w:w="188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3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April</w:t>
            </w:r>
          </w:p>
        </w:tc>
        <w:tc>
          <w:tcPr>
            <w:tcW w:w="1760" w:type="dxa"/>
            <w:vAlign w:val="bottom"/>
          </w:tcPr>
          <w:p>
            <w:pPr>
              <w:jc w:val="right"/>
              <w:spacing w:after="0"/>
              <w:rPr>
                <w:sz w:val="20"/>
                <w:szCs w:val="20"/>
                <w:color w:val="auto"/>
              </w:rPr>
            </w:pPr>
            <w:r>
              <w:rPr>
                <w:rFonts w:ascii="Arial" w:cs="Arial" w:eastAsia="Arial" w:hAnsi="Arial"/>
                <w:sz w:val="18"/>
                <w:szCs w:val="18"/>
                <w:color w:val="auto"/>
              </w:rPr>
              <w:t>116,410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175.28</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113,291</w:t>
            </w:r>
          </w:p>
        </w:tc>
        <w:tc>
          <w:tcPr>
            <w:tcW w:w="1860" w:type="dxa"/>
            <w:vAlign w:val="bottom"/>
            <w:gridSpan w:val="2"/>
          </w:tcPr>
          <w:p>
            <w:pPr>
              <w:jc w:val="right"/>
              <w:ind w:right="8"/>
              <w:spacing w:after="0"/>
              <w:rPr>
                <w:sz w:val="20"/>
                <w:szCs w:val="20"/>
                <w:color w:val="auto"/>
              </w:rPr>
            </w:pPr>
            <w:r>
              <w:rPr>
                <w:rFonts w:ascii="Arial" w:cs="Arial" w:eastAsia="Arial" w:hAnsi="Arial"/>
                <w:sz w:val="18"/>
                <w:szCs w:val="18"/>
                <w:color w:val="auto"/>
              </w:rPr>
              <w:t>19,724,556</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May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19,724,556</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rPr>
              <w:t>June</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192.51</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111,766</w:t>
            </w:r>
          </w:p>
        </w:tc>
        <w:tc>
          <w:tcPr>
            <w:tcW w:w="186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19,612,790</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225,057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second quarter of 2021, 35,152 were related to shares surrendered in connection with employee stock option exercises and no shares were withheld to cover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5400" w:type="dxa"/>
            <w:vAlign w:val="bottom"/>
            <w:vMerge w:val="restart"/>
            <w:shd w:val="clear" w:color="auto" w:fill="CCEEFF"/>
          </w:tcPr>
          <w:p>
            <w:pPr>
              <w:ind w:left="2020"/>
              <w:spacing w:after="0"/>
              <w:rPr>
                <w:sz w:val="20"/>
                <w:szCs w:val="20"/>
                <w:color w:val="auto"/>
              </w:rPr>
            </w:pPr>
            <w:r>
              <w:rPr>
                <w:rFonts w:ascii="Arial" w:cs="Arial" w:eastAsia="Arial" w:hAnsi="Arial"/>
                <w:sz w:val="14"/>
                <w:szCs w:val="14"/>
                <w:b w:val="1"/>
                <w:bCs w:val="1"/>
                <w:color w:val="auto"/>
              </w:rPr>
              <w:t>Authorization Dates</w:t>
            </w:r>
          </w:p>
        </w:tc>
        <w:tc>
          <w:tcPr>
            <w:tcW w:w="120" w:type="dxa"/>
            <w:vAlign w:val="bottom"/>
            <w:vMerge w:val="restart"/>
            <w:shd w:val="clear" w:color="auto" w:fill="CCEEFF"/>
          </w:tcPr>
          <w:p>
            <w:pPr>
              <w:spacing w:after="0"/>
              <w:rPr>
                <w:sz w:val="11"/>
                <w:szCs w:val="11"/>
                <w:color w:val="auto"/>
              </w:rPr>
            </w:pPr>
          </w:p>
        </w:tc>
        <w:tc>
          <w:tcPr>
            <w:tcW w:w="1760" w:type="dxa"/>
            <w:vAlign w:val="bottom"/>
            <w:vMerge w:val="restart"/>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1/1/2021</w:t>
            </w:r>
          </w:p>
        </w:tc>
        <w:tc>
          <w:tcPr>
            <w:tcW w:w="120" w:type="dxa"/>
            <w:vAlign w:val="bottom"/>
            <w:shd w:val="clear" w:color="auto" w:fill="CCEEFF"/>
          </w:tcPr>
          <w:p>
            <w:pPr>
              <w:spacing w:after="0"/>
              <w:rPr>
                <w:sz w:val="11"/>
                <w:szCs w:val="11"/>
                <w:color w:val="auto"/>
              </w:rPr>
            </w:pPr>
          </w:p>
        </w:tc>
        <w:tc>
          <w:tcPr>
            <w:tcW w:w="2000" w:type="dxa"/>
            <w:vAlign w:val="bottom"/>
            <w:gridSpan w:val="2"/>
            <w:vMerge w:val="continue"/>
            <w:shd w:val="clear" w:color="auto" w:fill="CCEEFF"/>
          </w:tcPr>
          <w:p>
            <w:pPr>
              <w:spacing w:after="0"/>
              <w:rPr>
                <w:sz w:val="11"/>
                <w:szCs w:val="11"/>
                <w:color w:val="auto"/>
              </w:rPr>
            </w:pPr>
          </w:p>
        </w:tc>
        <w:tc>
          <w:tcPr>
            <w:tcW w:w="1780" w:type="dxa"/>
            <w:vAlign w:val="bottom"/>
            <w:shd w:val="clear" w:color="auto" w:fill="CCEEFF"/>
          </w:tcPr>
          <w:p>
            <w:pPr>
              <w:jc w:val="right"/>
              <w:ind w:right="19"/>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75"/>
        </w:trPr>
        <w:tc>
          <w:tcPr>
            <w:tcW w:w="54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Purchased at 3/31/2021</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1760" w:type="dxa"/>
            <w:vAlign w:val="bottom"/>
          </w:tcPr>
          <w:p>
            <w:pPr>
              <w:jc w:val="right"/>
              <w:spacing w:after="0"/>
              <w:rPr>
                <w:sz w:val="20"/>
                <w:szCs w:val="20"/>
                <w:color w:val="auto"/>
              </w:rPr>
            </w:pPr>
            <w:r>
              <w:rPr>
                <w:rFonts w:ascii="Arial" w:cs="Arial" w:eastAsia="Arial" w:hAnsi="Arial"/>
                <w:sz w:val="18"/>
                <w:szCs w:val="18"/>
                <w:color w:val="auto"/>
              </w:rPr>
              <w:t>4,837,847</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(225,057)</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4,612,790</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19,837,847</w:t>
            </w:r>
          </w:p>
        </w:tc>
        <w:tc>
          <w:tcPr>
            <w:tcW w:w="12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(225,057)</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19,612,790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July 29, 2021, we issued an earnings release reporting our results of operations for the second quarter of 2021.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ectPr>
          <w:pgSz w:w="11900" w:h="16838" w:orient="portrait"/>
          <w:cols w:equalWidth="0" w:num="1">
            <w:col w:w="11220"/>
          </w:cols>
          <w:pgMar w:left="320" w:top="908" w:right="359" w:bottom="1440" w:gutter="0" w:footer="0" w:header="0"/>
        </w:sectPr>
      </w:pP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3(ii)</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300"/>
        <w:spacing w:after="0" w:line="227" w:lineRule="auto"/>
        <w:rPr>
          <w:rFonts w:ascii="Arial" w:cs="Arial" w:eastAsia="Arial" w:hAnsi="Arial"/>
          <w:sz w:val="18"/>
          <w:szCs w:val="18"/>
          <w:color w:val="auto"/>
        </w:rPr>
      </w:pPr>
      <w:hyperlink r:id="rId75">
        <w:r>
          <w:rPr>
            <w:rFonts w:ascii="Arial" w:cs="Arial" w:eastAsia="Arial" w:hAnsi="Arial"/>
            <w:sz w:val="18"/>
            <w:szCs w:val="18"/>
            <w:color w:val="auto"/>
          </w:rPr>
          <w:t>Charter of T. Rowe Price Group, Inc., as reflected by Articles of Restatement dated June 20, 2018. (Incorporated by</w:t>
        </w:r>
      </w:hyperlink>
      <w:r>
        <w:rPr>
          <w:rFonts w:ascii="Arial" w:cs="Arial" w:eastAsia="Arial" w:hAnsi="Arial"/>
          <w:sz w:val="18"/>
          <w:szCs w:val="18"/>
          <w:color w:val="auto"/>
        </w:rPr>
        <w:t xml:space="preserve"> </w:t>
      </w:r>
      <w:hyperlink r:id="rId75">
        <w:r>
          <w:rPr>
            <w:rFonts w:ascii="Arial" w:cs="Arial" w:eastAsia="Arial" w:hAnsi="Arial"/>
            <w:sz w:val="18"/>
            <w:szCs w:val="18"/>
            <w:color w:val="auto"/>
          </w:rPr>
          <w:t>reference from Form 10-Q Quarterly Report filed on July 25, 2018.)</w:t>
        </w:r>
      </w:hyperlink>
    </w:p>
    <w:p>
      <w:pPr>
        <w:spacing w:after="0" w:line="67" w:lineRule="exact"/>
        <w:rPr>
          <w:sz w:val="20"/>
          <w:szCs w:val="20"/>
          <w:color w:val="auto"/>
        </w:rPr>
      </w:pPr>
    </w:p>
    <w:p>
      <w:pPr>
        <w:ind w:right="60"/>
        <w:spacing w:after="0" w:line="227" w:lineRule="auto"/>
        <w:rPr>
          <w:rFonts w:ascii="Arial" w:cs="Arial" w:eastAsia="Arial" w:hAnsi="Arial"/>
          <w:sz w:val="18"/>
          <w:szCs w:val="18"/>
          <w:color w:val="auto"/>
        </w:rPr>
      </w:pPr>
      <w:hyperlink r:id="rId76">
        <w:r>
          <w:rPr>
            <w:rFonts w:ascii="Arial" w:cs="Arial" w:eastAsia="Arial" w:hAnsi="Arial"/>
            <w:sz w:val="18"/>
            <w:szCs w:val="18"/>
            <w:color w:val="auto"/>
          </w:rPr>
          <w:t>Amended and Restated By-Laws of T. Rowe Price Group, Inc. as of February 9, 2021. (Incorporated by reference from</w:t>
        </w:r>
      </w:hyperlink>
      <w:r>
        <w:rPr>
          <w:rFonts w:ascii="Arial" w:cs="Arial" w:eastAsia="Arial" w:hAnsi="Arial"/>
          <w:sz w:val="18"/>
          <w:szCs w:val="18"/>
          <w:color w:val="auto"/>
        </w:rPr>
        <w:t xml:space="preserve"> </w:t>
      </w:r>
      <w:hyperlink r:id="rId76">
        <w:r>
          <w:rPr>
            <w:rFonts w:ascii="Arial" w:cs="Arial" w:eastAsia="Arial" w:hAnsi="Arial"/>
            <w:sz w:val="18"/>
            <w:szCs w:val="18"/>
            <w:color w:val="auto"/>
          </w:rPr>
          <w:t>Form 10-K Annual Report filed on February 11, 2021.)</w:t>
        </w:r>
      </w:hyperlink>
    </w:p>
    <w:p>
      <w:pPr>
        <w:spacing w:after="0" w:line="81" w:lineRule="exact"/>
        <w:rPr>
          <w:sz w:val="20"/>
          <w:szCs w:val="20"/>
          <w:color w:val="auto"/>
        </w:rPr>
      </w:pPr>
    </w:p>
    <w:p>
      <w:pPr>
        <w:spacing w:after="0"/>
        <w:rPr>
          <w:rFonts w:ascii="Arial" w:cs="Arial" w:eastAsia="Arial" w:hAnsi="Arial"/>
          <w:sz w:val="18"/>
          <w:szCs w:val="18"/>
          <w:color w:val="auto"/>
        </w:rPr>
      </w:pPr>
      <w:hyperlink w:anchor="page41">
        <w:r>
          <w:rPr>
            <w:rFonts w:ascii="Arial" w:cs="Arial" w:eastAsia="Arial" w:hAnsi="Arial"/>
            <w:sz w:val="18"/>
            <w:szCs w:val="18"/>
            <w:color w:val="auto"/>
          </w:rPr>
          <w:t>Report from KPMG LLP, independent registered public accounting firm, re unaudited interim financial information.</w:t>
        </w:r>
      </w:hyperlink>
    </w:p>
    <w:p>
      <w:pPr>
        <w:spacing w:after="0" w:line="117" w:lineRule="exact"/>
        <w:rPr>
          <w:sz w:val="20"/>
          <w:szCs w:val="20"/>
          <w:color w:val="auto"/>
        </w:rPr>
      </w:pPr>
    </w:p>
    <w:p>
      <w:pPr>
        <w:spacing w:after="0"/>
        <w:rPr>
          <w:rFonts w:ascii="Arial" w:cs="Arial" w:eastAsia="Arial" w:hAnsi="Arial"/>
          <w:sz w:val="18"/>
          <w:szCs w:val="18"/>
          <w:color w:val="auto"/>
        </w:rPr>
      </w:pPr>
      <w:hyperlink w:anchor="page42">
        <w:r>
          <w:rPr>
            <w:rFonts w:ascii="Arial" w:cs="Arial" w:eastAsia="Arial" w:hAnsi="Arial"/>
            <w:sz w:val="18"/>
            <w:szCs w:val="18"/>
            <w:color w:val="auto"/>
          </w:rPr>
          <w:t>Rule 13a-14(a) Certification of Principal Executive Officer.</w:t>
        </w:r>
      </w:hyperlink>
    </w:p>
    <w:p>
      <w:pPr>
        <w:spacing w:after="0" w:line="117" w:lineRule="exact"/>
        <w:rPr>
          <w:sz w:val="20"/>
          <w:szCs w:val="20"/>
          <w:color w:val="auto"/>
        </w:rPr>
      </w:pPr>
    </w:p>
    <w:p>
      <w:pPr>
        <w:spacing w:after="0"/>
        <w:rPr>
          <w:rFonts w:ascii="Arial" w:cs="Arial" w:eastAsia="Arial" w:hAnsi="Arial"/>
          <w:sz w:val="18"/>
          <w:szCs w:val="18"/>
          <w:color w:val="auto"/>
        </w:rPr>
      </w:pPr>
      <w:hyperlink w:anchor="page43">
        <w:r>
          <w:rPr>
            <w:rFonts w:ascii="Arial" w:cs="Arial" w:eastAsia="Arial" w:hAnsi="Arial"/>
            <w:sz w:val="18"/>
            <w:szCs w:val="18"/>
            <w:color w:val="auto"/>
          </w:rPr>
          <w:t>Rule 13a-14(a) Certification of Principal Financial Officer.</w:t>
        </w:r>
      </w:hyperlink>
    </w:p>
    <w:p>
      <w:pPr>
        <w:spacing w:after="0" w:line="117" w:lineRule="exact"/>
        <w:rPr>
          <w:sz w:val="20"/>
          <w:szCs w:val="20"/>
          <w:color w:val="auto"/>
        </w:rPr>
      </w:pPr>
    </w:p>
    <w:p>
      <w:pPr>
        <w:spacing w:after="0"/>
        <w:rPr>
          <w:rFonts w:ascii="Arial" w:cs="Arial" w:eastAsia="Arial" w:hAnsi="Arial"/>
          <w:sz w:val="18"/>
          <w:szCs w:val="18"/>
          <w:color w:val="auto"/>
        </w:rPr>
      </w:pPr>
      <w:hyperlink w:anchor="page44">
        <w:r>
          <w:rPr>
            <w:rFonts w:ascii="Arial" w:cs="Arial" w:eastAsia="Arial" w:hAnsi="Arial"/>
            <w:sz w:val="18"/>
            <w:szCs w:val="18"/>
            <w:color w:val="auto"/>
          </w:rPr>
          <w:t>Section 1350 Certifications.</w:t>
        </w:r>
      </w:hyperlink>
    </w:p>
    <w:p>
      <w:pPr>
        <w:spacing w:after="0" w:line="104" w:lineRule="exact"/>
        <w:rPr>
          <w:sz w:val="20"/>
          <w:szCs w:val="20"/>
          <w:color w:val="auto"/>
        </w:rPr>
      </w:pPr>
    </w:p>
    <w:p>
      <w:pPr>
        <w:spacing w:after="0"/>
        <w:rPr>
          <w:rFonts w:ascii="Arial" w:cs="Arial" w:eastAsia="Arial" w:hAnsi="Arial"/>
          <w:sz w:val="18"/>
          <w:szCs w:val="18"/>
          <w:color w:val="auto"/>
        </w:rPr>
      </w:pPr>
      <w:hyperlink w:anchor="page45">
        <w:r>
          <w:rPr>
            <w:rFonts w:ascii="Arial" w:cs="Arial" w:eastAsia="Arial" w:hAnsi="Arial"/>
            <w:sz w:val="18"/>
            <w:szCs w:val="18"/>
            <w:color w:val="auto"/>
          </w:rPr>
          <w:t>Earnings release issued July 29, 2021, reporting our results of operations for the second quarter of 2021.</w:t>
        </w:r>
      </w:hyperlink>
    </w:p>
    <w:p>
      <w:pPr>
        <w:spacing w:after="0" w:line="9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9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1020" w:space="720"/>
            <w:col w:w="9480"/>
          </w:cols>
          <w:pgMar w:left="320" w:top="90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39" w:name="page40"/>
    <w:bookmarkEnd w:id="39"/>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29,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Céline S. Dufétel</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Vice President, Chief Operating Officer, Chief Financial Officer and Treasurer</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120"/>
          </w:cols>
          <w:pgMar w:left="320" w:top="886" w:right="459" w:bottom="1440" w:gutter="0" w:footer="0" w:header="0"/>
        </w:sectPr>
      </w:pPr>
    </w:p>
    <w:bookmarkStart w:id="40" w:name="page41"/>
    <w:bookmarkEnd w:id="40"/>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61"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908" w:right="3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9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Re: Registration Statements No. 33-7012, No. 333-59714, No. 333-120882, No. 333-120883, No. 333-142092, No. 333-167317, No. 333-180904, No. 333-199560, No. 333-212705 , No. 333-217483, and No. 333-238319.</w:t>
      </w:r>
    </w:p>
    <w:p>
      <w:pPr>
        <w:spacing w:after="0" w:line="22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29, 2021 related to our review of interim financial information.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908" w:right="339" w:bottom="1440" w:gutter="0" w:footer="0" w:header="0"/>
          <w:type w:val="continuous"/>
        </w:sectPr>
      </w:pPr>
    </w:p>
    <w:bookmarkStart w:id="41" w:name="page42"/>
    <w:bookmarkEnd w:id="41"/>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June 30, 2021 of T. Rowe Price Group, Inc.;</w:t>
      </w:r>
    </w:p>
    <w:p>
      <w:pPr>
        <w:spacing w:after="0" w:line="90" w:lineRule="exact"/>
        <w:rPr>
          <w:sz w:val="20"/>
          <w:szCs w:val="20"/>
          <w:color w:val="auto"/>
        </w:rPr>
      </w:pPr>
    </w:p>
    <w:p>
      <w:pPr>
        <w:ind w:left="180" w:right="220" w:hanging="161"/>
        <w:spacing w:after="0" w:line="256"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sz w:val="20"/>
          <w:szCs w:val="20"/>
          <w:color w:val="auto"/>
        </w:rPr>
      </w:pPr>
    </w:p>
    <w:p>
      <w:pPr>
        <w:ind w:left="180" w:right="300" w:hanging="161"/>
        <w:spacing w:after="0" w:line="29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90" w:lineRule="exact"/>
        <w:rPr>
          <w:sz w:val="20"/>
          <w:szCs w:val="20"/>
          <w:color w:val="auto"/>
        </w:rPr>
      </w:pPr>
    </w:p>
    <w:p>
      <w:pPr>
        <w:ind w:left="180" w:right="280" w:firstLine="71"/>
        <w:spacing w:after="0" w:line="256"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80" w:right="140" w:firstLine="71"/>
        <w:spacing w:after="0" w:line="256"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180" w:hanging="161"/>
        <w:spacing w:after="0" w:line="291"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180" w:right="380" w:firstLine="71"/>
        <w:spacing w:after="0" w:line="261"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80" w:right="620" w:firstLine="71"/>
        <w:spacing w:after="0" w:line="261"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 of Directors</w:t>
      </w:r>
    </w:p>
    <w:p>
      <w:pPr>
        <w:sectPr>
          <w:pgSz w:w="11900" w:h="16838" w:orient="portrait"/>
          <w:cols w:equalWidth="0" w:num="1">
            <w:col w:w="11220"/>
          </w:cols>
          <w:pgMar w:left="320" w:top="1003" w:right="359" w:bottom="1440" w:gutter="0" w:footer="0" w:header="0"/>
        </w:sectPr>
      </w:pPr>
    </w:p>
    <w:bookmarkStart w:id="42" w:name="page43"/>
    <w:bookmarkEnd w:id="42"/>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June 30, 2021 of T. Rowe Price Group, Inc.;</w:t>
      </w:r>
    </w:p>
    <w:p>
      <w:pPr>
        <w:spacing w:after="0" w:line="90" w:lineRule="exact"/>
        <w:rPr>
          <w:sz w:val="20"/>
          <w:szCs w:val="20"/>
          <w:color w:val="auto"/>
        </w:rPr>
      </w:pPr>
    </w:p>
    <w:p>
      <w:pPr>
        <w:ind w:left="180" w:right="220" w:hanging="161"/>
        <w:spacing w:after="0" w:line="256"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sz w:val="20"/>
          <w:szCs w:val="20"/>
          <w:color w:val="auto"/>
        </w:rPr>
      </w:pPr>
    </w:p>
    <w:p>
      <w:pPr>
        <w:ind w:left="180" w:right="300" w:hanging="161"/>
        <w:spacing w:after="0" w:line="29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90" w:lineRule="exact"/>
        <w:rPr>
          <w:sz w:val="20"/>
          <w:szCs w:val="20"/>
          <w:color w:val="auto"/>
        </w:rPr>
      </w:pPr>
    </w:p>
    <w:p>
      <w:pPr>
        <w:ind w:left="180" w:right="280" w:firstLine="71"/>
        <w:spacing w:after="0" w:line="256"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80" w:right="140" w:firstLine="71"/>
        <w:spacing w:after="0" w:line="256"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180" w:hanging="161"/>
        <w:spacing w:after="0" w:line="291"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180" w:right="380" w:firstLine="71"/>
        <w:spacing w:after="0" w:line="261"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80" w:right="620" w:firstLine="71"/>
        <w:spacing w:after="0" w:line="261"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Operating Officer, Chief Financial Officer and Treasurer</w:t>
      </w:r>
    </w:p>
    <w:p>
      <w:pPr>
        <w:sectPr>
          <w:pgSz w:w="11900" w:h="16838" w:orient="portrait"/>
          <w:cols w:equalWidth="0" w:num="1">
            <w:col w:w="11220"/>
          </w:cols>
          <w:pgMar w:left="320" w:top="1003" w:right="359" w:bottom="1440" w:gutter="0" w:footer="0" w:header="0"/>
        </w:sectPr>
      </w:pPr>
    </w:p>
    <w:bookmarkStart w:id="43" w:name="page44"/>
    <w:bookmarkEnd w:id="43"/>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2021, of T. Rowe Price Group, Inc., that:</w:t>
      </w:r>
    </w:p>
    <w:p>
      <w:pPr>
        <w:spacing w:after="0" w:line="76" w:lineRule="exact"/>
        <w:rPr>
          <w:sz w:val="20"/>
          <w:szCs w:val="20"/>
          <w:color w:val="auto"/>
        </w:rPr>
      </w:pPr>
    </w:p>
    <w:p>
      <w:pPr>
        <w:ind w:right="620" w:firstLine="8"/>
        <w:spacing w:after="0" w:line="261"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62" w:lineRule="exact"/>
        <w:rPr>
          <w:rFonts w:ascii="Arial" w:cs="Arial" w:eastAsia="Arial" w:hAnsi="Arial"/>
          <w:sz w:val="18"/>
          <w:szCs w:val="18"/>
          <w:color w:val="auto"/>
        </w:rPr>
      </w:pPr>
    </w:p>
    <w:p>
      <w:pPr>
        <w:ind w:firstLine="8"/>
        <w:spacing w:after="0" w:line="261"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Operating Officer, Chief Financial Officer and Treasurer</w:t>
      </w:r>
    </w:p>
    <w:p>
      <w:pPr>
        <w:sectPr>
          <w:pgSz w:w="11900" w:h="16838" w:orient="portrait"/>
          <w:cols w:equalWidth="0" w:num="1">
            <w:col w:w="11160"/>
          </w:cols>
          <w:pgMar w:left="320" w:top="1003" w:right="41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5863590" cy="548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SECOND QUARTER 2021 RESULTS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BALTIMORE (July 29, 2021) - T. Rowe Price Group, Inc. (NASDAQ-GS: TROW) today reported its results for the second quarter of 2021.</w:t>
      </w:r>
    </w:p>
    <w:p>
      <w:pPr>
        <w:spacing w:after="0" w:line="10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Assets under management end quarter at $1.62 trillion</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Net client outflows of $0.6 billion for Q2 2021</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Net revenues of $1.9 billion for Q2 2021</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Diluted earnings per common share of $3.46 for Q2 2021</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Adjusted non-GAAP diluted earnings per common share of $3.31 for Q2 2021</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Long-term investment performance remains strong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0" w:type="dxa"/>
            <w:vAlign w:val="bottom"/>
            <w:tcBorders>
              <w:top w:val="single" w:sz="8" w:color="auto"/>
              <w:left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left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Three months ended</w:t>
            </w: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color w:val="auto"/>
              </w:rPr>
              <w:t>Six months ended</w:t>
            </w:r>
          </w:p>
        </w:tc>
        <w:tc>
          <w:tcPr>
            <w:tcW w:w="88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(in millions, except per-share data)</w:t>
            </w:r>
          </w:p>
        </w:tc>
        <w:tc>
          <w:tcPr>
            <w:tcW w:w="10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4"/>
                <w:szCs w:val="14"/>
                <w:color w:val="auto"/>
              </w:rPr>
              <w:t>6/30/2021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Arial" w:cs="Arial" w:eastAsia="Arial" w:hAnsi="Arial"/>
                <w:sz w:val="14"/>
                <w:szCs w:val="14"/>
                <w:color w:val="auto"/>
                <w:w w:val="99"/>
              </w:rPr>
              <w:t>6/30/2020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4"/>
                <w:szCs w:val="14"/>
                <w:color w:val="auto"/>
              </w:rPr>
              <w:t>3/31/2021</w:t>
            </w:r>
          </w:p>
        </w:tc>
        <w:tc>
          <w:tcPr>
            <w:tcW w:w="80" w:type="dxa"/>
            <w:vAlign w:val="bottom"/>
          </w:tcPr>
          <w:p>
            <w:pPr>
              <w:spacing w:after="0"/>
              <w:rPr>
                <w:sz w:val="15"/>
                <w:szCs w:val="15"/>
                <w:color w:val="auto"/>
              </w:rPr>
            </w:pPr>
          </w:p>
        </w:tc>
        <w:tc>
          <w:tcPr>
            <w:tcW w:w="112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Arial" w:cs="Arial" w:eastAsia="Arial" w:hAnsi="Arial"/>
                <w:sz w:val="14"/>
                <w:szCs w:val="14"/>
                <w:color w:val="auto"/>
                <w:w w:val="99"/>
              </w:rPr>
              <w:t>6/30/2021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4"/>
                <w:szCs w:val="14"/>
                <w:color w:val="auto"/>
              </w:rPr>
              <w:t>6/30/2020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right w:val="single" w:sz="8" w:color="auto"/>
            </w:tcBorders>
          </w:tcPr>
          <w:p>
            <w:pPr>
              <w:jc w:val="right"/>
              <w:ind w:right="124"/>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88"/>
        </w:trPr>
        <w:tc>
          <w:tcPr>
            <w:tcW w:w="40" w:type="dxa"/>
            <w:vAlign w:val="bottom"/>
            <w:tcBorders>
              <w:top w:val="single" w:sz="8" w:color="CCEEFF"/>
              <w:left w:val="single" w:sz="8" w:color="auto"/>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CCEEFF"/>
              <w:left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right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right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880" w:type="dxa"/>
            <w:vAlign w:val="bottom"/>
            <w:tcBorders>
              <w:top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20" w:type="dxa"/>
            <w:vAlign w:val="bottom"/>
            <w:tcBorders>
              <w:left w:val="single" w:sz="8" w:color="auto"/>
            </w:tcBorders>
            <w:gridSpan w:val="4"/>
          </w:tcPr>
          <w:p>
            <w:pPr>
              <w:ind w:left="40"/>
              <w:spacing w:after="0" w:line="162" w:lineRule="exact"/>
              <w:rPr>
                <w:sz w:val="20"/>
                <w:szCs w:val="20"/>
                <w:color w:val="auto"/>
              </w:rPr>
            </w:pPr>
            <w:r>
              <w:rPr>
                <w:rFonts w:ascii="Arial" w:cs="Arial" w:eastAsia="Arial" w:hAnsi="Arial"/>
                <w:sz w:val="15"/>
                <w:szCs w:val="15"/>
                <w:b w:val="1"/>
                <w:bCs w:val="1"/>
                <w:color w:val="auto"/>
              </w:rPr>
              <w:t>U.S. GAAP basis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Investment advisory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1,787.2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1,293.8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38.1 %</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1,687.8</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5.9 %</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Net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1,929.3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1,415.4</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36.3 %</w:t>
            </w:r>
          </w:p>
        </w:tc>
        <w:tc>
          <w:tcPr>
            <w:tcW w:w="12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1,826.8</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3,756.1</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2,878.0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30.5 %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861.7</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12.7 %</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933.6</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Net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958.1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553.7</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73.0 %</w:t>
            </w:r>
          </w:p>
        </w:tc>
        <w:tc>
          <w:tcPr>
            <w:tcW w:w="12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893.2</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7.3 %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1,851.3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1,260.9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46.8 %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shd w:val="clear" w:color="auto" w:fill="CCEEFF"/>
          </w:tcPr>
          <w:p>
            <w:pPr>
              <w:ind w:left="40"/>
              <w:spacing w:after="0" w:line="202" w:lineRule="exact"/>
              <w:rPr>
                <w:sz w:val="20"/>
                <w:szCs w:val="20"/>
                <w:color w:val="auto"/>
              </w:rPr>
            </w:pPr>
            <w:r>
              <w:rPr>
                <w:rFonts w:ascii="Arial" w:cs="Arial" w:eastAsia="Arial" w:hAnsi="Arial"/>
                <w:sz w:val="14"/>
                <w:szCs w:val="14"/>
                <w:color w:val="auto"/>
              </w:rPr>
              <w:t>Non-operating income (loss)</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ind w:left="720"/>
              <w:spacing w:after="0"/>
              <w:rPr>
                <w:sz w:val="20"/>
                <w:szCs w:val="20"/>
                <w:color w:val="auto"/>
              </w:rPr>
            </w:pPr>
            <w:r>
              <w:rPr>
                <w:rFonts w:ascii="Arial" w:cs="Arial" w:eastAsia="Arial" w:hAnsi="Arial"/>
                <w:sz w:val="15"/>
                <w:szCs w:val="15"/>
                <w:color w:val="auto"/>
              </w:rPr>
              <w:t>n/m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102.1</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ind w:left="720"/>
              <w:spacing w:after="0"/>
              <w:rPr>
                <w:sz w:val="20"/>
                <w:szCs w:val="20"/>
                <w:color w:val="auto"/>
              </w:rPr>
            </w:pPr>
            <w:r>
              <w:rPr>
                <w:rFonts w:ascii="Arial" w:cs="Arial" w:eastAsia="Arial" w:hAnsi="Arial"/>
                <w:sz w:val="15"/>
                <w:szCs w:val="15"/>
                <w:color w:val="auto"/>
              </w:rPr>
              <w:t>n/m</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8"/>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Net income attributable to T. Rowe Price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815.7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603.0</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35.3 %</w:t>
            </w:r>
          </w:p>
        </w:tc>
        <w:tc>
          <w:tcPr>
            <w:tcW w:w="12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749.4</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8.8 %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1,565.1</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946.1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65.4 %</w:t>
            </w:r>
          </w:p>
        </w:tc>
        <w:tc>
          <w:tcPr>
            <w:tcW w:w="0" w:type="dxa"/>
            <w:vAlign w:val="bottom"/>
          </w:tcPr>
          <w:p>
            <w:pPr>
              <w:spacing w:after="0"/>
              <w:rPr>
                <w:sz w:val="1"/>
                <w:szCs w:val="1"/>
                <w:color w:val="auto"/>
              </w:rPr>
            </w:pPr>
          </w:p>
        </w:tc>
      </w:tr>
      <w:tr>
        <w:trPr>
          <w:trHeight w:val="207"/>
        </w:trPr>
        <w:tc>
          <w:tcPr>
            <w:tcW w:w="30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35.7 %</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3.17</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9.1 %</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67.8 %</w:t>
            </w:r>
          </w:p>
        </w:tc>
        <w:tc>
          <w:tcPr>
            <w:tcW w:w="0" w:type="dxa"/>
            <w:vAlign w:val="bottom"/>
          </w:tcPr>
          <w:p>
            <w:pPr>
              <w:spacing w:after="0"/>
              <w:rPr>
                <w:sz w:val="1"/>
                <w:szCs w:val="1"/>
                <w:color w:val="auto"/>
              </w:rPr>
            </w:pPr>
          </w:p>
        </w:tc>
      </w:tr>
      <w:tr>
        <w:trPr>
          <w:trHeight w:val="153"/>
        </w:trPr>
        <w:tc>
          <w:tcPr>
            <w:tcW w:w="3020" w:type="dxa"/>
            <w:vAlign w:val="bottom"/>
            <w:tcBorders>
              <w:left w:val="single" w:sz="8" w:color="auto"/>
            </w:tcBorders>
            <w:gridSpan w:val="4"/>
          </w:tcPr>
          <w:p>
            <w:pPr>
              <w:ind w:left="40"/>
              <w:spacing w:after="0" w:line="153" w:lineRule="exact"/>
              <w:rPr>
                <w:sz w:val="20"/>
                <w:szCs w:val="20"/>
                <w:color w:val="auto"/>
              </w:rPr>
            </w:pPr>
            <w:r>
              <w:rPr>
                <w:rFonts w:ascii="Arial" w:cs="Arial" w:eastAsia="Arial" w:hAnsi="Arial"/>
                <w:sz w:val="14"/>
                <w:szCs w:val="14"/>
                <w:color w:val="auto"/>
              </w:rPr>
              <w:t>Weighted average common shares</w:t>
            </w:r>
          </w:p>
        </w:tc>
        <w:tc>
          <w:tcPr>
            <w:tcW w:w="10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color w:val="auto"/>
              </w:rPr>
              <w:t>229.2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229.5</w:t>
            </w:r>
          </w:p>
        </w:tc>
        <w:tc>
          <w:tcPr>
            <w:tcW w:w="1140" w:type="dxa"/>
            <w:vAlign w:val="bottom"/>
            <w:gridSpan w:val="3"/>
            <w:vMerge w:val="restart"/>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color w:val="auto"/>
              </w:rPr>
              <w:t>230.0</w:t>
            </w:r>
          </w:p>
        </w:tc>
        <w:tc>
          <w:tcPr>
            <w:tcW w:w="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229.6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233.1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71"/>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outstanding assuming dilution</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20" w:type="dxa"/>
            <w:vAlign w:val="bottom"/>
            <w:tcBorders>
              <w:left w:val="single" w:sz="8" w:color="auto"/>
            </w:tcBorders>
            <w:gridSpan w:val="4"/>
          </w:tcPr>
          <w:p>
            <w:pPr>
              <w:ind w:left="40"/>
              <w:spacing w:after="0" w:line="162" w:lineRule="exact"/>
              <w:rPr>
                <w:sz w:val="20"/>
                <w:szCs w:val="20"/>
                <w:color w:val="auto"/>
              </w:rPr>
            </w:pPr>
            <w:r>
              <w:rPr>
                <w:rFonts w:ascii="Arial" w:cs="Arial" w:eastAsia="Arial" w:hAnsi="Arial"/>
                <w:sz w:val="14"/>
                <w:szCs w:val="14"/>
                <w:b w:val="1"/>
                <w:bCs w:val="1"/>
                <w:color w:val="auto"/>
              </w:rPr>
              <w:t>Adjusted non-GAAP basis</w:t>
            </w:r>
            <w:r>
              <w:rPr>
                <w:rFonts w:ascii="Arial" w:cs="Arial" w:eastAsia="Arial" w:hAnsi="Arial"/>
                <w:sz w:val="18"/>
                <w:szCs w:val="18"/>
                <w:b w:val="1"/>
                <w:bCs w:val="1"/>
                <w:color w:val="auto"/>
                <w:vertAlign w:val="superscript"/>
              </w:rPr>
              <w:t>(2)</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931.8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785.8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18.6 %</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909.2</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Net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998.6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631.7</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58.1 %</w:t>
            </w:r>
          </w:p>
        </w:tc>
        <w:tc>
          <w:tcPr>
            <w:tcW w:w="12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918.9</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8.7 %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1,917.5</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1,278.9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49.9 %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shd w:val="clear" w:color="auto" w:fill="CCEEFF"/>
          </w:tcPr>
          <w:p>
            <w:pPr>
              <w:ind w:left="40"/>
              <w:spacing w:after="0" w:line="202" w:lineRule="exact"/>
              <w:rPr>
                <w:sz w:val="20"/>
                <w:szCs w:val="20"/>
                <w:color w:val="auto"/>
              </w:rPr>
            </w:pPr>
            <w:r>
              <w:rPr>
                <w:rFonts w:ascii="Arial" w:cs="Arial" w:eastAsia="Arial" w:hAnsi="Arial"/>
                <w:sz w:val="14"/>
                <w:szCs w:val="14"/>
                <w:color w:val="auto"/>
              </w:rPr>
              <w:t>Non-operating income (loss)</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ind w:left="720"/>
              <w:spacing w:after="0"/>
              <w:rPr>
                <w:sz w:val="20"/>
                <w:szCs w:val="20"/>
                <w:color w:val="auto"/>
              </w:rPr>
            </w:pPr>
            <w:r>
              <w:rPr>
                <w:rFonts w:ascii="Arial" w:cs="Arial" w:eastAsia="Arial" w:hAnsi="Arial"/>
                <w:sz w:val="15"/>
                <w:szCs w:val="15"/>
                <w:color w:val="auto"/>
              </w:rPr>
              <w:t>n/m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13.7</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ind w:left="720"/>
              <w:spacing w:after="0"/>
              <w:rPr>
                <w:sz w:val="20"/>
                <w:szCs w:val="20"/>
                <w:color w:val="auto"/>
              </w:rPr>
            </w:pPr>
            <w:r>
              <w:rPr>
                <w:rFonts w:ascii="Arial" w:cs="Arial" w:eastAsia="Arial" w:hAnsi="Arial"/>
                <w:sz w:val="15"/>
                <w:szCs w:val="15"/>
                <w:color w:val="auto"/>
              </w:rPr>
              <w:t>n/m</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Net income attributable to T. Rowe Price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779.0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539.6</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44.4 %</w:t>
            </w:r>
          </w:p>
        </w:tc>
        <w:tc>
          <w:tcPr>
            <w:tcW w:w="12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712.0</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9.4 %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1,491.0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993.9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50.0 %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44.5 %</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52.3 %</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Assets under Management </w:t>
            </w:r>
            <w:r>
              <w:rPr>
                <w:rFonts w:ascii="Arial" w:cs="Arial" w:eastAsia="Arial" w:hAnsi="Arial"/>
                <w:sz w:val="14"/>
                <w:szCs w:val="14"/>
                <w:color w:val="auto"/>
              </w:rPr>
              <w:t>(in billions)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Average assets under management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1,585.3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1,140.2</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39.0 %</w:t>
            </w:r>
          </w:p>
        </w:tc>
        <w:tc>
          <w:tcPr>
            <w:tcW w:w="12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1,508.8</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5.1 %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1,547.1</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1,151.4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34.4 %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Ending assets under management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1,623.1</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1,220.0</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33.0 %</w:t>
            </w: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1,518.0</w:t>
            </w: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6.9 %</w:t>
            </w: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1,623.1</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1,220.0</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33.0 %</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80" w:right="180" w:hanging="172"/>
        <w:spacing w:after="0" w:line="223" w:lineRule="auto"/>
        <w:tabs>
          <w:tab w:leader="none" w:pos="153"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Adjusts the GAAP basis for the impact of consolidated T. Rowe Price investment products, the impact of market movements on the supplemental savings plan liability and related economic hedges, investment income related to certain other investments, and certain nonrecurring charges and gains, if any. The firm believes the non-GAAP financial measures provide relevant and meaningful information to investors about its core operating results.See the reconciliation to the comparable U.S. GAAP measures at the end of this earnings release.</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1440" w:right="3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Management Commentary</w:t>
      </w:r>
    </w:p>
    <w:p>
      <w:pPr>
        <w:spacing w:after="0" w:line="126" w:lineRule="exact"/>
        <w:rPr>
          <w:sz w:val="20"/>
          <w:szCs w:val="20"/>
          <w:color w:val="auto"/>
        </w:rPr>
      </w:pPr>
    </w:p>
    <w:p>
      <w:pPr>
        <w:ind w:right="40"/>
        <w:spacing w:after="0" w:line="397" w:lineRule="auto"/>
        <w:rPr>
          <w:sz w:val="20"/>
          <w:szCs w:val="20"/>
          <w:color w:val="auto"/>
        </w:rPr>
      </w:pPr>
      <w:r>
        <w:rPr>
          <w:rFonts w:ascii="Arial" w:cs="Arial" w:eastAsia="Arial" w:hAnsi="Arial"/>
          <w:sz w:val="18"/>
          <w:szCs w:val="18"/>
          <w:color w:val="auto"/>
        </w:rPr>
        <w:t>William J. Stromberg, chief executive officer, commented, “Global stocks rose broadly for a fifth straight quarter following the pandemic-induced declines in Q1 2020. U.S. stocks led the way and the S&amp;P 500 Index closed Q2 at a new all-time high, up 92% from the bear market bottom in March of 2020. Bonds delivered modest gains as interest rates retreated, despite early signs of budding inflation in the U.S.</w:t>
      </w:r>
    </w:p>
    <w:p>
      <w:pPr>
        <w:spacing w:after="0" w:line="242" w:lineRule="exact"/>
        <w:rPr>
          <w:sz w:val="20"/>
          <w:szCs w:val="20"/>
          <w:color w:val="auto"/>
        </w:rPr>
      </w:pPr>
    </w:p>
    <w:p>
      <w:pPr>
        <w:jc w:val="both"/>
        <w:ind w:right="220"/>
        <w:spacing w:after="0" w:line="405" w:lineRule="auto"/>
        <w:rPr>
          <w:sz w:val="20"/>
          <w:szCs w:val="20"/>
          <w:color w:val="auto"/>
        </w:rPr>
      </w:pPr>
      <w:r>
        <w:rPr>
          <w:rFonts w:ascii="Arial" w:cs="Arial" w:eastAsia="Arial" w:hAnsi="Arial"/>
          <w:sz w:val="18"/>
          <w:szCs w:val="18"/>
          <w:color w:val="auto"/>
        </w:rPr>
        <w:t>“With favorable market tailwinds, T. Rowe Price delivered very strong financial results in Q2 2021. Net revenues rose 36.3%, GAAP diluted EPS rose 35.7% to $3.46, and adjusted non-GAAP diluted EPS rose 44.5% to $3.31. In addition to our regular Q2 2021 dividend of $1.08 (up 20% year-over-year), we also declared a special cash dividend of $3.00 per share, and repurchased a modest number of shares - less than in recent quarters given the increase in our share price. Our balance sheet remains exceptionally strong.</w:t>
      </w:r>
    </w:p>
    <w:p>
      <w:pPr>
        <w:spacing w:after="0" w:line="209" w:lineRule="exact"/>
        <w:rPr>
          <w:sz w:val="20"/>
          <w:szCs w:val="20"/>
          <w:color w:val="auto"/>
        </w:rPr>
      </w:pPr>
    </w:p>
    <w:p>
      <w:pPr>
        <w:ind w:right="40"/>
        <w:spacing w:after="0" w:line="418" w:lineRule="auto"/>
        <w:rPr>
          <w:sz w:val="20"/>
          <w:szCs w:val="20"/>
          <w:color w:val="auto"/>
        </w:rPr>
      </w:pPr>
      <w:r>
        <w:rPr>
          <w:rFonts w:ascii="Arial" w:cs="Arial" w:eastAsia="Arial" w:hAnsi="Arial"/>
          <w:sz w:val="18"/>
          <w:szCs w:val="18"/>
          <w:color w:val="auto"/>
        </w:rPr>
        <w:t>“Investment performance across our wide range of strategies was solid for the quarter and remains very strong over longer-term time periods of five and ten years. Results of our retirement date products have been particularly strong over all time periods.</w:t>
      </w:r>
    </w:p>
    <w:p>
      <w:pPr>
        <w:spacing w:after="0" w:line="238" w:lineRule="exact"/>
        <w:rPr>
          <w:sz w:val="20"/>
          <w:szCs w:val="20"/>
          <w:color w:val="auto"/>
        </w:rPr>
      </w:pPr>
    </w:p>
    <w:p>
      <w:pPr>
        <w:spacing w:after="0" w:line="417" w:lineRule="auto"/>
        <w:rPr>
          <w:sz w:val="20"/>
          <w:szCs w:val="20"/>
          <w:color w:val="auto"/>
        </w:rPr>
      </w:pPr>
      <w:r>
        <w:rPr>
          <w:rFonts w:ascii="Arial" w:cs="Arial" w:eastAsia="Arial" w:hAnsi="Arial"/>
          <w:sz w:val="17"/>
          <w:szCs w:val="17"/>
          <w:color w:val="auto"/>
        </w:rPr>
        <w:t>“We had modest net outflows of $0.6 billion for Q2. Many investors, including some large subadvised clients, trimmed their holdings of U.S. equities, especially from growth-oriented portfolios after experiencing spectacular returns in recent years. Offsetting this were healthy inflows into our target date suite of products, which benefited from a few large account wins and a return to more typical retirement savings behavior after disruption in 2020. Our EMEA, APAC, and Canada businesses also all experienced positive flows, continuing a recent pattern of growth.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also continued to progress our strategic priorities in the quarter:</w:t>
      </w:r>
    </w:p>
    <w:p>
      <w:pPr>
        <w:spacing w:after="0" w:line="387" w:lineRule="exact"/>
        <w:rPr>
          <w:sz w:val="20"/>
          <w:szCs w:val="20"/>
          <w:color w:val="auto"/>
        </w:rPr>
      </w:pPr>
    </w:p>
    <w:p>
      <w:pPr>
        <w:ind w:left="660" w:right="20" w:hanging="328"/>
        <w:spacing w:after="0" w:line="336" w:lineRule="auto"/>
        <w:tabs>
          <w:tab w:leader="none" w:pos="656"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announced a series of initiatives to support the growth of our target date franchise including a reduction in fees across our funds and trusts, an expansion of our lineup to include Retirement Blend Funds, and a broad marketing campaign emphasizing the breadth of our solutions and our commitment to helping our clients achieve their desired retirement outcomes.</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announced a transformation of our retirement recordkeeping business with the expansion of our</w:t>
      </w:r>
    </w:p>
    <w:p>
      <w:pPr>
        <w:spacing w:after="0" w:line="107" w:lineRule="exact"/>
        <w:rPr>
          <w:rFonts w:ascii="Arial" w:cs="Arial" w:eastAsia="Arial" w:hAnsi="Arial"/>
          <w:sz w:val="22"/>
          <w:szCs w:val="22"/>
          <w:color w:val="auto"/>
        </w:rPr>
      </w:pPr>
    </w:p>
    <w:p>
      <w:pPr>
        <w:ind w:left="660" w:right="560"/>
        <w:spacing w:after="0" w:line="364" w:lineRule="auto"/>
        <w:rPr>
          <w:rFonts w:ascii="Arial" w:cs="Arial" w:eastAsia="Arial" w:hAnsi="Arial"/>
          <w:sz w:val="22"/>
          <w:szCs w:val="22"/>
          <w:color w:val="auto"/>
        </w:rPr>
      </w:pPr>
      <w:r>
        <w:rPr>
          <w:rFonts w:ascii="Arial" w:cs="Arial" w:eastAsia="Arial" w:hAnsi="Arial"/>
          <w:sz w:val="18"/>
          <w:szCs w:val="18"/>
          <w:color w:val="auto"/>
        </w:rPr>
        <w:t>30-year partnership with FIS, a global technology leader. This partnership will allow us to quickly add additional features to our clients’ plans while driving long term efficiencies that we expect to reinvest into strategic growth areas across the firm.</w:t>
      </w:r>
    </w:p>
    <w:p>
      <w:pPr>
        <w:spacing w:after="0" w:line="33" w:lineRule="exact"/>
        <w:rPr>
          <w:rFonts w:ascii="Arial" w:cs="Arial" w:eastAsia="Arial" w:hAnsi="Arial"/>
          <w:sz w:val="22"/>
          <w:szCs w:val="22"/>
          <w:color w:val="auto"/>
        </w:rPr>
      </w:pPr>
    </w:p>
    <w:p>
      <w:pPr>
        <w:ind w:left="660" w:right="220" w:hanging="328"/>
        <w:spacing w:after="0" w:line="333" w:lineRule="auto"/>
        <w:tabs>
          <w:tab w:leader="none" w:pos="656"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continued our commitment to increased disclosure and transparency on environmental, social, and governance issues with the publication of our annual reports on sustainable investing and corporate sustainability.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62" w:right="339" w:bottom="1440" w:gutter="0" w:footer="0" w:header="0"/>
        </w:sectPr>
      </w:pPr>
    </w:p>
    <w:bookmarkStart w:id="46" w:name="page47"/>
    <w:bookmarkEnd w:id="46"/>
    <w:p>
      <w:pPr>
        <w:ind w:right="180"/>
        <w:spacing w:after="0" w:line="384" w:lineRule="auto"/>
        <w:rPr>
          <w:sz w:val="20"/>
          <w:szCs w:val="20"/>
          <w:color w:val="auto"/>
        </w:rPr>
      </w:pPr>
      <w:r>
        <w:rPr>
          <w:rFonts w:ascii="Arial" w:cs="Arial" w:eastAsia="Arial" w:hAnsi="Arial"/>
          <w:sz w:val="18"/>
          <w:szCs w:val="18"/>
          <w:color w:val="auto"/>
        </w:rPr>
        <w:t>“As we continue to emerge from the pandemic, we will gradually return to offices around the world at paces consistent with local health authorities’ recommendations. I remain proud of our associates’ dedication to our clients throughout this unique period. And I would especially like to recognize the dedicated work of the associates who will be transitioning to FIS in August. We look forward to continuing to work together in support of our clients.”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Q2 2021, assets under management increased $105.1 billion to $1.62 trillion. Net cash outflows were</w:t>
      </w:r>
    </w:p>
    <w:p>
      <w:pPr>
        <w:spacing w:after="0" w:line="104" w:lineRule="exact"/>
        <w:rPr>
          <w:sz w:val="20"/>
          <w:szCs w:val="20"/>
          <w:color w:val="auto"/>
        </w:rPr>
      </w:pPr>
    </w:p>
    <w:p>
      <w:pPr>
        <w:ind w:right="400"/>
        <w:spacing w:after="0" w:line="365" w:lineRule="auto"/>
        <w:rPr>
          <w:sz w:val="20"/>
          <w:szCs w:val="20"/>
          <w:color w:val="auto"/>
        </w:rPr>
      </w:pPr>
      <w:r>
        <w:rPr>
          <w:rFonts w:ascii="Arial" w:cs="Arial" w:eastAsia="Arial" w:hAnsi="Arial"/>
          <w:sz w:val="18"/>
          <w:szCs w:val="18"/>
          <w:color w:val="auto"/>
        </w:rPr>
        <w:t>$0.6 billion, and clients transferred $9.2 billion in net assets from the U.S. mutual funds primarily to collective investment trusts and other investment products, of which $5.9 billion transferred into the retirement date trusts. The components of the change in assets under management, by vehicle and asset class, are shown in the tables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40" w:type="dxa"/>
            <w:vAlign w:val="bottom"/>
            <w:tcBorders>
              <w:bottom w:val="single" w:sz="8" w:color="auto"/>
            </w:tcBorders>
            <w:gridSpan w:val="7"/>
            <w:shd w:val="clear" w:color="auto" w:fill="CCEEFF"/>
          </w:tcPr>
          <w:p>
            <w:pPr>
              <w:ind w:left="20"/>
              <w:spacing w:after="0"/>
              <w:rPr>
                <w:sz w:val="20"/>
                <w:szCs w:val="20"/>
                <w:color w:val="auto"/>
              </w:rPr>
            </w:pPr>
            <w:r>
              <w:rPr>
                <w:rFonts w:ascii="Arial" w:cs="Arial" w:eastAsia="Arial" w:hAnsi="Arial"/>
                <w:sz w:val="14"/>
                <w:szCs w:val="14"/>
                <w:color w:val="auto"/>
              </w:rPr>
              <w:t>Three months ended 6/30/2021</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60" w:type="dxa"/>
            <w:vAlign w:val="bottom"/>
            <w:tcBorders>
              <w:bottom w:val="single" w:sz="8" w:color="auto"/>
            </w:tcBorders>
            <w:gridSpan w:val="7"/>
            <w:shd w:val="clear" w:color="auto" w:fill="CCEEFF"/>
          </w:tcPr>
          <w:p>
            <w:pPr>
              <w:ind w:left="140"/>
              <w:spacing w:after="0"/>
              <w:rPr>
                <w:sz w:val="20"/>
                <w:szCs w:val="20"/>
                <w:color w:val="auto"/>
              </w:rPr>
            </w:pPr>
            <w:r>
              <w:rPr>
                <w:rFonts w:ascii="Arial" w:cs="Arial" w:eastAsia="Arial" w:hAnsi="Arial"/>
                <w:sz w:val="14"/>
                <w:szCs w:val="14"/>
                <w:color w:val="auto"/>
              </w:rPr>
              <w:t>Six months ended 6/30/2021</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4"/>
                <w:szCs w:val="14"/>
                <w:color w:val="auto"/>
              </w:rPr>
              <w:t>Subadvised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7" w:lineRule="exact"/>
              <w:rPr>
                <w:sz w:val="20"/>
                <w:szCs w:val="20"/>
                <w:color w:val="auto"/>
              </w:rPr>
            </w:pPr>
            <w:r>
              <w:rPr>
                <w:rFonts w:ascii="Arial" w:cs="Arial" w:eastAsia="Arial" w:hAnsi="Arial"/>
                <w:sz w:val="14"/>
                <w:szCs w:val="14"/>
                <w:color w:val="auto"/>
              </w:rPr>
              <w:t>Collective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Subadvised</w:t>
            </w: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7" w:lineRule="exact"/>
              <w:rPr>
                <w:sz w:val="20"/>
                <w:szCs w:val="20"/>
                <w:color w:val="auto"/>
              </w:rPr>
            </w:pPr>
            <w:r>
              <w:rPr>
                <w:rFonts w:ascii="Arial" w:cs="Arial" w:eastAsia="Arial" w:hAnsi="Arial"/>
                <w:sz w:val="14"/>
                <w:szCs w:val="14"/>
                <w:color w:val="auto"/>
              </w:rPr>
              <w:t>Collective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restart"/>
          </w:tcPr>
          <w:p>
            <w:pPr>
              <w:jc w:val="center"/>
              <w:ind w:right="260"/>
              <w:spacing w:after="0"/>
              <w:rPr>
                <w:sz w:val="20"/>
                <w:szCs w:val="20"/>
                <w:color w:val="auto"/>
              </w:rPr>
            </w:pPr>
            <w:r>
              <w:rPr>
                <w:rFonts w:ascii="Arial" w:cs="Arial" w:eastAsia="Arial" w:hAnsi="Arial"/>
                <w:sz w:val="14"/>
                <w:szCs w:val="14"/>
                <w:color w:val="auto"/>
              </w:rPr>
              <w:t>U.S.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rPr>
              <w:t>investment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vMerge w:val="restart"/>
          </w:tcPr>
          <w:p>
            <w:pPr>
              <w:jc w:val="center"/>
              <w:ind w:right="280"/>
              <w:spacing w:after="0"/>
              <w:rPr>
                <w:sz w:val="20"/>
                <w:szCs w:val="20"/>
                <w:color w:val="auto"/>
              </w:rPr>
            </w:pPr>
            <w:r>
              <w:rPr>
                <w:rFonts w:ascii="Arial" w:cs="Arial" w:eastAsia="Arial" w:hAnsi="Arial"/>
                <w:sz w:val="14"/>
                <w:szCs w:val="14"/>
                <w:color w:val="auto"/>
              </w:rPr>
              <w:t>U.S.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jc w:val="center"/>
              <w:ind w:right="220"/>
              <w:spacing w:after="0" w:line="135"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280"/>
              <w:spacing w:after="0" w:line="135" w:lineRule="exact"/>
              <w:rPr>
                <w:sz w:val="20"/>
                <w:szCs w:val="20"/>
                <w:color w:val="auto"/>
              </w:rPr>
            </w:pPr>
            <w:r>
              <w:rPr>
                <w:rFonts w:ascii="Arial" w:cs="Arial" w:eastAsia="Arial" w:hAnsi="Arial"/>
                <w:sz w:val="14"/>
                <w:szCs w:val="14"/>
                <w:color w:val="auto"/>
              </w:rPr>
              <w:t>funds and</w:t>
            </w:r>
          </w:p>
        </w:tc>
        <w:tc>
          <w:tcPr>
            <w:tcW w:w="20" w:type="dxa"/>
            <w:vAlign w:val="bottom"/>
          </w:tcPr>
          <w:p>
            <w:pPr>
              <w:spacing w:after="0"/>
              <w:rPr>
                <w:sz w:val="11"/>
                <w:szCs w:val="11"/>
                <w:color w:val="auto"/>
              </w:rPr>
            </w:pPr>
          </w:p>
        </w:tc>
        <w:tc>
          <w:tcPr>
            <w:tcW w:w="1180" w:type="dxa"/>
            <w:vAlign w:val="bottom"/>
            <w:gridSpan w:val="3"/>
          </w:tcPr>
          <w:p>
            <w:pPr>
              <w:jc w:val="center"/>
              <w:ind w:right="140"/>
              <w:spacing w:after="0" w:line="135" w:lineRule="exact"/>
              <w:rPr>
                <w:sz w:val="20"/>
                <w:szCs w:val="20"/>
                <w:color w:val="auto"/>
              </w:rPr>
            </w:pPr>
            <w:r>
              <w:rPr>
                <w:rFonts w:ascii="Arial" w:cs="Arial" w:eastAsia="Arial" w:hAnsi="Arial"/>
                <w:sz w:val="14"/>
                <w:szCs w:val="14"/>
                <w:color w:val="auto"/>
              </w:rPr>
              <w:t>trusts and other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funds and</w:t>
            </w:r>
          </w:p>
        </w:tc>
        <w:tc>
          <w:tcPr>
            <w:tcW w:w="1200" w:type="dxa"/>
            <w:vAlign w:val="bottom"/>
            <w:gridSpan w:val="5"/>
          </w:tcPr>
          <w:p>
            <w:pPr>
              <w:jc w:val="center"/>
              <w:ind w:right="120"/>
              <w:spacing w:after="0" w:line="135" w:lineRule="exact"/>
              <w:rPr>
                <w:sz w:val="20"/>
                <w:szCs w:val="20"/>
                <w:color w:val="auto"/>
              </w:rPr>
            </w:pPr>
            <w:r>
              <w:rPr>
                <w:rFonts w:ascii="Arial" w:cs="Arial" w:eastAsia="Arial" w:hAnsi="Arial"/>
                <w:sz w:val="14"/>
                <w:szCs w:val="14"/>
                <w:color w:val="auto"/>
              </w:rPr>
              <w:t>trusts and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center"/>
              <w:ind w:right="260"/>
              <w:spacing w:after="0" w:line="135" w:lineRule="exact"/>
              <w:rPr>
                <w:sz w:val="20"/>
                <w:szCs w:val="20"/>
                <w:color w:val="auto"/>
              </w:rPr>
            </w:pPr>
            <w:r>
              <w:rPr>
                <w:rFonts w:ascii="Arial" w:cs="Arial" w:eastAsia="Arial" w:hAnsi="Arial"/>
                <w:sz w:val="14"/>
                <w:szCs w:val="14"/>
                <w:color w:val="auto"/>
              </w:rPr>
              <w:t>mutual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280"/>
              <w:spacing w:after="0" w:line="135" w:lineRule="exact"/>
              <w:rPr>
                <w:sz w:val="20"/>
                <w:szCs w:val="20"/>
                <w:color w:val="auto"/>
              </w:rPr>
            </w:pPr>
            <w:r>
              <w:rPr>
                <w:rFonts w:ascii="Arial" w:cs="Arial" w:eastAsia="Arial" w:hAnsi="Arial"/>
                <w:sz w:val="14"/>
                <w:szCs w:val="14"/>
                <w:color w:val="auto"/>
              </w:rPr>
              <w:t>separate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rPr>
              <w:t>investment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center"/>
              <w:ind w:right="260"/>
              <w:spacing w:after="0" w:line="135" w:lineRule="exact"/>
              <w:rPr>
                <w:sz w:val="20"/>
                <w:szCs w:val="20"/>
                <w:color w:val="auto"/>
              </w:rPr>
            </w:pPr>
            <w:r>
              <w:rPr>
                <w:rFonts w:ascii="Arial" w:cs="Arial" w:eastAsia="Arial" w:hAnsi="Arial"/>
                <w:sz w:val="14"/>
                <w:szCs w:val="14"/>
                <w:color w:val="auto"/>
                <w:w w:val="99"/>
              </w:rPr>
              <w:t>mutual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separate</w:t>
            </w:r>
          </w:p>
        </w:tc>
        <w:tc>
          <w:tcPr>
            <w:tcW w:w="120" w:type="dxa"/>
            <w:vAlign w:val="bottom"/>
          </w:tcPr>
          <w:p>
            <w:pPr>
              <w:spacing w:after="0"/>
              <w:rPr>
                <w:sz w:val="11"/>
                <w:szCs w:val="11"/>
                <w:color w:val="auto"/>
              </w:rPr>
            </w:pPr>
          </w:p>
        </w:tc>
        <w:tc>
          <w:tcPr>
            <w:tcW w:w="1080" w:type="dxa"/>
            <w:vAlign w:val="bottom"/>
            <w:gridSpan w:val="4"/>
          </w:tcPr>
          <w:p>
            <w:pPr>
              <w:jc w:val="center"/>
              <w:ind w:right="220"/>
              <w:spacing w:after="0" w:line="135"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1"/>
                <w:szCs w:val="11"/>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4"/>
                <w:szCs w:val="14"/>
                <w:color w:val="auto"/>
              </w:rPr>
              <w:t>funds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color w:val="auto"/>
              </w:rPr>
              <w:t>accounts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rPr>
              <w:t>products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right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color w:val="auto"/>
                <w:w w:val="99"/>
              </w:rPr>
              <w:t>funds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accounts</w:t>
            </w:r>
          </w:p>
        </w:tc>
        <w:tc>
          <w:tcPr>
            <w:tcW w:w="120" w:type="dxa"/>
            <w:vAlign w:val="bottom"/>
          </w:tcPr>
          <w:p>
            <w:pPr>
              <w:spacing w:after="0"/>
              <w:rPr>
                <w:sz w:val="14"/>
                <w:szCs w:val="1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Assets under management at</w:t>
            </w: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816.4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297.8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1,518.0</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794.6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400.1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91"/>
        </w:trPr>
        <w:tc>
          <w:tcPr>
            <w:tcW w:w="2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6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Net cash flows before client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Client transfers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6"/>
                <w:szCs w:val="16"/>
                <w:color w:val="auto"/>
              </w:rPr>
              <w:t>(14.8)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after client transfers</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(11.7)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Net market appreciation and gains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57.7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105.9</w:t>
            </w:r>
          </w:p>
        </w:tc>
        <w:tc>
          <w:tcPr>
            <w:tcW w:w="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83.2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1"/>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49.4</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23.1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105.1</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right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71.2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177"/>
        </w:trPr>
        <w:tc>
          <w:tcPr>
            <w:tcW w:w="2660" w:type="dxa"/>
            <w:vAlign w:val="bottom"/>
            <w:tcBorders>
              <w:top w:val="single" w:sz="8" w:color="CCEEFF"/>
            </w:tcBorders>
          </w:tcPr>
          <w:p>
            <w:pPr>
              <w:ind w:left="20"/>
              <w:spacing w:after="0" w:line="178" w:lineRule="exact"/>
              <w:rPr>
                <w:sz w:val="20"/>
                <w:szCs w:val="20"/>
                <w:color w:val="auto"/>
              </w:rPr>
            </w:pPr>
            <w:r>
              <w:rPr>
                <w:rFonts w:ascii="Arial" w:cs="Arial" w:eastAsia="Arial" w:hAnsi="Arial"/>
                <w:sz w:val="16"/>
                <w:szCs w:val="16"/>
                <w:color w:val="auto"/>
              </w:rPr>
              <w:t>Assets under management at June</w:t>
            </w:r>
          </w:p>
        </w:tc>
        <w:tc>
          <w:tcPr>
            <w:tcW w:w="16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CCEEFF"/>
            </w:tcBorders>
            <w:vMerge w:val="restart"/>
          </w:tcPr>
          <w:p>
            <w:pPr>
              <w:jc w:val="right"/>
              <w:ind w:right="1"/>
              <w:spacing w:after="0"/>
              <w:rPr>
                <w:sz w:val="20"/>
                <w:szCs w:val="20"/>
                <w:color w:val="auto"/>
              </w:rPr>
            </w:pPr>
            <w:r>
              <w:rPr>
                <w:rFonts w:ascii="Arial" w:cs="Arial" w:eastAsia="Arial" w:hAnsi="Arial"/>
                <w:sz w:val="16"/>
                <w:szCs w:val="16"/>
                <w:color w:val="auto"/>
              </w:rPr>
              <w:t>865.8</w:t>
            </w: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CCEEFF"/>
            </w:tcBorders>
            <w:vMerge w:val="restart"/>
          </w:tcPr>
          <w:p>
            <w:pPr>
              <w:jc w:val="right"/>
              <w:ind w:right="2"/>
              <w:spacing w:after="0"/>
              <w:rPr>
                <w:sz w:val="20"/>
                <w:szCs w:val="20"/>
                <w:color w:val="auto"/>
              </w:rPr>
            </w:pPr>
            <w:r>
              <w:rPr>
                <w:rFonts w:ascii="Arial" w:cs="Arial" w:eastAsia="Arial" w:hAnsi="Arial"/>
                <w:sz w:val="16"/>
                <w:szCs w:val="16"/>
                <w:color w:val="auto"/>
              </w:rPr>
              <w:t>426.9</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CCEEFF"/>
            </w:tcBorders>
            <w:vMerge w:val="restart"/>
          </w:tcPr>
          <w:p>
            <w:pPr>
              <w:jc w:val="right"/>
              <w:ind w:right="2"/>
              <w:spacing w:after="0"/>
              <w:rPr>
                <w:sz w:val="20"/>
                <w:szCs w:val="20"/>
                <w:color w:val="auto"/>
              </w:rPr>
            </w:pPr>
            <w:r>
              <w:rPr>
                <w:rFonts w:ascii="Arial" w:cs="Arial" w:eastAsia="Arial" w:hAnsi="Arial"/>
                <w:sz w:val="16"/>
                <w:szCs w:val="16"/>
                <w:color w:val="auto"/>
              </w:rPr>
              <w:t>330.4</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gridSpan w:val="2"/>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1,623.1</w:t>
            </w: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right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CCEEFF"/>
            </w:tcBorders>
            <w:vMerge w:val="restart"/>
          </w:tcPr>
          <w:p>
            <w:pPr>
              <w:jc w:val="right"/>
              <w:ind w:right="1"/>
              <w:spacing w:after="0"/>
              <w:rPr>
                <w:sz w:val="20"/>
                <w:szCs w:val="20"/>
                <w:color w:val="auto"/>
              </w:rPr>
            </w:pPr>
            <w:r>
              <w:rPr>
                <w:rFonts w:ascii="Arial" w:cs="Arial" w:eastAsia="Arial" w:hAnsi="Arial"/>
                <w:sz w:val="16"/>
                <w:szCs w:val="16"/>
                <w:color w:val="auto"/>
              </w:rPr>
              <w:t>865.8</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CEEFF"/>
            </w:tcBorders>
            <w:vMerge w:val="restart"/>
          </w:tcPr>
          <w:p>
            <w:pPr>
              <w:jc w:val="right"/>
              <w:ind w:right="2"/>
              <w:spacing w:after="0"/>
              <w:rPr>
                <w:sz w:val="20"/>
                <w:szCs w:val="20"/>
                <w:color w:val="auto"/>
              </w:rPr>
            </w:pPr>
            <w:r>
              <w:rPr>
                <w:rFonts w:ascii="Arial" w:cs="Arial" w:eastAsia="Arial" w:hAnsi="Arial"/>
                <w:sz w:val="16"/>
                <w:szCs w:val="16"/>
                <w:color w:val="auto"/>
              </w:rPr>
              <w:t>426.9</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330.4</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1,623.1</w:t>
            </w:r>
          </w:p>
        </w:tc>
        <w:tc>
          <w:tcPr>
            <w:tcW w:w="0" w:type="dxa"/>
            <w:vAlign w:val="bottom"/>
          </w:tcPr>
          <w:p>
            <w:pPr>
              <w:spacing w:after="0"/>
              <w:rPr>
                <w:sz w:val="1"/>
                <w:szCs w:val="1"/>
                <w:color w:val="auto"/>
              </w:rPr>
            </w:pPr>
          </w:p>
        </w:tc>
      </w:tr>
      <w:tr>
        <w:trPr>
          <w:trHeight w:val="214"/>
        </w:trPr>
        <w:tc>
          <w:tcPr>
            <w:tcW w:w="2660" w:type="dxa"/>
            <w:vAlign w:val="bottom"/>
          </w:tcPr>
          <w:p>
            <w:pPr>
              <w:ind w:left="20"/>
              <w:spacing w:after="0" w:line="174" w:lineRule="exact"/>
              <w:rPr>
                <w:sz w:val="20"/>
                <w:szCs w:val="20"/>
                <w:color w:val="auto"/>
              </w:rPr>
            </w:pPr>
            <w:r>
              <w:rPr>
                <w:rFonts w:ascii="Arial" w:cs="Arial" w:eastAsia="Arial" w:hAnsi="Arial"/>
                <w:sz w:val="16"/>
                <w:szCs w:val="16"/>
                <w:color w:val="auto"/>
              </w:rPr>
              <w:t>30, 2021</w:t>
            </w:r>
          </w:p>
        </w:tc>
        <w:tc>
          <w:tcPr>
            <w:tcW w:w="160" w:type="dxa"/>
            <w:vAlign w:val="bottom"/>
            <w:tcBorders>
              <w:bottom w:val="single" w:sz="8" w:color="auto"/>
            </w:tcBorders>
            <w:gridSpan w:val="2"/>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gridSpan w:val="2"/>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4"/>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40" w:type="dxa"/>
            <w:vAlign w:val="bottom"/>
            <w:tcBorders>
              <w:bottom w:val="single" w:sz="8" w:color="auto"/>
            </w:tcBorders>
            <w:gridSpan w:val="7"/>
            <w:shd w:val="clear" w:color="auto" w:fill="CCEEFF"/>
          </w:tcPr>
          <w:p>
            <w:pPr>
              <w:ind w:left="60"/>
              <w:spacing w:after="0"/>
              <w:rPr>
                <w:sz w:val="20"/>
                <w:szCs w:val="20"/>
                <w:color w:val="auto"/>
              </w:rPr>
            </w:pPr>
            <w:r>
              <w:rPr>
                <w:rFonts w:ascii="Arial" w:cs="Arial" w:eastAsia="Arial" w:hAnsi="Arial"/>
                <w:sz w:val="14"/>
                <w:szCs w:val="14"/>
                <w:color w:val="auto"/>
              </w:rPr>
              <w:t>Three months ended 6/30/2021</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60" w:type="dxa"/>
            <w:vAlign w:val="bottom"/>
            <w:tcBorders>
              <w:bottom w:val="single" w:sz="8" w:color="auto"/>
            </w:tcBorders>
            <w:gridSpan w:val="7"/>
            <w:shd w:val="clear" w:color="auto" w:fill="CCEEFF"/>
          </w:tcPr>
          <w:p>
            <w:pPr>
              <w:ind w:left="140"/>
              <w:spacing w:after="0"/>
              <w:rPr>
                <w:sz w:val="20"/>
                <w:szCs w:val="20"/>
                <w:color w:val="auto"/>
              </w:rPr>
            </w:pPr>
            <w:r>
              <w:rPr>
                <w:rFonts w:ascii="Arial" w:cs="Arial" w:eastAsia="Arial" w:hAnsi="Arial"/>
                <w:sz w:val="14"/>
                <w:szCs w:val="14"/>
                <w:color w:val="auto"/>
              </w:rPr>
              <w:t>Six months ended 6/30/2021</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center"/>
              <w:ind w:right="80"/>
              <w:spacing w:after="0" w:line="147" w:lineRule="exact"/>
              <w:rPr>
                <w:sz w:val="20"/>
                <w:szCs w:val="20"/>
                <w:color w:val="auto"/>
              </w:rPr>
            </w:pPr>
            <w:r>
              <w:rPr>
                <w:rFonts w:ascii="Arial" w:cs="Arial" w:eastAsia="Arial" w:hAnsi="Arial"/>
                <w:sz w:val="14"/>
                <w:szCs w:val="14"/>
                <w:color w:val="auto"/>
              </w:rPr>
              <w:t>Fixed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3"/>
          </w:tcPr>
          <w:p>
            <w:pPr>
              <w:jc w:val="center"/>
              <w:ind w:right="120"/>
              <w:spacing w:after="0" w:line="147" w:lineRule="exact"/>
              <w:rPr>
                <w:sz w:val="20"/>
                <w:szCs w:val="20"/>
                <w:color w:val="auto"/>
              </w:rPr>
            </w:pPr>
            <w:r>
              <w:rPr>
                <w:rFonts w:ascii="Arial" w:cs="Arial" w:eastAsia="Arial" w:hAnsi="Arial"/>
                <w:sz w:val="14"/>
                <w:szCs w:val="14"/>
                <w:color w:val="auto"/>
              </w:rPr>
              <w:t>Fixed income,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color w:val="auto"/>
              </w:rPr>
              <w:t>Equity</w:t>
            </w:r>
          </w:p>
        </w:tc>
        <w:tc>
          <w:tcPr>
            <w:tcW w:w="40" w:type="dxa"/>
            <w:vAlign w:val="bottom"/>
          </w:tcPr>
          <w:p>
            <w:pPr>
              <w:spacing w:after="0"/>
              <w:rPr>
                <w:sz w:val="11"/>
                <w:szCs w:val="11"/>
                <w:color w:val="auto"/>
              </w:rPr>
            </w:pPr>
          </w:p>
        </w:tc>
        <w:tc>
          <w:tcPr>
            <w:tcW w:w="1160" w:type="dxa"/>
            <w:vAlign w:val="bottom"/>
            <w:gridSpan w:val="4"/>
          </w:tcPr>
          <w:p>
            <w:pPr>
              <w:ind w:left="20"/>
              <w:spacing w:after="0" w:line="135" w:lineRule="exact"/>
              <w:rPr>
                <w:sz w:val="20"/>
                <w:szCs w:val="20"/>
                <w:color w:val="auto"/>
              </w:rPr>
            </w:pPr>
            <w:r>
              <w:rPr>
                <w:rFonts w:ascii="Arial" w:cs="Arial" w:eastAsia="Arial" w:hAnsi="Arial"/>
                <w:sz w:val="14"/>
                <w:szCs w:val="14"/>
                <w:color w:val="auto"/>
              </w:rPr>
              <w:t>including money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9"/>
              </w:rPr>
              <w:t>Multi-asset</w:t>
            </w:r>
            <w:r>
              <w:rPr>
                <w:rFonts w:ascii="Arial" w:cs="Arial" w:eastAsia="Arial" w:hAnsi="Arial"/>
                <w:sz w:val="18"/>
                <w:szCs w:val="18"/>
                <w:color w:val="auto"/>
                <w:w w:val="99"/>
                <w:vertAlign w:val="superscript"/>
              </w:rPr>
              <w:t>(1)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auto"/>
              </w:rPr>
              <w:t>Equity</w:t>
            </w:r>
          </w:p>
        </w:tc>
        <w:tc>
          <w:tcPr>
            <w:tcW w:w="4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4"/>
                <w:szCs w:val="14"/>
                <w:color w:val="auto"/>
              </w:rPr>
              <w:t>including money</w:t>
            </w:r>
          </w:p>
        </w:tc>
        <w:tc>
          <w:tcPr>
            <w:tcW w:w="120" w:type="dxa"/>
            <w:vAlign w:val="bottom"/>
          </w:tcPr>
          <w:p>
            <w:pPr>
              <w:spacing w:after="0"/>
              <w:rPr>
                <w:sz w:val="11"/>
                <w:szCs w:val="11"/>
                <w:color w:val="auto"/>
              </w:rPr>
            </w:pPr>
          </w:p>
        </w:tc>
        <w:tc>
          <w:tcPr>
            <w:tcW w:w="1080" w:type="dxa"/>
            <w:vAlign w:val="bottom"/>
            <w:gridSpan w:val="4"/>
            <w:vMerge w:val="restart"/>
          </w:tcPr>
          <w:p>
            <w:pPr>
              <w:jc w:val="center"/>
              <w:ind w:right="240"/>
              <w:spacing w:after="0"/>
              <w:rPr>
                <w:sz w:val="20"/>
                <w:szCs w:val="20"/>
                <w:color w:val="auto"/>
              </w:rPr>
            </w:pPr>
            <w:r>
              <w:rPr>
                <w:rFonts w:ascii="Arial" w:cs="Arial" w:eastAsia="Arial" w:hAnsi="Arial"/>
                <w:sz w:val="14"/>
                <w:szCs w:val="14"/>
                <w:color w:val="auto"/>
                <w:w w:val="97"/>
              </w:rPr>
              <w:t>Multi-asset</w:t>
            </w:r>
            <w:r>
              <w:rPr>
                <w:rFonts w:ascii="Arial" w:cs="Arial" w:eastAsia="Arial" w:hAnsi="Arial"/>
                <w:sz w:val="18"/>
                <w:szCs w:val="18"/>
                <w:color w:val="auto"/>
                <w:w w:val="97"/>
                <w:vertAlign w:val="superscript"/>
              </w:rPr>
              <w:t>(1)</w:t>
            </w:r>
          </w:p>
        </w:tc>
        <w:tc>
          <w:tcPr>
            <w:tcW w:w="180" w:type="dxa"/>
            <w:vAlign w:val="bottom"/>
          </w:tcPr>
          <w:p>
            <w:pPr>
              <w:spacing w:after="0"/>
              <w:rPr>
                <w:sz w:val="11"/>
                <w:szCs w:val="11"/>
                <w:color w:val="auto"/>
              </w:rPr>
            </w:pPr>
          </w:p>
        </w:tc>
        <w:tc>
          <w:tcPr>
            <w:tcW w:w="700" w:type="dxa"/>
            <w:vAlign w:val="bottom"/>
            <w:vMerge w:val="restart"/>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color w:val="auto"/>
              </w:rPr>
              <w:t>market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right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rPr>
              <w:t>market</w:t>
            </w:r>
          </w:p>
        </w:tc>
        <w:tc>
          <w:tcPr>
            <w:tcW w:w="1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Assets under management at</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1,518.0</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895.8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91"/>
        </w:trPr>
        <w:tc>
          <w:tcPr>
            <w:tcW w:w="2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26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Net market appreciation and gains</w:t>
            </w:r>
            <w:r>
              <w:rPr>
                <w:rFonts w:ascii="Arial" w:cs="Arial" w:eastAsia="Arial" w:hAnsi="Arial"/>
                <w:sz w:val="21"/>
                <w:szCs w:val="21"/>
                <w:color w:val="auto"/>
                <w:vertAlign w:val="superscript"/>
              </w:rPr>
              <w:t>(2)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109.7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157"/>
        </w:trPr>
        <w:tc>
          <w:tcPr>
            <w:tcW w:w="2660" w:type="dxa"/>
            <w:vAlign w:val="bottom"/>
          </w:tcPr>
          <w:p>
            <w:pPr>
              <w:ind w:left="20"/>
              <w:spacing w:after="0" w:line="158" w:lineRule="exact"/>
              <w:rPr>
                <w:sz w:val="20"/>
                <w:szCs w:val="20"/>
                <w:color w:val="auto"/>
              </w:rPr>
            </w:pPr>
            <w:r>
              <w:rPr>
                <w:rFonts w:ascii="Arial" w:cs="Arial" w:eastAsia="Arial" w:hAnsi="Arial"/>
                <w:sz w:val="16"/>
                <w:szCs w:val="16"/>
                <w:color w:val="auto"/>
              </w:rPr>
              <w:t>Assets under management at June</w:t>
            </w:r>
          </w:p>
        </w:tc>
        <w:tc>
          <w:tcPr>
            <w:tcW w:w="4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985.1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vMerge w:val="restart"/>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178.7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459.3</w:t>
            </w:r>
          </w:p>
        </w:tc>
        <w:tc>
          <w:tcPr>
            <w:tcW w:w="1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1,623.1</w:t>
            </w:r>
          </w:p>
        </w:tc>
        <w:tc>
          <w:tcPr>
            <w:tcW w:w="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ind w:left="160"/>
              <w:spacing w:after="0"/>
              <w:rPr>
                <w:sz w:val="20"/>
                <w:szCs w:val="20"/>
                <w:color w:val="auto"/>
              </w:rPr>
            </w:pPr>
            <w:r>
              <w:rPr>
                <w:rFonts w:ascii="Arial" w:cs="Arial" w:eastAsia="Arial" w:hAnsi="Arial"/>
                <w:sz w:val="16"/>
                <w:szCs w:val="16"/>
                <w:color w:val="auto"/>
              </w:rPr>
              <w:t>985.1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2"/>
              <w:spacing w:after="0"/>
              <w:rPr>
                <w:sz w:val="20"/>
                <w:szCs w:val="20"/>
                <w:color w:val="auto"/>
              </w:rPr>
            </w:pPr>
            <w:r>
              <w:rPr>
                <w:rFonts w:ascii="Arial" w:cs="Arial" w:eastAsia="Arial" w:hAnsi="Arial"/>
                <w:sz w:val="16"/>
                <w:szCs w:val="16"/>
                <w:color w:val="auto"/>
              </w:rPr>
              <w:t>178.7</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2"/>
              <w:spacing w:after="0"/>
              <w:rPr>
                <w:sz w:val="20"/>
                <w:szCs w:val="20"/>
                <w:color w:val="auto"/>
              </w:rPr>
            </w:pPr>
            <w:r>
              <w:rPr>
                <w:rFonts w:ascii="Arial" w:cs="Arial" w:eastAsia="Arial" w:hAnsi="Arial"/>
                <w:sz w:val="16"/>
                <w:szCs w:val="16"/>
                <w:color w:val="auto"/>
              </w:rPr>
              <w:t>459.3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1,623.1</w:t>
            </w:r>
          </w:p>
        </w:tc>
        <w:tc>
          <w:tcPr>
            <w:tcW w:w="0" w:type="dxa"/>
            <w:vAlign w:val="bottom"/>
          </w:tcPr>
          <w:p>
            <w:pPr>
              <w:spacing w:after="0"/>
              <w:rPr>
                <w:sz w:val="1"/>
                <w:szCs w:val="1"/>
                <w:color w:val="auto"/>
              </w:rPr>
            </w:pPr>
          </w:p>
        </w:tc>
      </w:tr>
      <w:tr>
        <w:trPr>
          <w:trHeight w:val="214"/>
        </w:trPr>
        <w:tc>
          <w:tcPr>
            <w:tcW w:w="2660" w:type="dxa"/>
            <w:vAlign w:val="bottom"/>
          </w:tcPr>
          <w:p>
            <w:pPr>
              <w:ind w:left="20"/>
              <w:spacing w:after="0" w:line="174" w:lineRule="exact"/>
              <w:rPr>
                <w:sz w:val="20"/>
                <w:szCs w:val="20"/>
                <w:color w:val="auto"/>
              </w:rPr>
            </w:pPr>
            <w:r>
              <w:rPr>
                <w:rFonts w:ascii="Arial" w:cs="Arial" w:eastAsia="Arial" w:hAnsi="Arial"/>
                <w:sz w:val="16"/>
                <w:szCs w:val="16"/>
                <w:color w:val="auto"/>
              </w:rPr>
              <w:t>30, 2021</w:t>
            </w:r>
          </w:p>
        </w:tc>
        <w:tc>
          <w:tcPr>
            <w:tcW w:w="4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ind w:left="140" w:hanging="132"/>
        <w:spacing w:after="0" w:line="198" w:lineRule="auto"/>
        <w:tabs>
          <w:tab w:leader="none" w:pos="140"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distributions reinvested and not reinvested.</w:t>
      </w:r>
    </w:p>
    <w:p>
      <w:pPr>
        <w:spacing w:after="0" w:line="200" w:lineRule="exact"/>
        <w:rPr>
          <w:sz w:val="20"/>
          <w:szCs w:val="20"/>
          <w:color w:val="auto"/>
        </w:rPr>
      </w:pPr>
    </w:p>
    <w:p>
      <w:pPr>
        <w:spacing w:after="0" w:line="342" w:lineRule="exact"/>
        <w:rPr>
          <w:sz w:val="20"/>
          <w:szCs w:val="20"/>
          <w:color w:val="auto"/>
        </w:rPr>
      </w:pPr>
    </w:p>
    <w:p>
      <w:pPr>
        <w:ind w:right="200"/>
        <w:spacing w:after="0" w:line="365" w:lineRule="auto"/>
        <w:rPr>
          <w:sz w:val="20"/>
          <w:szCs w:val="20"/>
          <w:color w:val="auto"/>
        </w:rPr>
      </w:pPr>
      <w:r>
        <w:rPr>
          <w:rFonts w:ascii="Arial" w:cs="Arial" w:eastAsia="Arial" w:hAnsi="Arial"/>
          <w:sz w:val="18"/>
          <w:szCs w:val="18"/>
          <w:color w:val="auto"/>
        </w:rPr>
        <w:t>Assets under management in the firm's target date retirement products, which are reported as part of the multi-asset column in the table above, were $379.2 billion at June 30, 2021, compared with $351.6 billion at March 31, 2021 and $332.2 billion at December 31, 2020. Net cash flows into these portfolios were $7.5 billion in Q2 2021 and $12.0 billion in the first half of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84" w:right="339" w:bottom="1440" w:gutter="0" w:footer="0" w:header="0"/>
        </w:sectPr>
      </w:pPr>
    </w:p>
    <w:bookmarkStart w:id="47" w:name="page48"/>
    <w:bookmarkEnd w:id="47"/>
    <w:p>
      <w:pPr>
        <w:ind w:right="140"/>
        <w:spacing w:after="0" w:line="371" w:lineRule="auto"/>
        <w:rPr>
          <w:sz w:val="20"/>
          <w:szCs w:val="20"/>
          <w:color w:val="auto"/>
        </w:rPr>
      </w:pPr>
      <w:r>
        <w:rPr>
          <w:rFonts w:ascii="Arial" w:cs="Arial" w:eastAsia="Arial" w:hAnsi="Arial"/>
          <w:sz w:val="18"/>
          <w:szCs w:val="18"/>
          <w:color w:val="auto"/>
        </w:rPr>
        <w:t>Investors domiciled outside the United States accounted for 9.0% of the firm's assets under management at June 30, 2021, 8.8% at March 31, 2021, and 9.3% at December 31, 2020.</w:t>
      </w:r>
    </w:p>
    <w:p>
      <w:pPr>
        <w:spacing w:after="0" w:line="224" w:lineRule="exact"/>
        <w:rPr>
          <w:sz w:val="20"/>
          <w:szCs w:val="20"/>
          <w:color w:val="auto"/>
        </w:rPr>
      </w:pPr>
    </w:p>
    <w:p>
      <w:pPr>
        <w:spacing w:after="0" w:line="360" w:lineRule="auto"/>
        <w:rPr>
          <w:sz w:val="20"/>
          <w:szCs w:val="20"/>
          <w:color w:val="auto"/>
        </w:rPr>
      </w:pPr>
      <w:r>
        <w:rPr>
          <w:rFonts w:ascii="Arial" w:cs="Arial" w:eastAsia="Arial" w:hAnsi="Arial"/>
          <w:sz w:val="18"/>
          <w:szCs w:val="18"/>
          <w:color w:val="auto"/>
        </w:rPr>
        <w:t>The firm provides participant accounting and plan administration for defined contribution retirement plans that invest in the firm's U.S. mutual funds and collective investment trusts, as well as funds outside of the firm's complex. As of</w:t>
      </w:r>
    </w:p>
    <w:p>
      <w:pPr>
        <w:spacing w:after="0"/>
        <w:rPr>
          <w:sz w:val="20"/>
          <w:szCs w:val="20"/>
          <w:color w:val="auto"/>
        </w:rPr>
      </w:pPr>
      <w:r>
        <w:rPr>
          <w:rFonts w:ascii="Arial" w:cs="Arial" w:eastAsia="Arial" w:hAnsi="Arial"/>
          <w:sz w:val="18"/>
          <w:szCs w:val="18"/>
          <w:color w:val="auto"/>
        </w:rPr>
        <w:t>June 30, 2021, the firm's assets under administration were $263 billion, of which nearly $162 billion are assets we manage.</w:t>
      </w:r>
    </w:p>
    <w:p>
      <w:pPr>
        <w:spacing w:after="0" w:line="347" w:lineRule="exact"/>
        <w:rPr>
          <w:sz w:val="20"/>
          <w:szCs w:val="20"/>
          <w:color w:val="auto"/>
        </w:rPr>
      </w:pPr>
    </w:p>
    <w:p>
      <w:pPr>
        <w:jc w:val="both"/>
        <w:ind w:right="60"/>
        <w:spacing w:after="0" w:line="365" w:lineRule="auto"/>
        <w:rPr>
          <w:sz w:val="20"/>
          <w:szCs w:val="20"/>
          <w:color w:val="auto"/>
        </w:rPr>
      </w:pPr>
      <w:r>
        <w:rPr>
          <w:rFonts w:ascii="Arial" w:cs="Arial" w:eastAsia="Arial" w:hAnsi="Arial"/>
          <w:sz w:val="18"/>
          <w:szCs w:val="18"/>
          <w:color w:val="auto"/>
        </w:rPr>
        <w:t>In recent years, the firm began offering non-discretionary advisory services through model delivery and multi-asset solutions for providers to implement. The firm records the revenue earned on these services in administrative fees. The assets under advisement in these portfolios, predominantly in the United States, were $8 billion at June 30,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71" w:lineRule="exact"/>
        <w:rPr>
          <w:sz w:val="20"/>
          <w:szCs w:val="20"/>
          <w:color w:val="auto"/>
        </w:rPr>
      </w:pPr>
    </w:p>
    <w:p>
      <w:pPr>
        <w:ind w:right="80"/>
        <w:spacing w:after="0" w:line="372"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earned in Q2 2021 were $1.9 billion, up 36.3% from Q2 2020. Average assets under management in Q2 2021 were $1.59</w:t>
      </w:r>
      <w:r>
        <w:rPr>
          <w:rFonts w:ascii="Arial" w:cs="Arial" w:eastAsia="Arial" w:hAnsi="Arial"/>
          <w:sz w:val="18"/>
          <w:szCs w:val="18"/>
          <w:b w:val="1"/>
          <w:bCs w:val="1"/>
          <w:color w:val="auto"/>
        </w:rPr>
        <w:t xml:space="preserve"> </w:t>
      </w:r>
      <w:r>
        <w:rPr>
          <w:rFonts w:ascii="Arial" w:cs="Arial" w:eastAsia="Arial" w:hAnsi="Arial"/>
          <w:sz w:val="18"/>
          <w:szCs w:val="18"/>
          <w:color w:val="auto"/>
        </w:rPr>
        <w:t>trillion, an increase of 39.0% from Q2 2020. The firm voluntarily waived money market advisory fees in Q2 2021 of $14.3 million to continue to maintain positive yields for investors. The firm expects to continue to waive fees for all of 2021 and anticipates that the waivers in each of the next two quarters of 2021 will be at similar levels.</w:t>
      </w:r>
    </w:p>
    <w:p>
      <w:pPr>
        <w:spacing w:after="0" w:line="129" w:lineRule="exact"/>
        <w:rPr>
          <w:sz w:val="20"/>
          <w:szCs w:val="20"/>
          <w:color w:val="auto"/>
        </w:rPr>
      </w:pPr>
    </w:p>
    <w:p>
      <w:pPr>
        <w:ind w:left="660" w:right="80" w:hanging="328"/>
        <w:spacing w:after="0" w:line="333" w:lineRule="auto"/>
        <w:tabs>
          <w:tab w:leader="none" w:pos="656" w:val="left"/>
        </w:tabs>
        <w:numPr>
          <w:ilvl w:val="0"/>
          <w:numId w:val="27"/>
        </w:numPr>
        <w:rPr>
          <w:rFonts w:ascii="Arial" w:cs="Arial" w:eastAsia="Arial" w:hAnsi="Arial"/>
          <w:sz w:val="22"/>
          <w:szCs w:val="22"/>
          <w:color w:val="40AEFF"/>
        </w:rPr>
      </w:pPr>
      <w:r>
        <w:rPr>
          <w:rFonts w:ascii="Arial" w:cs="Arial" w:eastAsia="Arial" w:hAnsi="Arial"/>
          <w:sz w:val="18"/>
          <w:szCs w:val="18"/>
          <w:color w:val="auto"/>
        </w:rPr>
        <w:t>Investment advisory revenues earned in Q2 2021 from the firm's U.S. mutual funds were $1.1 billion, an increase of 33.3% from Q2 2020. Average assets under management in these funds increased 34.9% to $848.2 billion in Q2 2021 from Q2 2020.</w:t>
      </w:r>
    </w:p>
    <w:p>
      <w:pPr>
        <w:spacing w:after="0" w:line="279" w:lineRule="exact"/>
        <w:rPr>
          <w:rFonts w:ascii="Arial" w:cs="Arial" w:eastAsia="Arial" w:hAnsi="Arial"/>
          <w:sz w:val="22"/>
          <w:szCs w:val="22"/>
          <w:color w:val="40AEFF"/>
        </w:rPr>
      </w:pPr>
    </w:p>
    <w:p>
      <w:pPr>
        <w:ind w:left="660" w:right="80" w:hanging="328"/>
        <w:spacing w:after="0" w:line="336" w:lineRule="auto"/>
        <w:tabs>
          <w:tab w:leader="none" w:pos="656" w:val="left"/>
        </w:tabs>
        <w:numPr>
          <w:ilvl w:val="0"/>
          <w:numId w:val="27"/>
        </w:numPr>
        <w:rPr>
          <w:rFonts w:ascii="Arial" w:cs="Arial" w:eastAsia="Arial" w:hAnsi="Arial"/>
          <w:sz w:val="22"/>
          <w:szCs w:val="22"/>
          <w:color w:val="40AEFF"/>
        </w:rPr>
      </w:pPr>
      <w:r>
        <w:rPr>
          <w:rFonts w:ascii="Arial" w:cs="Arial" w:eastAsia="Arial" w:hAnsi="Arial"/>
          <w:sz w:val="18"/>
          <w:szCs w:val="18"/>
          <w:color w:val="auto"/>
        </w:rPr>
        <w:t>Investment advisory revenues earned in Q2 2021 from subadvised funds, separate accounts, collective investment trusts and other investment products were $689.7 million, an increase of 46.5% from Q2 2020. Average assets under management for these products increased 44.1% to $737.1 billion in Q2 2021 from Q2 2020.</w:t>
      </w:r>
    </w:p>
    <w:p>
      <w:pPr>
        <w:spacing w:after="0" w:line="294" w:lineRule="exact"/>
        <w:rPr>
          <w:rFonts w:ascii="Arial" w:cs="Arial" w:eastAsia="Arial" w:hAnsi="Arial"/>
          <w:sz w:val="22"/>
          <w:szCs w:val="22"/>
          <w:color w:val="40AEFF"/>
        </w:rPr>
      </w:pPr>
    </w:p>
    <w:p>
      <w:pPr>
        <w:ind w:left="660" w:hanging="328"/>
        <w:spacing w:after="0" w:line="347" w:lineRule="auto"/>
        <w:tabs>
          <w:tab w:leader="none" w:pos="656" w:val="left"/>
        </w:tabs>
        <w:numPr>
          <w:ilvl w:val="0"/>
          <w:numId w:val="27"/>
        </w:numPr>
        <w:rPr>
          <w:rFonts w:ascii="Arial" w:cs="Arial" w:eastAsia="Arial" w:hAnsi="Arial"/>
          <w:sz w:val="22"/>
          <w:szCs w:val="22"/>
          <w:color w:val="40AEFF"/>
        </w:rPr>
      </w:pPr>
      <w:r>
        <w:rPr>
          <w:rFonts w:ascii="Arial" w:cs="Arial" w:eastAsia="Arial" w:hAnsi="Arial"/>
          <w:sz w:val="18"/>
          <w:szCs w:val="18"/>
          <w:color w:val="auto"/>
        </w:rPr>
        <w:t>The annualized effective fee rate of 45.2 basis points in Q2 2021 was down from 45.6 basis points earned in Q2 2020 and from 45.4 basis points earned in Q1 2021. In comparison to Q2 2020, the annualized effective fee rate decreased due to the impact of client transfers to lower fee vehicles or share classes within the complex over the last twelve months and money market fee waivers. Over time, the firm's effective fee rate can be impacted by market or cash flow related shifts among asset and share classes, price changes in existing products, and asset level changes in products with tiered-fee structures.</w:t>
      </w:r>
    </w:p>
    <w:p>
      <w:pPr>
        <w:spacing w:after="0" w:line="286" w:lineRule="exact"/>
        <w:rPr>
          <w:rFonts w:ascii="Arial" w:cs="Arial" w:eastAsia="Arial" w:hAnsi="Arial"/>
          <w:sz w:val="22"/>
          <w:szCs w:val="22"/>
          <w:color w:val="40AEFF"/>
        </w:rPr>
      </w:pPr>
    </w:p>
    <w:p>
      <w:pPr>
        <w:ind w:left="660" w:right="240" w:hanging="328"/>
        <w:spacing w:after="0" w:line="333" w:lineRule="auto"/>
        <w:tabs>
          <w:tab w:leader="none" w:pos="656" w:val="left"/>
        </w:tabs>
        <w:numPr>
          <w:ilvl w:val="0"/>
          <w:numId w:val="27"/>
        </w:numPr>
        <w:rPr>
          <w:rFonts w:ascii="Arial" w:cs="Arial" w:eastAsia="Arial" w:hAnsi="Arial"/>
          <w:sz w:val="22"/>
          <w:szCs w:val="22"/>
          <w:color w:val="40AEFF"/>
        </w:rPr>
      </w:pPr>
      <w:r>
        <w:rPr>
          <w:rFonts w:ascii="Arial" w:cs="Arial" w:eastAsia="Arial" w:hAnsi="Arial"/>
          <w:sz w:val="18"/>
          <w:szCs w:val="18"/>
          <w:color w:val="auto"/>
        </w:rPr>
        <w:t>Administrative, distribution, and servicing fees in Q2 2021 were $142.1 million, an increase of 16.9% from Q2 2020. The increase was primarily attributable to higher transfer agent servicing activities provided to the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320" w:top="1084" w:right="419" w:bottom="1440" w:gutter="0" w:footer="0" w:header="0"/>
        </w:sectPr>
      </w:pPr>
    </w:p>
    <w:bookmarkStart w:id="48" w:name="page49"/>
    <w:bookmarkEnd w:id="48"/>
    <w:p>
      <w:pPr>
        <w:ind w:left="660" w:right="400"/>
        <w:spacing w:after="0" w:line="371" w:lineRule="auto"/>
        <w:rPr>
          <w:sz w:val="20"/>
          <w:szCs w:val="20"/>
          <w:color w:val="auto"/>
        </w:rPr>
      </w:pPr>
      <w:r>
        <w:rPr>
          <w:rFonts w:ascii="Arial" w:cs="Arial" w:eastAsia="Arial" w:hAnsi="Arial"/>
          <w:sz w:val="18"/>
          <w:szCs w:val="18"/>
          <w:color w:val="auto"/>
        </w:rPr>
        <w:t>T. Rowe Price mutual funds, higher model delivery revenue, as well as higher 12b-1 revenue earned on the Advisor and R share classes of the U.S. mutual funds as a result of increased assets under management in these share classes.</w:t>
      </w:r>
    </w:p>
    <w:p>
      <w:pPr>
        <w:spacing w:after="0" w:line="202" w:lineRule="exact"/>
        <w:rPr>
          <w:sz w:val="20"/>
          <w:szCs w:val="20"/>
          <w:color w:val="auto"/>
        </w:rPr>
      </w:pPr>
    </w:p>
    <w:p>
      <w:pPr>
        <w:ind w:right="40"/>
        <w:spacing w:after="0" w:line="367"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 Q2 2021 were $971.2 million, an increase of 12.7% compared to Q2 2020. Approximately 50% of the increase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firm's operating expenses from Q2 2020 was due to higher compensation expenses. The largest drivers of the increased compensation expenses was the higher interim bonus accrual and increased salaries and benefits, partially offset by lower compensation expenses related to the supplemental savings plan. The expense related to the supplemental savings plan was almost entirely offset by the non-operating gains earned on the investments used to economically hedge the related liability. Also contributing to the increase in operating expenses were higher distribution and servicing costs due to higher average assets under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 non-GAAP basis, the firm's operating expenses in Q2 2021 were $931.8 million, an 18.6% increase over</w:t>
      </w:r>
    </w:p>
    <w:p>
      <w:pPr>
        <w:spacing w:after="0" w:line="104" w:lineRule="exact"/>
        <w:rPr>
          <w:sz w:val="20"/>
          <w:szCs w:val="20"/>
          <w:color w:val="auto"/>
        </w:rPr>
      </w:pPr>
    </w:p>
    <w:p>
      <w:pPr>
        <w:ind w:right="100"/>
        <w:spacing w:after="0" w:line="371" w:lineRule="auto"/>
        <w:rPr>
          <w:sz w:val="20"/>
          <w:szCs w:val="20"/>
          <w:color w:val="auto"/>
        </w:rPr>
      </w:pPr>
      <w:r>
        <w:rPr>
          <w:rFonts w:ascii="Arial" w:cs="Arial" w:eastAsia="Arial" w:hAnsi="Arial"/>
          <w:sz w:val="18"/>
          <w:szCs w:val="18"/>
          <w:color w:val="auto"/>
        </w:rPr>
        <w:t>Q2 2020. The firm's non-GAAP operating expenses do not include the impact of the supplemental savings plan and consolidated sponsored products.</w:t>
      </w:r>
    </w:p>
    <w:p>
      <w:pPr>
        <w:spacing w:after="0" w:line="22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40AEFF"/>
        </w:rPr>
      </w:pPr>
      <w:r>
        <w:rPr>
          <w:rFonts w:ascii="Arial" w:cs="Arial" w:eastAsia="Arial" w:hAnsi="Arial"/>
          <w:sz w:val="18"/>
          <w:szCs w:val="18"/>
          <w:b w:val="1"/>
          <w:bCs w:val="1"/>
          <w:color w:val="auto"/>
        </w:rPr>
        <w:t xml:space="preserve">Compensation and related costs </w:t>
      </w:r>
      <w:r>
        <w:rPr>
          <w:rFonts w:ascii="Arial" w:cs="Arial" w:eastAsia="Arial" w:hAnsi="Arial"/>
          <w:sz w:val="18"/>
          <w:szCs w:val="18"/>
          <w:color w:val="auto"/>
        </w:rPr>
        <w:t>were $603.8 million in Q2 2021, an increase of 10.0% compared to</w:t>
      </w:r>
    </w:p>
    <w:p>
      <w:pPr>
        <w:spacing w:after="0" w:line="107" w:lineRule="exact"/>
        <w:rPr>
          <w:rFonts w:ascii="Arial" w:cs="Arial" w:eastAsia="Arial" w:hAnsi="Arial"/>
          <w:sz w:val="22"/>
          <w:szCs w:val="22"/>
          <w:color w:val="40AEFF"/>
        </w:rPr>
      </w:pPr>
    </w:p>
    <w:p>
      <w:pPr>
        <w:ind w:left="660" w:right="60"/>
        <w:spacing w:after="0" w:line="362" w:lineRule="auto"/>
        <w:rPr>
          <w:rFonts w:ascii="Arial" w:cs="Arial" w:eastAsia="Arial" w:hAnsi="Arial"/>
          <w:sz w:val="22"/>
          <w:szCs w:val="22"/>
          <w:color w:val="40AEFF"/>
        </w:rPr>
      </w:pPr>
      <w:r>
        <w:rPr>
          <w:rFonts w:ascii="Arial" w:cs="Arial" w:eastAsia="Arial" w:hAnsi="Arial"/>
          <w:sz w:val="18"/>
          <w:szCs w:val="18"/>
          <w:color w:val="auto"/>
        </w:rPr>
        <w:t>Q2 2020. This increase was primarily related to a higher interim bonus accrual, which is based on a higher revenue forecast in 2021, and higher salaries and benefits due to a 3.3% increase in our average staff size and modest increases in base salaries at the beginning of the year. These increases were partially offset by a $36.7 million decrease in compensation expense related to the supplemental savings plan, as market returns in Q2 2021 were outpaced by strong market returns in Q2 2020. The firm employed 7,804 associates at June 30, 2021, an increase of 1.6% from the end of 2020 and 3.7% from June 30, 2020.</w:t>
      </w:r>
    </w:p>
    <w:p>
      <w:pPr>
        <w:spacing w:after="0" w:line="234" w:lineRule="exact"/>
        <w:rPr>
          <w:rFonts w:ascii="Arial" w:cs="Arial" w:eastAsia="Arial" w:hAnsi="Arial"/>
          <w:sz w:val="22"/>
          <w:szCs w:val="22"/>
          <w:color w:val="40AEFF"/>
        </w:rPr>
      </w:pPr>
    </w:p>
    <w:p>
      <w:pPr>
        <w:ind w:left="660"/>
        <w:spacing w:after="0" w:line="362" w:lineRule="auto"/>
        <w:rPr>
          <w:rFonts w:ascii="Arial" w:cs="Arial" w:eastAsia="Arial" w:hAnsi="Arial"/>
          <w:sz w:val="22"/>
          <w:szCs w:val="22"/>
          <w:color w:val="40AEFF"/>
        </w:rPr>
      </w:pPr>
      <w:r>
        <w:rPr>
          <w:rFonts w:ascii="Arial" w:cs="Arial" w:eastAsia="Arial" w:hAnsi="Arial"/>
          <w:sz w:val="18"/>
          <w:szCs w:val="18"/>
          <w:color w:val="auto"/>
        </w:rPr>
        <w:t>On August 1, 2021, approximately 800 T. Rowe Price operations and technology associates will become employees of FIS as part of the firm's expanded relationship, in which FIS will provide technology development and core operations for our full-service recordkeeping offering. The transfer of these employees will result in a decrease in compensation and related costs offset by the cost of this relationship, which will be reflected in product and recordkeeping related costs along with the technology, occupancy, and facilities cost lines of the income statement.</w:t>
      </w:r>
    </w:p>
    <w:p>
      <w:pPr>
        <w:spacing w:after="0" w:line="238" w:lineRule="exact"/>
        <w:rPr>
          <w:rFonts w:ascii="Arial" w:cs="Arial" w:eastAsia="Arial" w:hAnsi="Arial"/>
          <w:sz w:val="22"/>
          <w:szCs w:val="22"/>
          <w:color w:val="40AEFF"/>
        </w:rPr>
      </w:pPr>
    </w:p>
    <w:p>
      <w:pPr>
        <w:ind w:left="660" w:hanging="328"/>
        <w:spacing w:after="0"/>
        <w:tabs>
          <w:tab w:leader="none" w:pos="660" w:val="left"/>
        </w:tabs>
        <w:numPr>
          <w:ilvl w:val="0"/>
          <w:numId w:val="28"/>
        </w:numPr>
        <w:rPr>
          <w:rFonts w:ascii="Arial" w:cs="Arial" w:eastAsia="Arial" w:hAnsi="Arial"/>
          <w:sz w:val="22"/>
          <w:szCs w:val="22"/>
          <w:color w:val="40AEFF"/>
        </w:rPr>
      </w:pPr>
      <w:r>
        <w:rPr>
          <w:rFonts w:ascii="Arial" w:cs="Arial" w:eastAsia="Arial" w:hAnsi="Arial"/>
          <w:sz w:val="18"/>
          <w:szCs w:val="18"/>
          <w:b w:val="1"/>
          <w:bCs w:val="1"/>
          <w:color w:val="auto"/>
        </w:rPr>
        <w:t xml:space="preserve">Distribution and servicing costs </w:t>
      </w:r>
      <w:r>
        <w:rPr>
          <w:rFonts w:ascii="Arial" w:cs="Arial" w:eastAsia="Arial" w:hAnsi="Arial"/>
          <w:sz w:val="18"/>
          <w:szCs w:val="18"/>
          <w:color w:val="auto"/>
        </w:rPr>
        <w:t>were $92.7 million in Q2 2021, an increase of 49.5% from</w:t>
      </w:r>
    </w:p>
    <w:p>
      <w:pPr>
        <w:spacing w:after="0" w:line="107" w:lineRule="exact"/>
        <w:rPr>
          <w:rFonts w:ascii="Arial" w:cs="Arial" w:eastAsia="Arial" w:hAnsi="Arial"/>
          <w:sz w:val="22"/>
          <w:szCs w:val="22"/>
          <w:color w:val="40AEFF"/>
        </w:rPr>
      </w:pPr>
    </w:p>
    <w:p>
      <w:pPr>
        <w:ind w:left="660" w:right="100"/>
        <w:spacing w:after="0" w:line="363" w:lineRule="auto"/>
        <w:rPr>
          <w:rFonts w:ascii="Arial" w:cs="Arial" w:eastAsia="Arial" w:hAnsi="Arial"/>
          <w:sz w:val="22"/>
          <w:szCs w:val="22"/>
          <w:color w:val="40AEFF"/>
        </w:rPr>
      </w:pPr>
      <w:r>
        <w:rPr>
          <w:rFonts w:ascii="Arial" w:cs="Arial" w:eastAsia="Arial" w:hAnsi="Arial"/>
          <w:sz w:val="18"/>
          <w:szCs w:val="18"/>
          <w:color w:val="auto"/>
        </w:rPr>
        <w:t>the $62.0 million recognized in Q2 2020. The increase was primarily driven by higher distribution costs as a result of continued inflows and market appreciation in the firm's international products, including the Japanese Investment Trusts (ITMs) and SICAVs. These distribution costs, like those related to certain shares classes of the U.S. mutual funds, are offset entirely in net revenues. For the ITMs and SICAVs, the related revenue is recognized in investment advisory revenues.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84" w:right="339" w:bottom="1440" w:gutter="0" w:footer="0" w:header="0"/>
        </w:sectPr>
      </w:pPr>
    </w:p>
    <w:bookmarkStart w:id="49" w:name="page50"/>
    <w:bookmarkEnd w:id="49"/>
    <w:p>
      <w:pPr>
        <w:ind w:left="660" w:right="40" w:hanging="328"/>
        <w:spacing w:after="0" w:line="347" w:lineRule="auto"/>
        <w:tabs>
          <w:tab w:leader="none" w:pos="656" w:val="left"/>
        </w:tabs>
        <w:numPr>
          <w:ilvl w:val="0"/>
          <w:numId w:val="29"/>
        </w:numPr>
        <w:rPr>
          <w:rFonts w:ascii="Arial" w:cs="Arial" w:eastAsia="Arial" w:hAnsi="Arial"/>
          <w:sz w:val="22"/>
          <w:szCs w:val="22"/>
          <w:color w:val="40AEFF"/>
        </w:rPr>
      </w:pPr>
      <w:r>
        <w:rPr>
          <w:rFonts w:ascii="Arial" w:cs="Arial" w:eastAsia="Arial" w:hAnsi="Arial"/>
          <w:sz w:val="18"/>
          <w:szCs w:val="18"/>
          <w:b w:val="1"/>
          <w:bCs w:val="1"/>
          <w:color w:val="auto"/>
        </w:rPr>
        <w:t xml:space="preserve">Advertising and promotion expenses </w:t>
      </w:r>
      <w:r>
        <w:rPr>
          <w:rFonts w:ascii="Arial" w:cs="Arial" w:eastAsia="Arial" w:hAnsi="Arial"/>
          <w:sz w:val="18"/>
          <w:szCs w:val="18"/>
          <w:color w:val="auto"/>
        </w:rPr>
        <w:t>were $20.4 million in Q2 2021, an increase of 52.2% from Q2 2020. The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driven by the timing of media-related spend related to the launch of a new marketing campaign to promote the firm's target date solutions, along with lower spending in 2020 due to the impact of the coronavirus pandemic.</w:t>
      </w:r>
    </w:p>
    <w:p>
      <w:pPr>
        <w:spacing w:after="0" w:line="264" w:lineRule="exact"/>
        <w:rPr>
          <w:rFonts w:ascii="Arial" w:cs="Arial" w:eastAsia="Arial" w:hAnsi="Arial"/>
          <w:sz w:val="22"/>
          <w:szCs w:val="22"/>
          <w:color w:val="40AEFF"/>
        </w:rPr>
      </w:pPr>
    </w:p>
    <w:p>
      <w:pPr>
        <w:ind w:left="660" w:right="360" w:hanging="328"/>
        <w:spacing w:after="0" w:line="347" w:lineRule="auto"/>
        <w:tabs>
          <w:tab w:leader="none" w:pos="656" w:val="left"/>
        </w:tabs>
        <w:numPr>
          <w:ilvl w:val="0"/>
          <w:numId w:val="29"/>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$119.3 million in Q2 2021, an increase of 7.2% from the $111.3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Q2 2020. The increase was primarily due to the ongoing investment in the firm's technology capabilities, including hosted solution licenses and depreciation, and higher facility-related costs.</w:t>
      </w:r>
    </w:p>
    <w:p>
      <w:pPr>
        <w:spacing w:after="0" w:line="264" w:lineRule="exact"/>
        <w:rPr>
          <w:rFonts w:ascii="Arial" w:cs="Arial" w:eastAsia="Arial" w:hAnsi="Arial"/>
          <w:sz w:val="22"/>
          <w:szCs w:val="22"/>
          <w:color w:val="40AEFF"/>
        </w:rPr>
      </w:pPr>
    </w:p>
    <w:p>
      <w:pPr>
        <w:ind w:left="660" w:hanging="328"/>
        <w:spacing w:after="0" w:line="347" w:lineRule="auto"/>
        <w:tabs>
          <w:tab w:leader="none" w:pos="656" w:val="left"/>
        </w:tabs>
        <w:numPr>
          <w:ilvl w:val="0"/>
          <w:numId w:val="29"/>
        </w:numPr>
        <w:rPr>
          <w:rFonts w:ascii="Arial" w:cs="Arial" w:eastAsia="Arial" w:hAnsi="Arial"/>
          <w:sz w:val="22"/>
          <w:szCs w:val="22"/>
          <w:i w:val="1"/>
          <w:iCs w:val="1"/>
          <w:color w:val="40AEFF"/>
        </w:rPr>
      </w:pPr>
      <w:r>
        <w:rPr>
          <w:rFonts w:ascii="Arial" w:cs="Arial" w:eastAsia="Arial" w:hAnsi="Arial"/>
          <w:sz w:val="18"/>
          <w:szCs w:val="18"/>
          <w:b w:val="1"/>
          <w:bCs w:val="1"/>
          <w:color w:val="auto"/>
        </w:rPr>
        <w:t xml:space="preserve">General, administrative, and other costs </w:t>
      </w:r>
      <w:r>
        <w:rPr>
          <w:rFonts w:ascii="Arial" w:cs="Arial" w:eastAsia="Arial" w:hAnsi="Arial"/>
          <w:sz w:val="18"/>
          <w:szCs w:val="18"/>
          <w:color w:val="auto"/>
        </w:rPr>
        <w:t>were $91.7 million in Q2 2021, an increase of 6.1% compared with the $86.4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Q2 2020. Higher information services, professional fees and research costs contributed to the higher costs in Q2 2021 as compared to Q2 2020. Additionally, travel-related expenses in Q2 2021 were flat in comparison to Q2 2020.</w:t>
      </w:r>
    </w:p>
    <w:p>
      <w:pPr>
        <w:spacing w:after="0" w:line="246" w:lineRule="exact"/>
        <w:rPr>
          <w:sz w:val="20"/>
          <w:szCs w:val="20"/>
          <w:color w:val="auto"/>
        </w:rPr>
      </w:pPr>
    </w:p>
    <w:p>
      <w:pPr>
        <w:ind w:right="180"/>
        <w:spacing w:after="0" w:line="363" w:lineRule="auto"/>
        <w:rPr>
          <w:sz w:val="20"/>
          <w:szCs w:val="20"/>
          <w:color w:val="auto"/>
        </w:rPr>
      </w:pPr>
      <w:r>
        <w:rPr>
          <w:rFonts w:ascii="Arial" w:cs="Arial" w:eastAsia="Arial" w:hAnsi="Arial"/>
          <w:sz w:val="18"/>
          <w:szCs w:val="18"/>
          <w:color w:val="auto"/>
        </w:rPr>
        <w:t>The firm updated its 2021 non-GAAP operating expense growth guidance from a range of 10%-14% to a range of 12%-15% to reflect an increase in the firm's expectations for expenses. This expense growth guidance reflects the impact of the firm's expanded partnership with FIS. The firm could elect to further adjust its expense growth should unforeseen circumstances arise, including significant market movements.</w:t>
      </w:r>
    </w:p>
    <w:p>
      <w:pPr>
        <w:spacing w:after="0" w:line="211" w:lineRule="exact"/>
        <w:rPr>
          <w:sz w:val="20"/>
          <w:szCs w:val="20"/>
          <w:color w:val="auto"/>
        </w:rPr>
      </w:pPr>
    </w:p>
    <w:p>
      <w:pPr>
        <w:ind w:right="160"/>
        <w:spacing w:after="0" w:line="367" w:lineRule="auto"/>
        <w:rPr>
          <w:sz w:val="20"/>
          <w:szCs w:val="20"/>
          <w:color w:val="auto"/>
        </w:rPr>
      </w:pPr>
      <w:r>
        <w:rPr>
          <w:rFonts w:ascii="Arial" w:cs="Arial" w:eastAsia="Arial" w:hAnsi="Arial"/>
          <w:sz w:val="18"/>
          <w:szCs w:val="18"/>
          <w:b w:val="1"/>
          <w:bCs w:val="1"/>
          <w:color w:val="auto"/>
        </w:rPr>
        <w:t xml:space="preserve">Non-operating income (loss). </w:t>
      </w:r>
      <w:r>
        <w:rPr>
          <w:rFonts w:ascii="Arial" w:cs="Arial" w:eastAsia="Arial" w:hAnsi="Arial"/>
          <w:sz w:val="18"/>
          <w:szCs w:val="18"/>
          <w:color w:val="auto"/>
        </w:rPr>
        <w:t>Non-operating income was $143.9 million in Q2 2021,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non-operating income of $415.1 million in Q2 2020. The higher non-operating income recognized in Q2 2020 reflected the sharp market recovery following the significant losses experienced at the end of Q1 2020. For Q2 2021, the firm's consolidated investment products and supplemental savings plan hedge portfolio comprised nearly two-thirds of the net gains recognized. The cash and discretionary investment portfolio added net investment gains of $17.8 million during Q2 2021. The components of non-operating income for Q2 2021 and Q2 2020 are included in the tables at the end of this release.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320" w:top="1102" w:right="419" w:bottom="1440" w:gutter="0" w:footer="0" w:header="0"/>
        </w:sectPr>
      </w:pPr>
    </w:p>
    <w:bookmarkStart w:id="50" w:name="page51"/>
    <w:bookmarkEnd w:id="50"/>
    <w:p>
      <w:pPr>
        <w:ind w:right="480"/>
        <w:spacing w:after="0" w:line="39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firm's effective tax rate was 23.5% in Q2 2021 and 24.8% in Q2 2020. The following reconciles the statutory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rate to the firm's effective tax rate for the second quarter and the first half of 2021 and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shd w:val="clear" w:color="auto" w:fill="CCEEFF"/>
          </w:tcPr>
          <w:p>
            <w:pPr>
              <w:spacing w:after="0"/>
              <w:rPr>
                <w:sz w:val="16"/>
                <w:szCs w:val="16"/>
                <w:color w:val="auto"/>
              </w:rPr>
            </w:pPr>
          </w:p>
        </w:tc>
        <w:tc>
          <w:tcPr>
            <w:tcW w:w="3240" w:type="dxa"/>
            <w:vAlign w:val="bottom"/>
            <w:tcBorders>
              <w:right w:val="single" w:sz="8" w:color="auto"/>
            </w:tcBorders>
            <w:gridSpan w:val="4"/>
            <w:shd w:val="clear" w:color="auto" w:fill="CCEEFF"/>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shd w:val="clear" w:color="auto" w:fill="CCEEFF"/>
          </w:tcPr>
          <w:p>
            <w:pPr>
              <w:spacing w:after="0"/>
              <w:rPr>
                <w:sz w:val="16"/>
                <w:szCs w:val="16"/>
                <w:color w:val="auto"/>
              </w:rPr>
            </w:pPr>
          </w:p>
        </w:tc>
        <w:tc>
          <w:tcPr>
            <w:tcW w:w="3140" w:type="dxa"/>
            <w:vAlign w:val="bottom"/>
            <w:gridSpan w:val="3"/>
            <w:shd w:val="clear" w:color="auto" w:fill="CCEEFF"/>
          </w:tcPr>
          <w:p>
            <w:pPr>
              <w:jc w:val="right"/>
              <w:ind w:right="860"/>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478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6/30/2020</w:t>
            </w: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162"/>
        </w:trPr>
        <w:tc>
          <w:tcPr>
            <w:tcW w:w="4780" w:type="dxa"/>
            <w:vAlign w:val="bottom"/>
          </w:tcPr>
          <w:p>
            <w:pPr>
              <w:ind w:left="20"/>
              <w:spacing w:after="0" w:line="162" w:lineRule="exact"/>
              <w:rPr>
                <w:sz w:val="20"/>
                <w:szCs w:val="20"/>
                <w:color w:val="auto"/>
              </w:rPr>
            </w:pPr>
            <w:r>
              <w:rPr>
                <w:rFonts w:ascii="Arial" w:cs="Arial" w:eastAsia="Arial" w:hAnsi="Arial"/>
                <w:sz w:val="16"/>
                <w:szCs w:val="16"/>
                <w:color w:val="auto"/>
              </w:rPr>
              <w:t>State income taxes for current year, net of federal income tax</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benefits</w:t>
            </w:r>
            <w:r>
              <w:rPr>
                <w:rFonts w:ascii="Arial" w:cs="Arial" w:eastAsia="Arial" w:hAnsi="Arial"/>
                <w:sz w:val="21"/>
                <w:szCs w:val="21"/>
                <w:color w:val="auto"/>
                <w:vertAlign w:val="superscript"/>
              </w:rPr>
              <w:t>(1)</w:t>
            </w:r>
          </w:p>
        </w:tc>
        <w:tc>
          <w:tcPr>
            <w:tcW w:w="1500" w:type="dxa"/>
            <w:vAlign w:val="bottom"/>
          </w:tcPr>
          <w:p>
            <w:pPr>
              <w:jc w:val="right"/>
              <w:ind w:right="14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3.7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4.2</w:t>
            </w:r>
          </w:p>
        </w:tc>
      </w:tr>
      <w:tr>
        <w:trPr>
          <w:trHeight w:val="162"/>
        </w:trPr>
        <w:tc>
          <w:tcPr>
            <w:tcW w:w="47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Net (income) losses attributable to redeemable non-controlling</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interests</w:t>
            </w:r>
            <w:r>
              <w:rPr>
                <w:rFonts w:ascii="Arial" w:cs="Arial" w:eastAsia="Arial" w:hAnsi="Arial"/>
                <w:sz w:val="21"/>
                <w:szCs w:val="21"/>
                <w:color w:val="auto"/>
                <w:vertAlign w:val="superscript"/>
              </w:rPr>
              <w:t>(2)</w:t>
            </w:r>
          </w:p>
        </w:tc>
        <w:tc>
          <w:tcPr>
            <w:tcW w:w="15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r>
      <w:tr>
        <w:trPr>
          <w:trHeight w:val="177"/>
        </w:trPr>
        <w:tc>
          <w:tcPr>
            <w:tcW w:w="4780" w:type="dxa"/>
            <w:vAlign w:val="bottom"/>
          </w:tcPr>
          <w:p>
            <w:pPr>
              <w:ind w:left="20"/>
              <w:spacing w:after="0" w:line="178" w:lineRule="exact"/>
              <w:rPr>
                <w:sz w:val="20"/>
                <w:szCs w:val="20"/>
                <w:color w:val="auto"/>
              </w:rPr>
            </w:pPr>
            <w:r>
              <w:rPr>
                <w:rFonts w:ascii="Arial" w:cs="Arial" w:eastAsia="Arial" w:hAnsi="Arial"/>
                <w:sz w:val="16"/>
                <w:szCs w:val="16"/>
                <w:color w:val="auto"/>
              </w:rPr>
              <w:t>Net excess tax benefits from stock-based compensation plans</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98"/>
        </w:trPr>
        <w:tc>
          <w:tcPr>
            <w:tcW w:w="4780" w:type="dxa"/>
            <w:vAlign w:val="bottom"/>
          </w:tcPr>
          <w:p>
            <w:pPr>
              <w:ind w:left="20"/>
              <w:spacing w:after="0"/>
              <w:rPr>
                <w:sz w:val="20"/>
                <w:szCs w:val="20"/>
                <w:color w:val="auto"/>
              </w:rPr>
            </w:pPr>
            <w:r>
              <w:rPr>
                <w:rFonts w:ascii="Arial" w:cs="Arial" w:eastAsia="Arial" w:hAnsi="Arial"/>
                <w:sz w:val="16"/>
                <w:szCs w:val="16"/>
                <w:color w:val="auto"/>
              </w:rPr>
              <w:t>activity</w:t>
            </w:r>
          </w:p>
        </w:tc>
        <w:tc>
          <w:tcPr>
            <w:tcW w:w="1500" w:type="dxa"/>
            <w:vAlign w:val="bottom"/>
          </w:tcPr>
          <w:p>
            <w:pPr>
              <w:jc w:val="right"/>
              <w:ind w:right="8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right"/>
              <w:ind w:right="8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(1.7)</w:t>
            </w: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5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r>
      <w:tr>
        <w:trPr>
          <w:trHeight w:val="252"/>
        </w:trPr>
        <w:tc>
          <w:tcPr>
            <w:tcW w:w="478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23.5 %</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23.4 %</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23.9 %</w:t>
            </w:r>
          </w:p>
        </w:tc>
      </w:tr>
    </w:tbl>
    <w:p>
      <w:pPr>
        <w:spacing w:after="0" w:line="72"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9"/>
          <w:szCs w:val="9"/>
          <w:i w:val="1"/>
          <w:iCs w:val="1"/>
          <w:color w:val="auto"/>
        </w:rPr>
      </w:pPr>
      <w:r>
        <w:rPr>
          <w:rFonts w:ascii="Arial" w:cs="Arial" w:eastAsia="Arial" w:hAnsi="Arial"/>
          <w:sz w:val="14"/>
          <w:szCs w:val="14"/>
          <w:i w:val="1"/>
          <w:iCs w:val="1"/>
          <w:color w:val="auto"/>
        </w:rPr>
        <w:t>State income tax benefits are reflected in the total benefits for net income attributable to redeemable non-controlling interests and stock-based compensation plans activity.</w:t>
      </w:r>
    </w:p>
    <w:p>
      <w:pPr>
        <w:spacing w:after="0" w:line="15" w:lineRule="exact"/>
        <w:rPr>
          <w:rFonts w:ascii="Arial" w:cs="Arial" w:eastAsia="Arial" w:hAnsi="Arial"/>
          <w:sz w:val="9"/>
          <w:szCs w:val="9"/>
          <w:i w:val="1"/>
          <w:iCs w:val="1"/>
          <w:color w:val="auto"/>
        </w:rPr>
      </w:pPr>
    </w:p>
    <w:p>
      <w:pPr>
        <w:ind w:left="180" w:right="100" w:hanging="172"/>
        <w:spacing w:after="0" w:line="258" w:lineRule="auto"/>
        <w:tabs>
          <w:tab w:leader="none" w:pos="158" w:val="left"/>
        </w:tabs>
        <w:numPr>
          <w:ilvl w:val="0"/>
          <w:numId w:val="30"/>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 represents the portion of earnings held in the firm's consolidated investment products, which are not taxable to the firm despite being included in pre-tax income.</w:t>
      </w:r>
    </w:p>
    <w:p>
      <w:pPr>
        <w:spacing w:after="0" w:line="269" w:lineRule="exact"/>
        <w:rPr>
          <w:sz w:val="20"/>
          <w:szCs w:val="20"/>
          <w:color w:val="auto"/>
        </w:rPr>
      </w:pPr>
    </w:p>
    <w:p>
      <w:pPr>
        <w:jc w:val="both"/>
        <w:ind w:right="200"/>
        <w:spacing w:after="0" w:line="362" w:lineRule="auto"/>
        <w:rPr>
          <w:sz w:val="20"/>
          <w:szCs w:val="20"/>
          <w:color w:val="auto"/>
        </w:rPr>
      </w:pPr>
      <w:r>
        <w:rPr>
          <w:rFonts w:ascii="Arial" w:cs="Arial" w:eastAsia="Arial" w:hAnsi="Arial"/>
          <w:sz w:val="18"/>
          <w:szCs w:val="18"/>
          <w:color w:val="auto"/>
        </w:rPr>
        <w:t>The firm's non-GAAP tax rate primarily adjusts for the impact of the consolidated investment products, including the net income attributable to redeemable non-controlling interests. The firm's non-GAAP effective tax rate was 23.4% for Q2 2021 compared with 24.8% for Q2 2020 and 23.5% for YTD 2021 compared with 23.8% for YTD 2020. The non-GAAP tax rate for Q2 2021 was favorably impacted by the discrete remeasurement of deferred tax assets as a result of an increase in the corporate income tax rate in the United Kingdom. For the YTD 2021 period, the rate was favorably impacted by a lower state effective tax rate, partially offset by lower discrete tax benefits associated with the settlement of stock-based awards as compared to YTD 2020.</w:t>
      </w:r>
    </w:p>
    <w:p>
      <w:pPr>
        <w:spacing w:after="0" w:line="233" w:lineRule="exact"/>
        <w:rPr>
          <w:sz w:val="20"/>
          <w:szCs w:val="20"/>
          <w:color w:val="auto"/>
        </w:rPr>
      </w:pPr>
    </w:p>
    <w:p>
      <w:pPr>
        <w:ind w:right="340"/>
        <w:spacing w:after="0" w:line="371" w:lineRule="auto"/>
        <w:rPr>
          <w:sz w:val="20"/>
          <w:szCs w:val="20"/>
          <w:color w:val="auto"/>
        </w:rPr>
      </w:pPr>
      <w:r>
        <w:rPr>
          <w:rFonts w:ascii="Arial" w:cs="Arial" w:eastAsia="Arial" w:hAnsi="Arial"/>
          <w:sz w:val="18"/>
          <w:szCs w:val="18"/>
          <w:color w:val="auto"/>
        </w:rPr>
        <w:t>The firm continues to see the phased-in benefit of the 2018 Maryland state tax legislation in which we expect to reduce our effective state rate over the five-year phase-in period to less than 3% by the end of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firm estimates that its effective tax rate for the full year 2021, on a GAAP and non-GAAP basis, will be in the range of 22.5% to 24.5%.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 Rowe Price remains debt-free with ample liquidity, including cash and investments in T. Rowe Price products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6/30/2021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3,514.9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2,151.7</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5,468.3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4,247.4</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r>
      <w:tr>
        <w:trPr>
          <w:trHeight w:val="230"/>
        </w:trPr>
        <w:tc>
          <w:tcPr>
            <w:tcW w:w="8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w:t>
            </w:r>
          </w:p>
        </w:tc>
      </w:tr>
      <w:tr>
        <w:trPr>
          <w:trHeight w:val="248"/>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580" w:right="1040" w:hanging="5572"/>
        <w:spacing w:after="0" w:line="584" w:lineRule="auto"/>
        <w:tabs>
          <w:tab w:leader="none" w:pos="334" w:val="left"/>
        </w:tabs>
        <w:numPr>
          <w:ilvl w:val="0"/>
          <w:numId w:val="31"/>
        </w:numPr>
        <w:rPr>
          <w:rFonts w:ascii="Arial" w:cs="Arial" w:eastAsia="Arial" w:hAnsi="Arial"/>
          <w:sz w:val="22"/>
          <w:szCs w:val="22"/>
          <w:color w:val="40AEFF"/>
        </w:rPr>
      </w:pPr>
      <w:r>
        <w:rPr>
          <w:rFonts w:ascii="Arial" w:cs="Arial" w:eastAsia="Arial" w:hAnsi="Arial"/>
          <w:sz w:val="18"/>
          <w:szCs w:val="18"/>
          <w:color w:val="auto"/>
        </w:rPr>
        <w:t>The firm's common shares outstanding were 226.9 million at June 30, 2021, compared with 228.0 million at the end of 2020. 7</w:t>
      </w:r>
    </w:p>
    <w:p>
      <w:pPr>
        <w:sectPr>
          <w:pgSz w:w="11900" w:h="16838" w:orient="portrait"/>
          <w:cols w:equalWidth="0" w:num="1">
            <w:col w:w="11240"/>
          </w:cols>
          <w:pgMar w:left="320" w:top="1062" w:right="339" w:bottom="1440" w:gutter="0" w:footer="0" w:header="0"/>
        </w:sectPr>
      </w:pPr>
    </w:p>
    <w:bookmarkStart w:id="51" w:name="page52"/>
    <w:bookmarkEnd w:id="51"/>
    <w:p>
      <w:pPr>
        <w:ind w:left="340" w:right="220" w:hanging="332"/>
        <w:spacing w:after="0" w:line="333" w:lineRule="auto"/>
        <w:tabs>
          <w:tab w:leader="none" w:pos="336" w:val="left"/>
        </w:tabs>
        <w:numPr>
          <w:ilvl w:val="0"/>
          <w:numId w:val="32"/>
        </w:numPr>
        <w:rPr>
          <w:rFonts w:ascii="Arial" w:cs="Arial" w:eastAsia="Arial" w:hAnsi="Arial"/>
          <w:sz w:val="22"/>
          <w:szCs w:val="22"/>
          <w:color w:val="40AEFF"/>
        </w:rPr>
      </w:pPr>
      <w:r>
        <w:rPr>
          <w:rFonts w:ascii="Arial" w:cs="Arial" w:eastAsia="Arial" w:hAnsi="Arial"/>
          <w:sz w:val="18"/>
          <w:szCs w:val="18"/>
          <w:color w:val="auto"/>
        </w:rPr>
        <w:t>In the first half of 2021, the firm expended $308.9 million to repurchase 1.9 million shares, or .8%, of its outstanding common shares at an average price of $166.57, including $41.3 million to repurchase .2 million shares during Q2 2021.</w:t>
      </w:r>
    </w:p>
    <w:p>
      <w:pPr>
        <w:spacing w:after="0" w:line="36" w:lineRule="exact"/>
        <w:rPr>
          <w:rFonts w:ascii="Arial" w:cs="Arial" w:eastAsia="Arial" w:hAnsi="Arial"/>
          <w:sz w:val="22"/>
          <w:szCs w:val="22"/>
          <w:color w:val="40AEFF"/>
        </w:rPr>
      </w:pPr>
    </w:p>
    <w:p>
      <w:pPr>
        <w:ind w:left="340" w:right="280" w:hanging="332"/>
        <w:spacing w:after="0" w:line="333" w:lineRule="auto"/>
        <w:tabs>
          <w:tab w:leader="none" w:pos="336" w:val="left"/>
        </w:tabs>
        <w:numPr>
          <w:ilvl w:val="0"/>
          <w:numId w:val="32"/>
        </w:numPr>
        <w:rPr>
          <w:rFonts w:ascii="Arial" w:cs="Arial" w:eastAsia="Arial" w:hAnsi="Arial"/>
          <w:sz w:val="22"/>
          <w:szCs w:val="22"/>
          <w:color w:val="40AEFF"/>
        </w:rPr>
      </w:pPr>
      <w:r>
        <w:rPr>
          <w:rFonts w:ascii="Arial" w:cs="Arial" w:eastAsia="Arial" w:hAnsi="Arial"/>
          <w:sz w:val="18"/>
          <w:szCs w:val="18"/>
          <w:color w:val="auto"/>
        </w:rPr>
        <w:t>During Q2 2021, the firm's board of directors declared a special cash dividend of $3.00 per common share, or $699.8 million, that was paid on July 7, 2021, to stockholders of record as of the close of business on June 25, 2021.</w:t>
      </w:r>
    </w:p>
    <w:p>
      <w:pPr>
        <w:spacing w:after="0" w:line="36" w:lineRule="exact"/>
        <w:rPr>
          <w:rFonts w:ascii="Arial" w:cs="Arial" w:eastAsia="Arial" w:hAnsi="Arial"/>
          <w:sz w:val="22"/>
          <w:szCs w:val="22"/>
          <w:color w:val="40AEFF"/>
        </w:rPr>
      </w:pPr>
    </w:p>
    <w:p>
      <w:pPr>
        <w:ind w:left="340" w:right="240" w:hanging="332"/>
        <w:spacing w:after="0" w:line="336" w:lineRule="auto"/>
        <w:tabs>
          <w:tab w:leader="none" w:pos="336" w:val="left"/>
        </w:tabs>
        <w:numPr>
          <w:ilvl w:val="0"/>
          <w:numId w:val="32"/>
        </w:numPr>
        <w:rPr>
          <w:rFonts w:ascii="Arial" w:cs="Arial" w:eastAsia="Arial" w:hAnsi="Arial"/>
          <w:sz w:val="22"/>
          <w:szCs w:val="22"/>
          <w:color w:val="40AEFF"/>
        </w:rPr>
      </w:pPr>
      <w:r>
        <w:rPr>
          <w:rFonts w:ascii="Arial" w:cs="Arial" w:eastAsia="Arial" w:hAnsi="Arial"/>
          <w:sz w:val="18"/>
          <w:szCs w:val="18"/>
          <w:color w:val="auto"/>
        </w:rPr>
        <w:t>The firm invested $121.8 million during the first half of 2021 in capitalized facilities and technology. The firm currently expects capital expenditures, including internal labor capitalization, for 2021 to be about $265 million, of which more than three-quarters is planned for technology initiatives. These expenditures are expected to continue to be funded from the firm's operating resources.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Performance</w:t>
      </w:r>
    </w:p>
    <w:p>
      <w:pPr>
        <w:spacing w:after="0" w:line="126" w:lineRule="exact"/>
        <w:rPr>
          <w:sz w:val="20"/>
          <w:szCs w:val="20"/>
          <w:color w:val="auto"/>
        </w:rPr>
      </w:pPr>
    </w:p>
    <w:p>
      <w:pPr>
        <w:jc w:val="both"/>
        <w:ind w:right="160"/>
        <w:spacing w:after="0" w:line="349" w:lineRule="auto"/>
        <w:rPr>
          <w:sz w:val="20"/>
          <w:szCs w:val="20"/>
          <w:color w:val="auto"/>
        </w:rPr>
      </w:pPr>
      <w:r>
        <w:rPr>
          <w:rFonts w:ascii="Arial" w:cs="Arial" w:eastAsia="Arial" w:hAnsi="Arial"/>
          <w:sz w:val="18"/>
          <w:szCs w:val="18"/>
          <w:color w:val="auto"/>
        </w:rPr>
        <w:t>The following table presents investment performance for specific asset classes and AUM-weighted performance, mutual fund performance against passive peers, and composite performance against benchmarks for the one-, three-, five-, and 10-years ended June 30, 2021. Past performance is no guarantee of future results.</w:t>
      </w:r>
    </w:p>
    <w:tbl>
      <w:tblPr>
        <w:tblLayout w:type="fixed"/>
        <w:tblInd w:w="0" w:type="dxa"/>
        <w:tblCellMar>
          <w:top w:w="0" w:type="dxa"/>
          <w:left w:w="0" w:type="dxa"/>
          <w:bottom w:w="0" w:type="dxa"/>
          <w:right w:w="0" w:type="dxa"/>
        </w:tblCellMar>
      </w:tblPr>
      <w:tr>
        <w:trPr>
          <w:trHeight w:val="218"/>
        </w:trPr>
        <w:tc>
          <w:tcPr>
            <w:tcW w:w="5780" w:type="dxa"/>
            <w:vAlign w:val="bottom"/>
            <w:gridSpan w:val="3"/>
            <w:shd w:val="clear" w:color="auto" w:fill="CCEEFF"/>
          </w:tcPr>
          <w:p>
            <w:pPr>
              <w:ind w:left="20"/>
              <w:spacing w:after="0" w:line="219" w:lineRule="exact"/>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(1),(2)</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2"/>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82%</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59%</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76%</w:t>
            </w:r>
          </w:p>
        </w:tc>
      </w:tr>
      <w:tr>
        <w:trPr>
          <w:trHeight w:val="111"/>
        </w:trPr>
        <w:tc>
          <w:tcPr>
            <w:tcW w:w="568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(1),(3)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64%</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71%</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61%</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86%</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r>
      <w:tr>
        <w:trPr>
          <w:trHeight w:val="108"/>
        </w:trPr>
        <w:tc>
          <w:tcPr>
            <w:tcW w:w="39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(4)</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75%</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149"/>
        </w:trPr>
        <w:tc>
          <w:tcPr>
            <w:tcW w:w="39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2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2180" w:type="dxa"/>
            <w:vAlign w:val="bottom"/>
            <w:tcBorders>
              <w:bottom w:val="single" w:sz="8" w:color="CCEEFF"/>
            </w:tcBorders>
            <w:gridSpan w:val="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(1),(2)</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90%</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61%</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96%</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89%</w:t>
            </w: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(1),(3)</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62%</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84%</w:t>
            </w:r>
          </w:p>
        </w:tc>
      </w:tr>
      <w:tr>
        <w:trPr>
          <w:trHeight w:val="111"/>
        </w:trPr>
        <w:tc>
          <w:tcPr>
            <w:tcW w:w="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71%</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88%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72%</w:t>
            </w:r>
          </w:p>
        </w:tc>
      </w:tr>
    </w:tbl>
    <w:p>
      <w:pPr>
        <w:spacing w:after="0" w:line="35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As of June 30, 2021, 77 of 123 (62.6%)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86%</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the firm's rated U.S. mutual funds (across primary share classes) ended June 30, 2021 with an overall rating of 4 or 5 stars.</w:t>
      </w:r>
    </w:p>
    <w:p>
      <w:pPr>
        <w:spacing w:after="0" w:line="195" w:lineRule="exact"/>
        <w:rPr>
          <w:sz w:val="20"/>
          <w:szCs w:val="20"/>
          <w:color w:val="auto"/>
        </w:rPr>
      </w:pPr>
    </w:p>
    <w:p>
      <w:pPr>
        <w:ind w:right="100" w:firstLine="8"/>
        <w:spacing w:after="0" w:line="342" w:lineRule="auto"/>
        <w:tabs>
          <w:tab w:leader="none" w:pos="140" w:val="left"/>
        </w:tabs>
        <w:numPr>
          <w:ilvl w:val="0"/>
          <w:numId w:val="3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Source: © 2021 Morningstar, Inc. All rights reserved. The information contained herein: 1) is proprietary to Morningstar and/or its content providers; 2) may not be copied or distributed; and 3) is not warranted to be accurate, complete, or timely.Neither Morningstar nor its content providers are responsible for any damages or losses arising from any use of this information.</w:t>
      </w:r>
    </w:p>
    <w:p>
      <w:pPr>
        <w:ind w:right="60" w:firstLine="8"/>
        <w:spacing w:after="0" w:line="221" w:lineRule="auto"/>
        <w:tabs>
          <w:tab w:leader="none" w:pos="154" w:val="left"/>
        </w:tabs>
        <w:numPr>
          <w:ilvl w:val="0"/>
          <w:numId w:val="33"/>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Fund AUM included for this analysis includes $526B for 1 year, $526B for 3 years, $525B for 5 years, and $515B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24" w:lineRule="auto"/>
        <w:tabs>
          <w:tab w:leader="none" w:pos="154" w:val="left"/>
        </w:tabs>
        <w:numPr>
          <w:ilvl w:val="0"/>
          <w:numId w:val="33"/>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$506B for 1 year, $499B for 3 years, $499B for 5 years, and $433B for 10 years.</w:t>
      </w:r>
    </w:p>
    <w:p>
      <w:pPr>
        <w:spacing w:after="0" w:line="1" w:lineRule="exact"/>
        <w:rPr>
          <w:rFonts w:ascii="Arial" w:cs="Arial" w:eastAsia="Arial" w:hAnsi="Arial"/>
          <w:sz w:val="17"/>
          <w:szCs w:val="17"/>
          <w:i w:val="1"/>
          <w:iCs w:val="1"/>
          <w:color w:val="auto"/>
          <w:vertAlign w:val="superscript"/>
        </w:rPr>
      </w:pPr>
    </w:p>
    <w:p>
      <w:pPr>
        <w:ind w:right="280"/>
        <w:spacing w:after="0" w:line="206" w:lineRule="auto"/>
        <w:rPr>
          <w:rFonts w:ascii="Arial" w:cs="Arial" w:eastAsia="Arial" w:hAnsi="Arial"/>
          <w:sz w:val="17"/>
          <w:szCs w:val="17"/>
          <w:i w:val="1"/>
          <w:iCs w:val="1"/>
          <w:color w:val="auto"/>
          <w:vertAlign w:val="superscript"/>
        </w:rPr>
      </w:pPr>
      <w:r>
        <w:rPr>
          <w:rFonts w:ascii="Arial" w:cs="Arial" w:eastAsia="Arial" w:hAnsi="Arial"/>
          <w:sz w:val="18"/>
          <w:szCs w:val="18"/>
          <w:i w:val="1"/>
          <w:iCs w:val="1"/>
          <w:color w:val="auto"/>
          <w:vertAlign w:val="superscript"/>
        </w:rPr>
        <w:t>(4)</w:t>
      </w: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$1,513B for 1 year, $1,510B for 3 years, $1,494B for 5 years, and $1,458B for 10 years.</w:t>
      </w:r>
    </w:p>
    <w:p>
      <w:pPr>
        <w:spacing w:after="0" w:line="1" w:lineRule="exact"/>
        <w:rPr>
          <w:rFonts w:ascii="Arial" w:cs="Arial" w:eastAsia="Arial" w:hAnsi="Arial"/>
          <w:sz w:val="17"/>
          <w:szCs w:val="17"/>
          <w:i w:val="1"/>
          <w:iCs w:val="1"/>
          <w:color w:val="auto"/>
          <w:vertAlign w:val="superscript"/>
        </w:rPr>
      </w:pPr>
    </w:p>
    <w:p>
      <w:pPr>
        <w:ind w:right="100" w:firstLine="8"/>
        <w:spacing w:after="0" w:line="231" w:lineRule="auto"/>
        <w:tabs>
          <w:tab w:leader="none" w:pos="154" w:val="left"/>
        </w:tabs>
        <w:numPr>
          <w:ilvl w:val="0"/>
          <w:numId w:val="34"/>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4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Other Matters</w:t>
      </w:r>
    </w:p>
    <w:p>
      <w:pPr>
        <w:spacing w:after="0" w:line="126" w:lineRule="exact"/>
        <w:rPr>
          <w:sz w:val="20"/>
          <w:szCs w:val="20"/>
          <w:color w:val="auto"/>
        </w:rPr>
      </w:pPr>
    </w:p>
    <w:p>
      <w:pPr>
        <w:ind w:right="220"/>
        <w:spacing w:after="0" w:line="365"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second quarter of 2021 with the U.S. Securities and Exchange Commission later today. The Form 10-Q will include additional information on the firm's unaudited consolidated financial statements at June 30, 2021.</w:t>
      </w:r>
    </w:p>
    <w:p>
      <w:pPr>
        <w:spacing w:after="0" w:line="230" w:lineRule="exact"/>
        <w:rPr>
          <w:sz w:val="20"/>
          <w:szCs w:val="20"/>
          <w:color w:val="auto"/>
        </w:rPr>
      </w:pPr>
    </w:p>
    <w:p>
      <w:pPr>
        <w:spacing w:after="0" w:line="362"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effective tax rates, and expectations regarding financial results, future transactions, new products and services, investments, capital expenditures, dividends, stock repurchases, changes in our effective fee rate, the impact of the coronavirus pandemic, and other market conditions. For a discussion concerning risks and other factors that could affect future results, see the firm's 2020 Annual Report on Form 10-K.</w:t>
      </w:r>
    </w:p>
    <w:p>
      <w:pPr>
        <w:spacing w:after="0" w:line="211" w:lineRule="exact"/>
        <w:rPr>
          <w:sz w:val="20"/>
          <w:szCs w:val="20"/>
          <w:color w:val="auto"/>
        </w:rPr>
      </w:pPr>
    </w:p>
    <w:p>
      <w:pPr>
        <w:ind w:right="100"/>
        <w:spacing w:after="0" w:line="372"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8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2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054C70"/>
              </w:rPr>
              <w:t>Public Relations</w:t>
            </w:r>
          </w:p>
        </w:tc>
        <w:tc>
          <w:tcPr>
            <w:tcW w:w="5020" w:type="dxa"/>
            <w:vAlign w:val="bottom"/>
            <w:gridSpan w:val="3"/>
          </w:tcPr>
          <w:p>
            <w:pPr>
              <w:ind w:left="2300"/>
              <w:spacing w:after="0"/>
              <w:rPr>
                <w:sz w:val="20"/>
                <w:szCs w:val="20"/>
                <w:color w:val="auto"/>
              </w:rPr>
            </w:pPr>
            <w:r>
              <w:rPr>
                <w:rFonts w:ascii="Arial" w:cs="Arial" w:eastAsia="Arial" w:hAnsi="Arial"/>
                <w:sz w:val="18"/>
                <w:szCs w:val="18"/>
                <w:b w:val="1"/>
                <w:bCs w:val="1"/>
                <w:color w:val="054C70"/>
              </w:rPr>
              <w:t>Investor Relations</w:t>
            </w:r>
          </w:p>
        </w:tc>
      </w:tr>
      <w:tr>
        <w:trPr>
          <w:trHeight w:val="250"/>
        </w:trPr>
        <w:tc>
          <w:tcPr>
            <w:tcW w:w="20" w:type="dxa"/>
            <w:vAlign w:val="bottom"/>
          </w:tcPr>
          <w:p>
            <w:pPr>
              <w:spacing w:after="0"/>
              <w:rPr>
                <w:sz w:val="21"/>
                <w:szCs w:val="21"/>
                <w:color w:val="auto"/>
              </w:rPr>
            </w:pPr>
          </w:p>
        </w:tc>
        <w:tc>
          <w:tcPr>
            <w:tcW w:w="140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Brian Lewbart</w:t>
            </w:r>
          </w:p>
        </w:tc>
        <w:tc>
          <w:tcPr>
            <w:tcW w:w="26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6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Linsley Carruth</w:t>
            </w:r>
          </w:p>
        </w:tc>
        <w:tc>
          <w:tcPr>
            <w:tcW w:w="1160" w:type="dxa"/>
            <w:vAlign w:val="bottom"/>
          </w:tcPr>
          <w:p>
            <w:pPr>
              <w:spacing w:after="0"/>
              <w:rPr>
                <w:sz w:val="21"/>
                <w:szCs w:val="21"/>
                <w:color w:val="auto"/>
              </w:rPr>
            </w:pPr>
          </w:p>
        </w:tc>
      </w:tr>
      <w:tr>
        <w:trPr>
          <w:trHeight w:val="220"/>
        </w:trPr>
        <w:tc>
          <w:tcPr>
            <w:tcW w:w="1420" w:type="dxa"/>
            <w:vAlign w:val="bottom"/>
            <w:gridSpan w:val="2"/>
          </w:tcPr>
          <w:p>
            <w:pPr>
              <w:ind w:left="20"/>
              <w:spacing w:after="0"/>
              <w:rPr>
                <w:sz w:val="20"/>
                <w:szCs w:val="20"/>
                <w:color w:val="auto"/>
              </w:rPr>
            </w:pPr>
            <w:r>
              <w:rPr>
                <w:rFonts w:ascii="Arial" w:cs="Arial" w:eastAsia="Arial" w:hAnsi="Arial"/>
                <w:sz w:val="18"/>
                <w:szCs w:val="18"/>
                <w:color w:val="3B3B3B"/>
              </w:rPr>
              <w:t>410-345-2242</w:t>
            </w:r>
          </w:p>
        </w:tc>
        <w:tc>
          <w:tcPr>
            <w:tcW w:w="2660" w:type="dxa"/>
            <w:vAlign w:val="bottom"/>
          </w:tcPr>
          <w:p>
            <w:pPr>
              <w:spacing w:after="0"/>
              <w:rPr>
                <w:sz w:val="19"/>
                <w:szCs w:val="19"/>
                <w:color w:val="auto"/>
              </w:rPr>
            </w:pPr>
          </w:p>
        </w:tc>
        <w:tc>
          <w:tcPr>
            <w:tcW w:w="3860" w:type="dxa"/>
            <w:vAlign w:val="bottom"/>
            <w:gridSpan w:val="2"/>
          </w:tcPr>
          <w:p>
            <w:pPr>
              <w:ind w:left="2300"/>
              <w:spacing w:after="0"/>
              <w:rPr>
                <w:sz w:val="20"/>
                <w:szCs w:val="20"/>
                <w:color w:val="auto"/>
              </w:rPr>
            </w:pPr>
            <w:r>
              <w:rPr>
                <w:rFonts w:ascii="Arial" w:cs="Arial" w:eastAsia="Arial" w:hAnsi="Arial"/>
                <w:sz w:val="18"/>
                <w:szCs w:val="18"/>
                <w:color w:val="3B3B3B"/>
              </w:rPr>
              <w:t>410-345-3717</w:t>
            </w:r>
          </w:p>
        </w:tc>
        <w:tc>
          <w:tcPr>
            <w:tcW w:w="116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054C70"/>
              </w:rPr>
              <w:t>brian.lewbart@troweprice.com</w:t>
            </w:r>
          </w:p>
        </w:tc>
        <w:tc>
          <w:tcPr>
            <w:tcW w:w="5020" w:type="dxa"/>
            <w:vAlign w:val="bottom"/>
            <w:gridSpan w:val="3"/>
          </w:tcPr>
          <w:p>
            <w:pPr>
              <w:ind w:left="2300"/>
              <w:spacing w:after="0"/>
              <w:rPr>
                <w:sz w:val="20"/>
                <w:szCs w:val="20"/>
                <w:color w:val="auto"/>
              </w:rPr>
            </w:pPr>
            <w:r>
              <w:rPr>
                <w:rFonts w:ascii="Arial" w:cs="Arial" w:eastAsia="Arial" w:hAnsi="Arial"/>
                <w:sz w:val="18"/>
                <w:szCs w:val="18"/>
                <w:b w:val="1"/>
                <w:bCs w:val="1"/>
                <w:color w:val="054C70"/>
                <w:w w:val="98"/>
              </w:rPr>
              <w:t>linsley.carruth@troweprice.com</w:t>
            </w:r>
          </w:p>
        </w:tc>
      </w:tr>
      <w:tr>
        <w:trPr>
          <w:trHeight w:val="56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00" w:type="dxa"/>
            <w:vAlign w:val="bottom"/>
          </w:tcPr>
          <w:p>
            <w:pPr>
              <w:jc w:val="right"/>
              <w:ind w:right="570"/>
              <w:spacing w:after="0"/>
              <w:rPr>
                <w:sz w:val="20"/>
                <w:szCs w:val="20"/>
                <w:color w:val="auto"/>
              </w:rPr>
            </w:pPr>
            <w:r>
              <w:rPr>
                <w:rFonts w:ascii="Arial" w:cs="Arial" w:eastAsia="Arial" w:hAnsi="Arial"/>
                <w:sz w:val="18"/>
                <w:szCs w:val="18"/>
                <w:color w:val="auto"/>
              </w:rPr>
              <w:t>10</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00"/>
          </w:cols>
          <w:pgMar w:left="320" w:top="1062" w:right="37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Consolidated Statements of Income</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gridSpan w:val="5"/>
            <w:shd w:val="clear" w:color="auto" w:fill="CCEEFF"/>
          </w:tcPr>
          <w:p>
            <w:pPr>
              <w:jc w:val="right"/>
              <w:ind w:right="8"/>
              <w:spacing w:after="0"/>
              <w:rPr>
                <w:sz w:val="20"/>
                <w:szCs w:val="20"/>
                <w:color w:val="auto"/>
              </w:rPr>
            </w:pPr>
            <w:r>
              <w:rPr>
                <w:rFonts w:ascii="Arial" w:cs="Arial" w:eastAsia="Arial" w:hAnsi="Arial"/>
                <w:sz w:val="14"/>
                <w:szCs w:val="14"/>
                <w:color w:val="auto"/>
              </w:rPr>
              <w:t>Three months ended</w:t>
            </w:r>
          </w:p>
        </w:tc>
        <w:tc>
          <w:tcPr>
            <w:tcW w:w="9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140" w:type="dxa"/>
            <w:vAlign w:val="bottom"/>
            <w:tcBorders>
              <w:bottom w:val="single" w:sz="8" w:color="auto"/>
            </w:tcBorders>
            <w:gridSpan w:val="4"/>
            <w:shd w:val="clear" w:color="auto" w:fill="CCEEFF"/>
          </w:tcPr>
          <w:p>
            <w:pPr>
              <w:jc w:val="right"/>
              <w:ind w:right="508"/>
              <w:spacing w:after="0"/>
              <w:rPr>
                <w:sz w:val="20"/>
                <w:szCs w:val="20"/>
                <w:color w:val="auto"/>
              </w:rPr>
            </w:pPr>
            <w:r>
              <w:rPr>
                <w:rFonts w:ascii="Arial" w:cs="Arial" w:eastAsia="Arial" w:hAnsi="Arial"/>
                <w:sz w:val="14"/>
                <w:szCs w:val="14"/>
                <w:color w:val="auto"/>
              </w:rPr>
              <w:t>Six months ended</w:t>
            </w:r>
          </w:p>
        </w:tc>
        <w:tc>
          <w:tcPr>
            <w:tcW w:w="100" w:type="dxa"/>
            <w:vAlign w:val="bottom"/>
            <w:tcBorders>
              <w:bottom w:val="single" w:sz="8" w:color="auto"/>
            </w:tcBorders>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6/30/2021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6/30/2020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3/31/2021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6/30/2021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6/30/2020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advisory fees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1,293.8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1,687.8</w:t>
            </w:r>
          </w:p>
        </w:tc>
        <w:tc>
          <w:tcPr>
            <w:tcW w:w="1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Administrative, distribution, and servicing fees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revenues</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1,929.3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1,415.4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1,826.8</w:t>
            </w:r>
          </w:p>
        </w:tc>
        <w:tc>
          <w:tcPr>
            <w:tcW w:w="1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3,756.1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2,878.0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tcPr>
          <w:p>
            <w:pPr>
              <w:ind w:left="120"/>
              <w:spacing w:after="0"/>
              <w:rPr>
                <w:sz w:val="20"/>
                <w:szCs w:val="20"/>
                <w:color w:val="auto"/>
              </w:rPr>
            </w:pPr>
            <w:r>
              <w:rPr>
                <w:rFonts w:ascii="Arial" w:cs="Arial" w:eastAsia="Arial" w:hAnsi="Arial"/>
                <w:sz w:val="14"/>
                <w:szCs w:val="14"/>
                <w:color w:val="auto"/>
              </w:rPr>
              <w:t>Compensation and related costs</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603.8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549.0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583.5</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1,187.3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989.7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 and servicing</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tcPr>
          <w:p>
            <w:pPr>
              <w:ind w:left="120"/>
              <w:spacing w:after="0"/>
              <w:rPr>
                <w:sz w:val="20"/>
                <w:szCs w:val="20"/>
                <w:color w:val="auto"/>
              </w:rPr>
            </w:pPr>
            <w:r>
              <w:rPr>
                <w:rFonts w:ascii="Arial" w:cs="Arial" w:eastAsia="Arial" w:hAnsi="Arial"/>
                <w:sz w:val="14"/>
                <w:szCs w:val="14"/>
                <w:color w:val="auto"/>
              </w:rPr>
              <w:t>Advertising and promotion</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and recordkeeping related costs</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tcPr>
          <w:p>
            <w:pPr>
              <w:ind w:left="120"/>
              <w:spacing w:after="0"/>
              <w:rPr>
                <w:sz w:val="20"/>
                <w:szCs w:val="20"/>
                <w:color w:val="auto"/>
              </w:rPr>
            </w:pPr>
            <w:r>
              <w:rPr>
                <w:rFonts w:ascii="Arial" w:cs="Arial" w:eastAsia="Arial" w:hAnsi="Arial"/>
                <w:sz w:val="14"/>
                <w:szCs w:val="14"/>
                <w:color w:val="auto"/>
              </w:rPr>
              <w:t>Technology, occupancy, and facility costs</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117.3</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administrative, and other</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86.4</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163.5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6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Total operating expenses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971.2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861.7</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933.6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1,904.8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1,617.1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5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958.1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553.7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893.2</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1,851.3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1,260.9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0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on investments</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tcPr>
          <w:p>
            <w:pPr>
              <w:ind w:left="140"/>
              <w:spacing w:after="0"/>
              <w:rPr>
                <w:sz w:val="20"/>
                <w:szCs w:val="20"/>
                <w:color w:val="auto"/>
              </w:rPr>
            </w:pPr>
            <w:r>
              <w:rPr>
                <w:rFonts w:ascii="Arial" w:cs="Arial" w:eastAsia="Arial" w:hAnsi="Arial"/>
                <w:sz w:val="14"/>
                <w:szCs w:val="14"/>
                <w:color w:val="auto"/>
              </w:rPr>
              <w:t>Net gains (losses) on consolidated investment products</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(loss)</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non-operating income (loss)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143.9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415.1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246.0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5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0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968.8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995.3</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2,097.3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1,175.7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240.3</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489.8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842.7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728.5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764.8</w:t>
            </w: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1,607.5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895.1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125.5</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 Rowe Price</w:t>
            </w: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815.7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603.0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749.4</w:t>
            </w: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1,565.1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946.1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6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Less: net income allocated to outstanding restricted stock and stock unit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holders</w:t>
            </w: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Net income allocated to T. Rowe Price common stockholders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793.5</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586.2</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729.5</w:t>
            </w: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1,523.0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919.9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60" w:type="dxa"/>
            <w:vAlign w:val="bottom"/>
          </w:tcPr>
          <w:p>
            <w:pPr>
              <w:ind w:left="120"/>
              <w:spacing w:after="0"/>
              <w:rPr>
                <w:sz w:val="20"/>
                <w:szCs w:val="20"/>
                <w:color w:val="auto"/>
              </w:rPr>
            </w:pPr>
            <w:r>
              <w:rPr>
                <w:rFonts w:ascii="Arial" w:cs="Arial" w:eastAsia="Arial" w:hAnsi="Arial"/>
                <w:sz w:val="14"/>
                <w:szCs w:val="14"/>
                <w:b w:val="1"/>
                <w:bCs w:val="1"/>
                <w:color w:val="auto"/>
              </w:rPr>
              <w:t>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3.46</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2.55</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3.17</w:t>
            </w:r>
          </w:p>
        </w:tc>
        <w:tc>
          <w:tcPr>
            <w:tcW w:w="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6.63</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3.95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060" w:type="dxa"/>
            <w:vAlign w:val="bottom"/>
          </w:tcPr>
          <w:p>
            <w:pPr>
              <w:ind w:left="20"/>
              <w:spacing w:after="0"/>
              <w:rPr>
                <w:sz w:val="20"/>
                <w:szCs w:val="20"/>
                <w:color w:val="auto"/>
              </w:rPr>
            </w:pPr>
            <w:r>
              <w:rPr>
                <w:rFonts w:ascii="Arial" w:cs="Arial" w:eastAsia="Arial" w:hAnsi="Arial"/>
                <w:sz w:val="14"/>
                <w:szCs w:val="14"/>
                <w:color w:val="auto"/>
              </w:rPr>
              <w:t>Weighted-average common shares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Outstanding</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4"/>
                <w:szCs w:val="14"/>
                <w:color w:val="auto"/>
              </w:rPr>
              <w:t>Outstanding assuming dilution</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229.5</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36" w:right="339" w:bottom="1440" w:gutter="0" w:footer="0" w:header="0"/>
        </w:sectPr>
      </w:pPr>
    </w:p>
    <w:bookmarkStart w:id="55" w:name="page56"/>
    <w:bookmarkEnd w:id="55"/>
    <w:p>
      <w:pPr>
        <w:ind w:right="160"/>
        <w:spacing w:after="0" w:line="371" w:lineRule="auto"/>
        <w:rPr>
          <w:sz w:val="20"/>
          <w:szCs w:val="20"/>
          <w:color w:val="auto"/>
        </w:rPr>
      </w:pPr>
      <w:r>
        <w:rPr>
          <w:rFonts w:ascii="Arial" w:cs="Arial" w:eastAsia="Arial" w:hAnsi="Arial"/>
          <w:sz w:val="18"/>
          <w:szCs w:val="18"/>
          <w:color w:val="auto"/>
        </w:rPr>
        <w:t>The following table presents investment advisory revenues for the three- and six-month periods ended June 30, 2021 and 2020, including a separate break out of revenue earned from our multi-asset portfolios.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Advisory Revenues (in millions)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gridSpan w:val="6"/>
            <w:shd w:val="clear" w:color="auto" w:fill="CCEEFF"/>
          </w:tcPr>
          <w:p>
            <w:pPr>
              <w:jc w:val="right"/>
              <w:ind w:right="8"/>
              <w:spacing w:after="0"/>
              <w:rPr>
                <w:sz w:val="20"/>
                <w:szCs w:val="20"/>
                <w:color w:val="auto"/>
              </w:rPr>
            </w:pPr>
            <w:r>
              <w:rPr>
                <w:rFonts w:ascii="Arial" w:cs="Arial" w:eastAsia="Arial" w:hAnsi="Arial"/>
                <w:sz w:val="14"/>
                <w:szCs w:val="14"/>
                <w:color w:val="auto"/>
              </w:rPr>
              <w:t>Three months ended</w:t>
            </w:r>
          </w:p>
        </w:tc>
        <w:tc>
          <w:tcPr>
            <w:tcW w:w="5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140" w:type="dxa"/>
            <w:vAlign w:val="bottom"/>
            <w:tcBorders>
              <w:bottom w:val="single" w:sz="8" w:color="auto"/>
            </w:tcBorders>
            <w:gridSpan w:val="8"/>
            <w:shd w:val="clear" w:color="auto" w:fill="CCEEFF"/>
          </w:tcPr>
          <w:p>
            <w:pPr>
              <w:jc w:val="right"/>
              <w:ind w:right="688"/>
              <w:spacing w:after="0"/>
              <w:rPr>
                <w:sz w:val="20"/>
                <w:szCs w:val="20"/>
                <w:color w:val="auto"/>
              </w:rPr>
            </w:pPr>
            <w:r>
              <w:rPr>
                <w:rFonts w:ascii="Arial" w:cs="Arial" w:eastAsia="Arial" w:hAnsi="Arial"/>
                <w:sz w:val="14"/>
                <w:szCs w:val="14"/>
                <w:color w:val="auto"/>
              </w:rPr>
              <w:t>Six months ended</w:t>
            </w:r>
          </w:p>
        </w:tc>
      </w:tr>
      <w:tr>
        <w:trPr>
          <w:trHeight w:val="182"/>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5"/>
          </w:tcPr>
          <w:p>
            <w:pPr>
              <w:jc w:val="right"/>
              <w:ind w:right="248"/>
              <w:spacing w:after="0"/>
              <w:rPr>
                <w:sz w:val="20"/>
                <w:szCs w:val="20"/>
                <w:color w:val="auto"/>
              </w:rPr>
            </w:pPr>
            <w:r>
              <w:rPr>
                <w:rFonts w:ascii="Arial" w:cs="Arial" w:eastAsia="Arial" w:hAnsi="Arial"/>
                <w:sz w:val="14"/>
                <w:szCs w:val="14"/>
                <w:color w:val="auto"/>
              </w:rPr>
              <w:t>6/30/2021</w:t>
            </w:r>
          </w:p>
        </w:tc>
        <w:tc>
          <w:tcPr>
            <w:tcW w:w="1300" w:type="dxa"/>
            <w:vAlign w:val="bottom"/>
            <w:gridSpan w:val="5"/>
          </w:tcPr>
          <w:p>
            <w:pPr>
              <w:jc w:val="right"/>
              <w:ind w:right="168"/>
              <w:spacing w:after="0"/>
              <w:rPr>
                <w:sz w:val="20"/>
                <w:szCs w:val="20"/>
                <w:color w:val="auto"/>
              </w:rPr>
            </w:pPr>
            <w:r>
              <w:rPr>
                <w:rFonts w:ascii="Arial" w:cs="Arial" w:eastAsia="Arial" w:hAnsi="Arial"/>
                <w:sz w:val="14"/>
                <w:szCs w:val="14"/>
                <w:color w:val="auto"/>
              </w:rPr>
              <w:t>6/30/2020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5"/>
          </w:tcPr>
          <w:p>
            <w:pPr>
              <w:jc w:val="right"/>
              <w:ind w:right="108"/>
              <w:spacing w:after="0"/>
              <w:rPr>
                <w:sz w:val="20"/>
                <w:szCs w:val="20"/>
                <w:color w:val="auto"/>
              </w:rPr>
            </w:pPr>
            <w:r>
              <w:rPr>
                <w:rFonts w:ascii="Arial" w:cs="Arial" w:eastAsia="Arial" w:hAnsi="Arial"/>
                <w:sz w:val="14"/>
                <w:szCs w:val="14"/>
                <w:color w:val="auto"/>
              </w:rPr>
              <w:t>6/30/2021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6/30/2020</w:t>
            </w:r>
          </w:p>
        </w:tc>
      </w:tr>
      <w:tr>
        <w:trPr>
          <w:trHeight w:val="16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1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189"/>
        </w:trPr>
        <w:tc>
          <w:tcPr>
            <w:tcW w:w="3900" w:type="dxa"/>
            <w:vAlign w:val="bottom"/>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768.0</w:t>
            </w: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545.9</w:t>
            </w:r>
          </w:p>
        </w:tc>
        <w:tc>
          <w:tcPr>
            <w:tcW w:w="200" w:type="dxa"/>
            <w:vAlign w:val="bottom"/>
            <w:tcBorders>
              <w:right w:val="single" w:sz="8" w:color="auto"/>
            </w:tcBorders>
            <w:gridSpan w:val="2"/>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1,497.8</w:t>
            </w:r>
          </w:p>
        </w:tc>
        <w:tc>
          <w:tcPr>
            <w:tcW w:w="34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1,114.3</w:t>
            </w: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118.9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w:t>
            </w:r>
          </w:p>
        </w:tc>
      </w:tr>
      <w:tr>
        <w:trPr>
          <w:trHeight w:val="189"/>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269.6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210.4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531.0</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446.5</w:t>
            </w:r>
          </w:p>
        </w:tc>
      </w:tr>
      <w:tr>
        <w:trPr>
          <w:trHeight w:val="183"/>
        </w:trPr>
        <w:tc>
          <w:tcPr>
            <w:tcW w:w="3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right w:val="single" w:sz="8" w:color="CCEEFF"/>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1,097.5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823.1</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2,147.7</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1,699.3</w:t>
            </w:r>
          </w:p>
        </w:tc>
      </w:tr>
      <w:tr>
        <w:trPr>
          <w:trHeight w:val="133"/>
        </w:trPr>
        <w:tc>
          <w:tcPr>
            <w:tcW w:w="6340" w:type="dxa"/>
            <w:vAlign w:val="bottom"/>
            <w:gridSpan w:val="8"/>
          </w:tcPr>
          <w:p>
            <w:pPr>
              <w:ind w:left="20"/>
              <w:spacing w:after="0" w:line="133" w:lineRule="exact"/>
              <w:rPr>
                <w:sz w:val="20"/>
                <w:szCs w:val="20"/>
                <w:color w:val="auto"/>
              </w:rPr>
            </w:pPr>
            <w:r>
              <w:rPr>
                <w:rFonts w:ascii="Arial" w:cs="Arial" w:eastAsia="Arial" w:hAnsi="Arial"/>
                <w:sz w:val="14"/>
                <w:szCs w:val="14"/>
                <w:color w:val="auto"/>
              </w:rPr>
              <w:t>Subadvised funds, separate accounts, collective investment trusts, and other investment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1"/>
        </w:trPr>
        <w:tc>
          <w:tcPr>
            <w:tcW w:w="3900" w:type="dxa"/>
            <w:vAlign w:val="bottom"/>
          </w:tcPr>
          <w:p>
            <w:pPr>
              <w:ind w:left="2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446.0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870.2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585.1</w:t>
            </w:r>
          </w:p>
        </w:tc>
      </w:tr>
      <w:tr>
        <w:trPr>
          <w:trHeight w:val="189"/>
        </w:trPr>
        <w:tc>
          <w:tcPr>
            <w:tcW w:w="390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78.3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71.9</w:t>
            </w: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378.8</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265.3</w:t>
            </w:r>
          </w:p>
        </w:tc>
      </w:tr>
      <w:tr>
        <w:trPr>
          <w:trHeight w:val="183"/>
        </w:trPr>
        <w:tc>
          <w:tcPr>
            <w:tcW w:w="39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689.7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470.7</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1,327.3</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922.3</w:t>
            </w: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1,787.2</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1,293.8</w:t>
            </w:r>
          </w:p>
        </w:tc>
        <w:tc>
          <w:tcPr>
            <w:tcW w:w="200" w:type="dxa"/>
            <w:vAlign w:val="bottom"/>
            <w:tcBorders>
              <w:right w:val="single" w:sz="8" w:color="auto"/>
            </w:tcBorders>
            <w:gridSpan w:val="2"/>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3,475.0</w:t>
            </w: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2,621.6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98"/>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Under Management (in billions)</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gridSpan w:val="4"/>
            <w:shd w:val="clear" w:color="auto" w:fill="CCEEFF"/>
          </w:tcPr>
          <w:p>
            <w:pPr>
              <w:jc w:val="right"/>
              <w:ind w:right="88"/>
              <w:spacing w:after="0"/>
              <w:rPr>
                <w:sz w:val="20"/>
                <w:szCs w:val="20"/>
                <w:color w:val="auto"/>
              </w:rPr>
            </w:pPr>
            <w:r>
              <w:rPr>
                <w:rFonts w:ascii="Arial" w:cs="Arial" w:eastAsia="Arial" w:hAnsi="Arial"/>
                <w:sz w:val="14"/>
                <w:szCs w:val="14"/>
                <w:color w:val="auto"/>
              </w:rPr>
              <w:t>Average during</w:t>
            </w: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3"/>
        </w:trPr>
        <w:tc>
          <w:tcPr>
            <w:tcW w:w="3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color w:val="auto"/>
              </w:rPr>
              <w:t>Three months ended</w:t>
            </w:r>
          </w:p>
        </w:tc>
        <w:tc>
          <w:tcPr>
            <w:tcW w:w="14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color w:val="auto"/>
              </w:rPr>
              <w:t>Six months ended</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w:t>
            </w:r>
          </w:p>
        </w:tc>
        <w:tc>
          <w:tcPr>
            <w:tcW w:w="980" w:type="dxa"/>
            <w:vAlign w:val="bottom"/>
            <w:tcBorders>
              <w:bottom w:val="single" w:sz="8" w:color="auto"/>
            </w:tcBorders>
          </w:tcPr>
          <w:p>
            <w:pPr>
              <w:spacing w:after="0"/>
              <w:rPr>
                <w:sz w:val="15"/>
                <w:szCs w:val="15"/>
                <w:color w:val="auto"/>
              </w:rPr>
            </w:pPr>
          </w:p>
        </w:tc>
      </w:tr>
      <w:tr>
        <w:trPr>
          <w:trHeight w:val="183"/>
        </w:trPr>
        <w:tc>
          <w:tcPr>
            <w:tcW w:w="3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6/30/2021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6/30/2020</w:t>
            </w:r>
          </w:p>
        </w:tc>
        <w:tc>
          <w:tcPr>
            <w:tcW w:w="140" w:type="dxa"/>
            <w:vAlign w:val="bottom"/>
            <w:tcBorders>
              <w:right w:val="single" w:sz="8" w:color="auto"/>
            </w:tcBorders>
            <w:shd w:val="clear" w:color="auto" w:fill="CCEEFF"/>
          </w:tcPr>
          <w:p>
            <w:pPr>
              <w:spacing w:after="0"/>
              <w:rPr>
                <w:sz w:val="15"/>
                <w:szCs w:val="15"/>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6/30/2021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5"/>
            <w:shd w:val="clear" w:color="auto" w:fill="CCEEFF"/>
          </w:tcPr>
          <w:p>
            <w:pPr>
              <w:jc w:val="right"/>
              <w:ind w:right="8"/>
              <w:spacing w:after="0"/>
              <w:rPr>
                <w:sz w:val="20"/>
                <w:szCs w:val="20"/>
                <w:color w:val="auto"/>
              </w:rPr>
            </w:pPr>
            <w:r>
              <w:rPr>
                <w:rFonts w:ascii="Arial" w:cs="Arial" w:eastAsia="Arial" w:hAnsi="Arial"/>
                <w:sz w:val="14"/>
                <w:szCs w:val="14"/>
                <w:color w:val="auto"/>
              </w:rPr>
              <w:t>6/30/2020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6/30/2021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12/31/2020</w:t>
            </w: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color w:val="auto"/>
              </w:rPr>
              <w:t>U.S. mutual funds</w:t>
            </w: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374.5</w:t>
            </w:r>
          </w:p>
        </w:tc>
        <w:tc>
          <w:tcPr>
            <w:tcW w:w="140" w:type="dxa"/>
            <w:vAlign w:val="bottom"/>
            <w:tcBorders>
              <w:right w:val="single" w:sz="8" w:color="auto"/>
            </w:tcBorders>
            <w:shd w:val="clear" w:color="auto" w:fill="CCEEFF"/>
          </w:tcPr>
          <w:p>
            <w:pPr>
              <w:spacing w:after="0"/>
              <w:rPr>
                <w:sz w:val="16"/>
                <w:szCs w:val="16"/>
                <w:color w:val="auto"/>
              </w:rPr>
            </w:pPr>
          </w:p>
        </w:tc>
        <w:tc>
          <w:tcPr>
            <w:tcW w:w="6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6"/>
              </w:rPr>
              <w:t>381.4</w:t>
            </w:r>
          </w:p>
        </w:tc>
        <w:tc>
          <w:tcPr>
            <w:tcW w:w="180" w:type="dxa"/>
            <w:vAlign w:val="bottom"/>
            <w:tcBorders>
              <w:right w:val="single" w:sz="8" w:color="auto"/>
            </w:tcBorders>
            <w:gridSpan w:val="2"/>
            <w:shd w:val="clear" w:color="auto" w:fill="CCEEFF"/>
          </w:tcPr>
          <w:p>
            <w:pPr>
              <w:spacing w:after="0"/>
              <w:rPr>
                <w:sz w:val="16"/>
                <w:szCs w:val="16"/>
                <w:color w:val="auto"/>
              </w:rPr>
            </w:pP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550.3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498.6</w:t>
            </w:r>
          </w:p>
        </w:tc>
      </w:tr>
      <w:tr>
        <w:trPr>
          <w:trHeight w:val="189"/>
        </w:trPr>
        <w:tc>
          <w:tcPr>
            <w:tcW w:w="390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74.2</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84.1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4"/>
                <w:szCs w:val="14"/>
                <w:color w:val="auto"/>
              </w:rPr>
              <w:t>75.0</w:t>
            </w:r>
          </w:p>
        </w:tc>
        <w:tc>
          <w:tcPr>
            <w:tcW w:w="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79.4</w:t>
            </w: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226.3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6"/>
              </w:rPr>
              <w:t>185.1</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229.3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216.6</w:t>
            </w:r>
          </w:p>
        </w:tc>
      </w:tr>
      <w:tr>
        <w:trPr>
          <w:trHeight w:val="222"/>
        </w:trPr>
        <w:tc>
          <w:tcPr>
            <w:tcW w:w="3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628.6</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831.3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w w:val="96"/>
              </w:rPr>
              <w:t>641.5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865.8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794.6</w:t>
            </w:r>
          </w:p>
        </w:tc>
      </w:tr>
      <w:tr>
        <w:trPr>
          <w:trHeight w:val="153"/>
        </w:trPr>
        <w:tc>
          <w:tcPr>
            <w:tcW w:w="3900" w:type="dxa"/>
            <w:vAlign w:val="bottom"/>
            <w:tcBorders>
              <w:top w:val="single" w:sz="8" w:color="CCEEFF"/>
            </w:tcBorders>
          </w:tcPr>
          <w:p>
            <w:pPr>
              <w:ind w:left="20"/>
              <w:spacing w:after="0" w:line="153" w:lineRule="exact"/>
              <w:rPr>
                <w:sz w:val="20"/>
                <w:szCs w:val="20"/>
                <w:color w:val="auto"/>
              </w:rPr>
            </w:pPr>
            <w:r>
              <w:rPr>
                <w:rFonts w:ascii="Arial" w:cs="Arial" w:eastAsia="Arial" w:hAnsi="Arial"/>
                <w:sz w:val="14"/>
                <w:szCs w:val="14"/>
                <w:color w:val="auto"/>
              </w:rPr>
              <w:t>Subadvised funds, separate accounts, collective investment</w:t>
            </w:r>
          </w:p>
        </w:tc>
        <w:tc>
          <w:tcPr>
            <w:tcW w:w="18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40" w:type="dxa"/>
            <w:vAlign w:val="bottom"/>
            <w:tcBorders>
              <w:top w:val="single" w:sz="8" w:color="CCEEFF"/>
              <w:right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right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r>
      <w:tr>
        <w:trPr>
          <w:trHeight w:val="171"/>
        </w:trPr>
        <w:tc>
          <w:tcPr>
            <w:tcW w:w="3900" w:type="dxa"/>
            <w:vAlign w:val="bottom"/>
          </w:tcPr>
          <w:p>
            <w:pPr>
              <w:ind w:left="20"/>
              <w:spacing w:after="0"/>
              <w:rPr>
                <w:sz w:val="20"/>
                <w:szCs w:val="20"/>
                <w:color w:val="auto"/>
              </w:rPr>
            </w:pPr>
            <w:r>
              <w:rPr>
                <w:rFonts w:ascii="Arial" w:cs="Arial" w:eastAsia="Arial" w:hAnsi="Arial"/>
                <w:sz w:val="14"/>
                <w:szCs w:val="14"/>
                <w:color w:val="auto"/>
              </w:rPr>
              <w:t>trusts, and other investment products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293.2</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6"/>
              </w:rPr>
              <w:t>285.3</w:t>
            </w:r>
          </w:p>
        </w:tc>
        <w:tc>
          <w:tcPr>
            <w:tcW w:w="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434.8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397.2</w:t>
            </w:r>
          </w:p>
        </w:tc>
      </w:tr>
      <w:tr>
        <w:trPr>
          <w:trHeight w:val="189"/>
        </w:trPr>
        <w:tc>
          <w:tcPr>
            <w:tcW w:w="390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77.1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4"/>
                <w:szCs w:val="14"/>
                <w:color w:val="auto"/>
              </w:rPr>
              <w:t>79.2</w:t>
            </w:r>
          </w:p>
        </w:tc>
        <w:tc>
          <w:tcPr>
            <w:tcW w:w="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89.3</w:t>
            </w: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6"/>
              </w:rPr>
              <w:t>145.4</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230.0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189.4</w:t>
            </w:r>
          </w:p>
        </w:tc>
      </w:tr>
      <w:tr>
        <w:trPr>
          <w:trHeight w:val="183"/>
        </w:trPr>
        <w:tc>
          <w:tcPr>
            <w:tcW w:w="3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511.6</w:t>
            </w:r>
          </w:p>
        </w:tc>
        <w:tc>
          <w:tcPr>
            <w:tcW w:w="14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715.8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w w:val="96"/>
              </w:rPr>
              <w:t>509.9</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757.3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675.9</w:t>
            </w:r>
          </w:p>
        </w:tc>
      </w:tr>
      <w:tr>
        <w:trPr>
          <w:trHeight w:val="20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1,585.3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1,140.2</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1,547.1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6"/>
            <w:shd w:val="clear" w:color="auto" w:fill="CCEEFF"/>
          </w:tcPr>
          <w:p>
            <w:pPr>
              <w:jc w:val="right"/>
              <w:ind w:right="20"/>
              <w:spacing w:after="0"/>
              <w:rPr>
                <w:sz w:val="20"/>
                <w:szCs w:val="20"/>
                <w:color w:val="auto"/>
              </w:rPr>
            </w:pPr>
            <w:r>
              <w:rPr>
                <w:rFonts w:ascii="Arial" w:cs="Arial" w:eastAsia="Arial" w:hAnsi="Arial"/>
                <w:sz w:val="14"/>
                <w:szCs w:val="14"/>
                <w:color w:val="auto"/>
              </w:rPr>
              <w:t>1,151.4</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1,623.1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1,470.5</w:t>
            </w: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38"/>
        </w:trPr>
        <w:tc>
          <w:tcPr>
            <w:tcW w:w="634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5"/>
          </w:tcPr>
          <w:p>
            <w:pPr>
              <w:spacing w:after="0"/>
              <w:rPr>
                <w:sz w:val="24"/>
                <w:szCs w:val="24"/>
                <w:color w:val="auto"/>
              </w:rPr>
            </w:pPr>
          </w:p>
        </w:tc>
      </w:tr>
      <w:tr>
        <w:trPr>
          <w:trHeight w:val="189"/>
        </w:trPr>
        <w:tc>
          <w:tcPr>
            <w:tcW w:w="634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20" w:type="dxa"/>
            <w:vAlign w:val="bottom"/>
            <w:gridSpan w:val="10"/>
            <w:shd w:val="clear" w:color="auto" w:fill="CCEEFF"/>
          </w:tcPr>
          <w:p>
            <w:pPr>
              <w:jc w:val="center"/>
              <w:ind w:right="120"/>
              <w:spacing w:after="0"/>
              <w:rPr>
                <w:sz w:val="20"/>
                <w:szCs w:val="20"/>
                <w:color w:val="auto"/>
              </w:rPr>
            </w:pPr>
            <w:r>
              <w:rPr>
                <w:rFonts w:ascii="Arial" w:cs="Arial" w:eastAsia="Arial" w:hAnsi="Arial"/>
                <w:sz w:val="14"/>
                <w:szCs w:val="14"/>
                <w:color w:val="auto"/>
              </w:rPr>
              <w:t>Three months ended</w:t>
            </w:r>
          </w:p>
        </w:tc>
        <w:tc>
          <w:tcPr>
            <w:tcW w:w="40" w:type="dxa"/>
            <w:vAlign w:val="bottom"/>
            <w:shd w:val="clear" w:color="auto" w:fill="CCEEFF"/>
          </w:tcPr>
          <w:p>
            <w:pPr>
              <w:spacing w:after="0"/>
              <w:rPr>
                <w:sz w:val="16"/>
                <w:szCs w:val="16"/>
                <w:color w:val="auto"/>
              </w:rPr>
            </w:pPr>
          </w:p>
        </w:tc>
        <w:tc>
          <w:tcPr>
            <w:tcW w:w="1400" w:type="dxa"/>
            <w:vAlign w:val="bottom"/>
            <w:gridSpan w:val="5"/>
            <w:shd w:val="clear" w:color="auto" w:fill="CCEEFF"/>
          </w:tcPr>
          <w:p>
            <w:pPr>
              <w:jc w:val="right"/>
              <w:ind w:right="68"/>
              <w:spacing w:after="0"/>
              <w:rPr>
                <w:sz w:val="20"/>
                <w:szCs w:val="20"/>
                <w:color w:val="auto"/>
              </w:rPr>
            </w:pPr>
            <w:r>
              <w:rPr>
                <w:rFonts w:ascii="Arial" w:cs="Arial" w:eastAsia="Arial" w:hAnsi="Arial"/>
                <w:sz w:val="14"/>
                <w:szCs w:val="14"/>
                <w:color w:val="auto"/>
              </w:rPr>
              <w:t>Six months ended</w:t>
            </w:r>
          </w:p>
        </w:tc>
      </w:tr>
      <w:tr>
        <w:trPr>
          <w:trHeight w:val="18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billions)</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5"/>
          </w:tcPr>
          <w:p>
            <w:pPr>
              <w:jc w:val="center"/>
              <w:ind w:right="328"/>
              <w:spacing w:after="0"/>
              <w:rPr>
                <w:sz w:val="20"/>
                <w:szCs w:val="20"/>
                <w:color w:val="auto"/>
              </w:rPr>
            </w:pPr>
            <w:r>
              <w:rPr>
                <w:rFonts w:ascii="Arial" w:cs="Arial" w:eastAsia="Arial" w:hAnsi="Arial"/>
                <w:sz w:val="14"/>
                <w:szCs w:val="14"/>
                <w:color w:val="auto"/>
              </w:rPr>
              <w:t>6/30/2021</w:t>
            </w:r>
          </w:p>
        </w:tc>
        <w:tc>
          <w:tcPr>
            <w:tcW w:w="10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gridSpan w:val="2"/>
          </w:tcPr>
          <w:p>
            <w:pPr>
              <w:jc w:val="right"/>
              <w:ind w:right="328"/>
              <w:spacing w:after="0"/>
              <w:rPr>
                <w:sz w:val="20"/>
                <w:szCs w:val="20"/>
                <w:color w:val="auto"/>
              </w:rPr>
            </w:pPr>
            <w:r>
              <w:rPr>
                <w:rFonts w:ascii="Arial" w:cs="Arial" w:eastAsia="Arial" w:hAnsi="Arial"/>
                <w:sz w:val="14"/>
                <w:szCs w:val="14"/>
                <w:color w:val="auto"/>
              </w:rPr>
              <w:t>6/30/2021</w:t>
            </w:r>
          </w:p>
        </w:tc>
      </w:tr>
      <w:tr>
        <w:trPr>
          <w:trHeight w:val="16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3900" w:type="dxa"/>
            <w:vAlign w:val="bottom"/>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89"/>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183"/>
        </w:trPr>
        <w:tc>
          <w:tcPr>
            <w:tcW w:w="3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69"/>
        </w:trPr>
        <w:tc>
          <w:tcPr>
            <w:tcW w:w="6340" w:type="dxa"/>
            <w:vAlign w:val="bottom"/>
            <w:gridSpan w:val="8"/>
          </w:tcPr>
          <w:p>
            <w:pPr>
              <w:ind w:left="20"/>
              <w:spacing w:after="0"/>
              <w:rPr>
                <w:sz w:val="20"/>
                <w:szCs w:val="20"/>
                <w:color w:val="auto"/>
              </w:rPr>
            </w:pPr>
            <w:r>
              <w:rPr>
                <w:rFonts w:ascii="Arial" w:cs="Arial" w:eastAsia="Arial" w:hAnsi="Arial"/>
                <w:sz w:val="14"/>
                <w:szCs w:val="14"/>
                <w:color w:val="auto"/>
              </w:rPr>
              <w:t>Subadvised funds, separate accounts, collective investment trusts, and other investment products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89"/>
        </w:trPr>
        <w:tc>
          <w:tcPr>
            <w:tcW w:w="390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83"/>
        </w:trPr>
        <w:tc>
          <w:tcPr>
            <w:tcW w:w="39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r>
      <w:tr>
        <w:trPr>
          <w:trHeight w:val="20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cash flows after client transfers</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8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9"/>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(Loss) (in millions)</w:t>
            </w:r>
          </w:p>
        </w:tc>
        <w:tc>
          <w:tcPr>
            <w:tcW w:w="220" w:type="dxa"/>
            <w:vAlign w:val="bottom"/>
            <w:shd w:val="clear" w:color="auto" w:fill="CCEEFF"/>
          </w:tcPr>
          <w:p>
            <w:pPr>
              <w:spacing w:after="0"/>
              <w:rPr>
                <w:sz w:val="16"/>
                <w:szCs w:val="16"/>
                <w:color w:val="auto"/>
              </w:rPr>
            </w:pPr>
          </w:p>
        </w:tc>
        <w:tc>
          <w:tcPr>
            <w:tcW w:w="2640" w:type="dxa"/>
            <w:vAlign w:val="bottom"/>
            <w:tcBorders>
              <w:right w:val="single" w:sz="8" w:color="auto"/>
            </w:tcBorders>
            <w:gridSpan w:val="5"/>
            <w:shd w:val="clear" w:color="auto" w:fill="CCEEFF"/>
          </w:tcPr>
          <w:p>
            <w:pPr>
              <w:ind w:left="480"/>
              <w:spacing w:after="0"/>
              <w:rPr>
                <w:sz w:val="20"/>
                <w:szCs w:val="20"/>
                <w:color w:val="auto"/>
              </w:rPr>
            </w:pPr>
            <w:r>
              <w:rPr>
                <w:rFonts w:ascii="Arial" w:cs="Arial" w:eastAsia="Arial" w:hAnsi="Arial"/>
                <w:sz w:val="14"/>
                <w:szCs w:val="14"/>
                <w:color w:val="auto"/>
              </w:rPr>
              <w:t>Three months ended</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540" w:type="dxa"/>
            <w:vAlign w:val="bottom"/>
            <w:gridSpan w:val="4"/>
            <w:shd w:val="clear" w:color="auto" w:fill="CCEEFF"/>
          </w:tcPr>
          <w:p>
            <w:pPr>
              <w:jc w:val="right"/>
              <w:ind w:right="728"/>
              <w:spacing w:after="0"/>
              <w:rPr>
                <w:sz w:val="20"/>
                <w:szCs w:val="20"/>
                <w:color w:val="auto"/>
              </w:rPr>
            </w:pPr>
            <w:r>
              <w:rPr>
                <w:rFonts w:ascii="Arial" w:cs="Arial" w:eastAsia="Arial" w:hAnsi="Arial"/>
                <w:sz w:val="14"/>
                <w:szCs w:val="14"/>
                <w:color w:val="auto"/>
              </w:rPr>
              <w:t>Six months ended</w:t>
            </w:r>
          </w:p>
        </w:tc>
      </w:tr>
      <w:tr>
        <w:trPr>
          <w:trHeight w:val="183"/>
        </w:trPr>
        <w:tc>
          <w:tcPr>
            <w:tcW w:w="55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6/30/2021</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6/30/2020</w:t>
            </w:r>
          </w:p>
        </w:tc>
        <w:tc>
          <w:tcPr>
            <w:tcW w:w="14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6/30/2021</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6/30/2020</w:t>
            </w:r>
          </w:p>
        </w:tc>
      </w:tr>
      <w:tr>
        <w:trPr>
          <w:trHeight w:val="169"/>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Cash and discretionary investments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189"/>
        </w:trPr>
        <w:tc>
          <w:tcPr>
            <w:tcW w:w="5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Market related gains and equity in earnings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183"/>
        </w:trPr>
        <w:tc>
          <w:tcPr>
            <w:tcW w:w="5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net gains from cash and discretionary investments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85.8</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24.6</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Seed capital investments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5540" w:type="dxa"/>
            <w:vAlign w:val="bottom"/>
          </w:tcPr>
          <w:p>
            <w:pPr>
              <w:ind w:left="220"/>
              <w:spacing w:after="0"/>
              <w:rPr>
                <w:sz w:val="20"/>
                <w:szCs w:val="20"/>
                <w:color w:val="auto"/>
              </w:rPr>
            </w:pPr>
            <w:r>
              <w:rPr>
                <w:rFonts w:ascii="Arial" w:cs="Arial" w:eastAsia="Arial" w:hAnsi="Arial"/>
                <w:sz w:val="14"/>
                <w:szCs w:val="14"/>
                <w:color w:val="auto"/>
              </w:rPr>
              <w:t>Market related gains (losses) and equity in earnings (losses)</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9"/>
        </w:trPr>
        <w:tc>
          <w:tcPr>
            <w:tcW w:w="5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 recognized upon deconsolidation</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183"/>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net gains from non-consolidated T. Rowe Price investment products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178.8</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w:t>
            </w:r>
          </w:p>
        </w:tc>
      </w:tr>
      <w:tr>
        <w:trPr>
          <w:trHeight w:val="189"/>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investment income (losses)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gains on investments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170.6</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w:t>
            </w:r>
          </w:p>
        </w:tc>
      </w:tr>
      <w:tr>
        <w:trPr>
          <w:trHeight w:val="189"/>
        </w:trPr>
        <w:tc>
          <w:tcPr>
            <w:tcW w:w="5540" w:type="dxa"/>
            <w:vAlign w:val="bottom"/>
          </w:tcPr>
          <w:p>
            <w:pPr>
              <w:ind w:left="20"/>
              <w:spacing w:after="0"/>
              <w:rPr>
                <w:sz w:val="20"/>
                <w:szCs w:val="20"/>
                <w:color w:val="auto"/>
              </w:rPr>
            </w:pPr>
            <w:r>
              <w:rPr>
                <w:rFonts w:ascii="Arial" w:cs="Arial" w:eastAsia="Arial" w:hAnsi="Arial"/>
                <w:sz w:val="14"/>
                <w:szCs w:val="14"/>
                <w:color w:val="auto"/>
              </w:rPr>
              <w:t>Net gains (losses) on consolidated sponsored investment portfolios</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242.4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(87.9)</w:t>
            </w:r>
          </w:p>
        </w:tc>
      </w:tr>
      <w:tr>
        <w:trPr>
          <w:trHeight w:val="189"/>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(loss), including foreign currency gains and losses</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223"/>
        </w:trPr>
        <w:tc>
          <w:tcPr>
            <w:tcW w:w="554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415.1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Unaudited Condensed Consolidated Cash Flows Information (in millions)</w:t>
      </w:r>
    </w:p>
    <w:p>
      <w:pPr>
        <w:spacing w:after="0" w:line="46" w:lineRule="exact"/>
        <w:rPr>
          <w:sz w:val="20"/>
          <w:szCs w:val="20"/>
          <w:color w:val="auto"/>
        </w:rPr>
      </w:pPr>
    </w:p>
    <w:p>
      <w:pPr>
        <w:ind w:left="6400"/>
        <w:spacing w:after="0"/>
        <w:rPr>
          <w:sz w:val="20"/>
          <w:szCs w:val="20"/>
          <w:color w:val="auto"/>
        </w:rPr>
      </w:pPr>
      <w:r>
        <w:rPr>
          <w:rFonts w:ascii="Arial" w:cs="Arial" w:eastAsia="Arial" w:hAnsi="Arial"/>
          <w:sz w:val="14"/>
          <w:szCs w:val="14"/>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line="215" w:lineRule="auto"/>
        <w:rPr>
          <w:sz w:val="20"/>
          <w:szCs w:val="20"/>
          <w:color w:val="auto"/>
        </w:rPr>
      </w:pPr>
      <w:r>
        <w:rPr>
          <w:rFonts w:ascii="Arial" w:cs="Arial" w:eastAsia="Arial" w:hAnsi="Arial"/>
          <w:sz w:val="14"/>
          <w:szCs w:val="14"/>
          <w:color w:val="auto"/>
        </w:rPr>
        <w:t>Cash provided by (used in) operating activities, including $113.9 of stock-based compensation expense and $99.4 of depreciation expense in 2021</w:t>
      </w:r>
    </w:p>
    <w:p>
      <w:pPr>
        <w:spacing w:after="0" w:line="17" w:lineRule="exact"/>
        <w:rPr>
          <w:sz w:val="20"/>
          <w:szCs w:val="20"/>
          <w:color w:val="auto"/>
        </w:rPr>
      </w:pPr>
    </w:p>
    <w:p>
      <w:pPr>
        <w:ind w:left="20" w:right="60"/>
        <w:spacing w:after="0" w:line="210" w:lineRule="auto"/>
        <w:rPr>
          <w:sz w:val="20"/>
          <w:szCs w:val="20"/>
          <w:color w:val="auto"/>
        </w:rPr>
      </w:pPr>
      <w:r>
        <w:rPr>
          <w:rFonts w:ascii="Arial" w:cs="Arial" w:eastAsia="Arial" w:hAnsi="Arial"/>
          <w:sz w:val="14"/>
          <w:szCs w:val="14"/>
          <w:color w:val="auto"/>
        </w:rPr>
        <w:t>Cash provided by (used in) investing activities, including $(121.8) for additions to property and equipment, $(30.6) of purchases and $190.7 of dispositions to T. Rowe Price investment products in 2021</w:t>
      </w:r>
    </w:p>
    <w:p>
      <w:pPr>
        <w:spacing w:after="0" w:line="19" w:lineRule="exact"/>
        <w:rPr>
          <w:sz w:val="20"/>
          <w:szCs w:val="20"/>
          <w:color w:val="auto"/>
        </w:rPr>
      </w:pPr>
    </w:p>
    <w:p>
      <w:pPr>
        <w:ind w:left="20" w:right="100"/>
        <w:spacing w:after="0" w:line="215" w:lineRule="auto"/>
        <w:rPr>
          <w:sz w:val="20"/>
          <w:szCs w:val="20"/>
          <w:color w:val="auto"/>
        </w:rPr>
      </w:pPr>
      <w:r>
        <w:rPr>
          <w:rFonts w:ascii="Arial" w:cs="Arial" w:eastAsia="Arial" w:hAnsi="Arial"/>
          <w:sz w:val="14"/>
          <w:szCs w:val="14"/>
          <w:color w:val="auto"/>
        </w:rPr>
        <w:t>Cash provided by (used in) financing activities, including T. Rowe Price common stock repurchases of $(311.4)* and dividends paid of $(505.1) in 2021</w:t>
      </w:r>
    </w:p>
    <w:p>
      <w:pPr>
        <w:spacing w:after="0" w:line="17" w:lineRule="exact"/>
        <w:rPr>
          <w:sz w:val="20"/>
          <w:szCs w:val="20"/>
          <w:color w:val="auto"/>
        </w:rPr>
      </w:pPr>
    </w:p>
    <w:p>
      <w:pPr>
        <w:ind w:left="20" w:right="40"/>
        <w:spacing w:after="0" w:line="229"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17" w:lineRule="exact"/>
        <w:rPr>
          <w:sz w:val="20"/>
          <w:szCs w:val="20"/>
          <w:color w:val="auto"/>
        </w:rPr>
      </w:pPr>
    </w:p>
    <w:p>
      <w:pPr>
        <w:ind w:left="20" w:right="40"/>
        <w:spacing w:after="0" w:line="229"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6/30/2021</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6/30/2020</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200"/>
              <w:spacing w:after="0" w:line="147" w:lineRule="exact"/>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220"/>
              <w:spacing w:after="0" w:line="147" w:lineRule="exact"/>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1"/>
                <w:szCs w:val="11"/>
                <w:color w:val="auto"/>
              </w:rPr>
            </w:pPr>
          </w:p>
        </w:tc>
        <w:tc>
          <w:tcPr>
            <w:tcW w:w="174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rPr>
              <w:t>consolidated</w:t>
            </w:r>
          </w:p>
        </w:tc>
        <w:tc>
          <w:tcPr>
            <w:tcW w:w="1160" w:type="dxa"/>
            <w:vAlign w:val="bottom"/>
            <w:tcBorders>
              <w:right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color w:val="auto"/>
              </w:rPr>
              <w:t>As reported on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1"/>
                <w:szCs w:val="11"/>
                <w:color w:val="auto"/>
              </w:rPr>
            </w:pPr>
          </w:p>
        </w:tc>
        <w:tc>
          <w:tcPr>
            <w:tcW w:w="176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rPr>
              <w:t>consolidated</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30"/>
        </w:trPr>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40" w:type="dxa"/>
            <w:vAlign w:val="bottom"/>
            <w:gridSpan w:val="3"/>
          </w:tcPr>
          <w:p>
            <w:pPr>
              <w:jc w:val="center"/>
              <w:ind w:right="100"/>
              <w:spacing w:after="0" w:line="131" w:lineRule="exact"/>
              <w:rPr>
                <w:sz w:val="20"/>
                <w:szCs w:val="20"/>
                <w:color w:val="auto"/>
              </w:rPr>
            </w:pPr>
            <w:r>
              <w:rPr>
                <w:rFonts w:ascii="Arial" w:cs="Arial" w:eastAsia="Arial" w:hAnsi="Arial"/>
                <w:sz w:val="14"/>
                <w:szCs w:val="14"/>
                <w:color w:val="auto"/>
              </w:rPr>
              <w:t>T. Rowe Price investment</w:t>
            </w:r>
          </w:p>
        </w:tc>
        <w:tc>
          <w:tcPr>
            <w:tcW w:w="1160" w:type="dxa"/>
            <w:vAlign w:val="bottom"/>
            <w:tcBorders>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60" w:type="dxa"/>
            <w:vAlign w:val="bottom"/>
            <w:gridSpan w:val="3"/>
          </w:tcPr>
          <w:p>
            <w:pPr>
              <w:jc w:val="center"/>
              <w:ind w:right="120"/>
              <w:spacing w:after="0" w:line="131" w:lineRule="exact"/>
              <w:rPr>
                <w:sz w:val="20"/>
                <w:szCs w:val="20"/>
                <w:color w:val="auto"/>
              </w:rPr>
            </w:pPr>
            <w:r>
              <w:rPr>
                <w:rFonts w:ascii="Arial" w:cs="Arial" w:eastAsia="Arial" w:hAnsi="Arial"/>
                <w:sz w:val="14"/>
                <w:szCs w:val="14"/>
                <w:color w:val="auto"/>
              </w:rPr>
              <w:t>T. Rowe Price investment</w:t>
            </w: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attributable to T.</w:t>
            </w:r>
          </w:p>
        </w:tc>
        <w:tc>
          <w:tcPr>
            <w:tcW w:w="100" w:type="dxa"/>
            <w:vAlign w:val="bottom"/>
          </w:tcPr>
          <w:p>
            <w:pPr>
              <w:spacing w:after="0"/>
              <w:rPr>
                <w:sz w:val="11"/>
                <w:szCs w:val="11"/>
                <w:color w:val="auto"/>
              </w:rPr>
            </w:pPr>
          </w:p>
        </w:tc>
        <w:tc>
          <w:tcPr>
            <w:tcW w:w="174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rPr>
              <w:t>products, net of</w:t>
            </w:r>
          </w:p>
        </w:tc>
        <w:tc>
          <w:tcPr>
            <w:tcW w:w="12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4"/>
                <w:szCs w:val="14"/>
                <w:color w:val="auto"/>
              </w:rPr>
              <w:t>statement of</w:t>
            </w:r>
          </w:p>
        </w:tc>
        <w:tc>
          <w:tcPr>
            <w:tcW w:w="8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attributable to T.</w:t>
            </w:r>
          </w:p>
        </w:tc>
        <w:tc>
          <w:tcPr>
            <w:tcW w:w="100" w:type="dxa"/>
            <w:vAlign w:val="bottom"/>
          </w:tcPr>
          <w:p>
            <w:pPr>
              <w:spacing w:after="0"/>
              <w:rPr>
                <w:sz w:val="11"/>
                <w:szCs w:val="11"/>
                <w:color w:val="auto"/>
              </w:rPr>
            </w:pPr>
          </w:p>
        </w:tc>
        <w:tc>
          <w:tcPr>
            <w:tcW w:w="176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rPr>
              <w:t>products, net of</w:t>
            </w:r>
          </w:p>
        </w:tc>
        <w:tc>
          <w:tcPr>
            <w:tcW w:w="12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4"/>
                <w:szCs w:val="14"/>
                <w:color w:val="auto"/>
              </w:rPr>
              <w:t>statement of</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5"/>
                <w:szCs w:val="15"/>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cash flows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5"/>
                <w:szCs w:val="15"/>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576"/>
        </w:trPr>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2,025.2</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(223.2)</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1,802.0</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1,690.7</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1,640.7</w:t>
            </w:r>
          </w:p>
        </w:tc>
        <w:tc>
          <w:tcPr>
            <w:tcW w:w="0" w:type="dxa"/>
            <w:vAlign w:val="bottom"/>
          </w:tcPr>
          <w:p>
            <w:pPr>
              <w:spacing w:after="0"/>
              <w:rPr>
                <w:sz w:val="1"/>
                <w:szCs w:val="1"/>
                <w:color w:val="auto"/>
              </w:rPr>
            </w:pPr>
          </w:p>
        </w:tc>
      </w:tr>
      <w:tr>
        <w:trPr>
          <w:trHeight w:val="864"/>
        </w:trPr>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(791.8)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299.1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(492.7)</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(1,398.8)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(1,311.1)</w:t>
            </w:r>
          </w:p>
        </w:tc>
        <w:tc>
          <w:tcPr>
            <w:tcW w:w="0" w:type="dxa"/>
            <w:vAlign w:val="bottom"/>
          </w:tcPr>
          <w:p>
            <w:pPr>
              <w:spacing w:after="0"/>
              <w:rPr>
                <w:sz w:val="1"/>
                <w:szCs w:val="1"/>
                <w:color w:val="auto"/>
              </w:rPr>
            </w:pPr>
          </w:p>
        </w:tc>
      </w:tr>
      <w:tr>
        <w:trPr>
          <w:trHeight w:val="322"/>
        </w:trPr>
        <w:tc>
          <w:tcPr>
            <w:tcW w:w="16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317"/>
        </w:trPr>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1,363.2</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1,314.5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276.3</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-1731010</wp:posOffset>
            </wp:positionV>
            <wp:extent cx="7132320" cy="377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-805180</wp:posOffset>
            </wp:positionV>
            <wp:extent cx="7132320" cy="377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-222250</wp:posOffset>
            </wp:positionV>
            <wp:extent cx="713232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2680" w:space="20"/>
            <w:col w:w="8540"/>
          </w:cols>
          <w:pgMar w:left="320" w:top="1058" w:right="339" w:bottom="1440" w:gutter="0" w:footer="0" w:header="0"/>
          <w:type w:val="continuous"/>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i w:val="1"/>
          <w:iCs w:val="1"/>
          <w:color w:val="auto"/>
        </w:rPr>
        <w:t>Cash flows for stock repurchases reflect the impact of the timing of the settlement of these transactions at each period beginning and end.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58" w:right="339" w:bottom="1440" w:gutter="0" w:footer="0" w:header="0"/>
          <w:type w:val="continuous"/>
        </w:sectPr>
      </w:pPr>
    </w:p>
    <w:bookmarkStart w:id="57" w:name="page58"/>
    <w:bookmarkEnd w:id="57"/>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t>Unaudited Condensed Consolidated Balance Sheet Information (in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6350</wp:posOffset>
            </wp:positionV>
            <wp:extent cx="18859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8880" w:space="720"/>
            <w:col w:w="1620"/>
          </w:cols>
          <w:pgMar w:left="320" w:top="1058" w:right="359" w:bottom="1440" w:gutter="0" w:footer="0" w:header="0"/>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Accounts receivable and accrued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Assets of consolidated T. Rowe Price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assets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assets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Supplemental savings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8" w:lineRule="exact"/>
        <w:rPr>
          <w:sz w:val="20"/>
          <w:szCs w:val="20"/>
          <w:color w:val="auto"/>
        </w:rPr>
      </w:pPr>
    </w:p>
    <w:p>
      <w:pPr>
        <w:ind w:left="20" w:right="360"/>
        <w:spacing w:after="0" w:line="229" w:lineRule="auto"/>
        <w:rPr>
          <w:sz w:val="20"/>
          <w:szCs w:val="20"/>
          <w:color w:val="auto"/>
        </w:rPr>
      </w:pPr>
      <w:r>
        <w:rPr>
          <w:rFonts w:ascii="Arial" w:cs="Arial" w:eastAsia="Arial" w:hAnsi="Arial"/>
          <w:sz w:val="14"/>
          <w:szCs w:val="14"/>
          <w:color w:val="auto"/>
        </w:rPr>
        <w:t>Total other liabilities, includes $31.0 at June 30, 2021, and $57.7 at December 31, 2020, from consolidated T. Rowe Price investment products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8" w:lineRule="exact"/>
        <w:rPr>
          <w:sz w:val="20"/>
          <w:szCs w:val="20"/>
          <w:color w:val="auto"/>
        </w:rPr>
      </w:pPr>
    </w:p>
    <w:p>
      <w:pPr>
        <w:ind w:left="20"/>
        <w:spacing w:after="0" w:line="229" w:lineRule="auto"/>
        <w:rPr>
          <w:sz w:val="20"/>
          <w:szCs w:val="20"/>
          <w:color w:val="auto"/>
        </w:rPr>
      </w:pPr>
      <w:r>
        <w:rPr>
          <w:rFonts w:ascii="Arial" w:cs="Arial" w:eastAsia="Arial" w:hAnsi="Arial"/>
          <w:sz w:val="14"/>
          <w:szCs w:val="14"/>
          <w:color w:val="auto"/>
        </w:rPr>
        <w:t>Stockholders' equity, 226.9 common shares outstanding at June 30, 2021 and 228.0 common shares outstanding at December 31, 2020</w:t>
      </w:r>
    </w:p>
    <w:p>
      <w:pPr>
        <w:spacing w:after="0" w:line="20" w:lineRule="exact"/>
        <w:rPr>
          <w:sz w:val="20"/>
          <w:szCs w:val="20"/>
          <w:color w:val="auto"/>
        </w:rPr>
      </w:pPr>
      <w:r>
        <w:rPr>
          <w:sz w:val="20"/>
          <w:szCs w:val="20"/>
          <w:color w:val="auto"/>
        </w:rPr>
        <w:br w:type="column"/>
      </w:r>
    </w:p>
    <w:p>
      <w:pPr>
        <w:jc w:val="center"/>
        <w:ind w:left="-59"/>
        <w:spacing w:after="0"/>
        <w:rPr>
          <w:sz w:val="20"/>
          <w:szCs w:val="20"/>
          <w:color w:val="auto"/>
        </w:rPr>
      </w:pPr>
      <w:r>
        <w:rPr>
          <w:rFonts w:ascii="Arial" w:cs="Arial" w:eastAsia="Arial" w:hAnsi="Arial"/>
          <w:sz w:val="14"/>
          <w:szCs w:val="14"/>
          <w:color w:val="auto"/>
        </w:rPr>
        <w:t>6/30/2021</w:t>
      </w:r>
    </w:p>
    <w:p>
      <w:pPr>
        <w:spacing w:after="0" w:line="42" w:lineRule="exact"/>
        <w:rPr>
          <w:sz w:val="20"/>
          <w:szCs w:val="20"/>
          <w:color w:val="auto"/>
        </w:rPr>
      </w:pPr>
    </w:p>
    <w:p>
      <w:pPr>
        <w:ind w:left="880" w:hanging="872"/>
        <w:spacing w:after="0"/>
        <w:tabs>
          <w:tab w:leader="none" w:pos="8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3,514.9</w:t>
      </w:r>
    </w:p>
    <w:p>
      <w:pPr>
        <w:spacing w:after="0" w:line="28"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918.2</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3,473.9</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1,667.9</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716.7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665.7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220.2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11,279.2</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807.9</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1,697.9</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880.4</w:t>
      </w:r>
    </w:p>
    <w:p>
      <w:pPr>
        <w:spacing w:after="0" w:line="136" w:lineRule="exact"/>
        <w:rPr>
          <w:sz w:val="20"/>
          <w:szCs w:val="20"/>
          <w:color w:val="auto"/>
        </w:rPr>
      </w:pPr>
    </w:p>
    <w:p>
      <w:pPr>
        <w:ind w:left="880" w:hanging="872"/>
        <w:spacing w:after="0"/>
        <w:tabs>
          <w:tab w:leader="none" w:pos="8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7,893.0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9086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4"/>
          <w:szCs w:val="14"/>
          <w:color w:val="auto"/>
        </w:rPr>
        <w:t>12/31/2020</w:t>
      </w:r>
    </w:p>
    <w:p>
      <w:pPr>
        <w:spacing w:after="0" w:line="42" w:lineRule="exact"/>
        <w:rPr>
          <w:sz w:val="20"/>
          <w:szCs w:val="20"/>
          <w:color w:val="auto"/>
        </w:rPr>
      </w:pPr>
    </w:p>
    <w:p>
      <w:pPr>
        <w:ind w:left="880" w:hanging="873"/>
        <w:spacing w:after="0"/>
        <w:tabs>
          <w:tab w:leader="none" w:pos="8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2,151.7</w:t>
      </w:r>
    </w:p>
    <w:p>
      <w:pPr>
        <w:spacing w:after="0" w:line="28"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863.1</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3,250.8</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2,695.5</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117.6</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695.4</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665.7</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219.2</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10,659.0</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772.2</w:t>
      </w:r>
    </w:p>
    <w:p>
      <w:pPr>
        <w:spacing w:after="0" w:line="163"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618.1</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1,561.7</w:t>
      </w:r>
    </w:p>
    <w:p>
      <w:pPr>
        <w:spacing w:after="0" w:line="136" w:lineRule="exact"/>
        <w:rPr>
          <w:sz w:val="20"/>
          <w:szCs w:val="20"/>
          <w:color w:val="auto"/>
        </w:rPr>
      </w:pPr>
    </w:p>
    <w:p>
      <w:pPr>
        <w:ind w:left="880" w:hanging="873"/>
        <w:spacing w:after="0"/>
        <w:tabs>
          <w:tab w:leader="none" w:pos="8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7,707.0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8080" w:space="200"/>
            <w:col w:w="1360" w:space="180"/>
            <w:col w:w="1400"/>
          </w:cols>
          <w:pgMar w:left="320" w:top="1058" w:right="359" w:bottom="1440" w:gutter="0" w:footer="0" w:header="0"/>
          <w:type w:val="continuous"/>
        </w:sectPr>
      </w:pP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Net assets of</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consolidated T.</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Rowe Price</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equivalents</w:t>
            </w: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discretionary investments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3,514.9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1,898.4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5,468.3</w:t>
            </w: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Arial" w:cs="Arial" w:eastAsia="Arial" w:hAnsi="Arial"/>
                <w:sz w:val="14"/>
                <w:szCs w:val="14"/>
                <w:color w:val="auto"/>
              </w:rPr>
              <w:t>Seed capital investments</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509.6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701.5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1,211.1</w:t>
            </w: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802.8</w:t>
            </w:r>
          </w:p>
        </w:tc>
        <w:tc>
          <w:tcPr>
            <w:tcW w:w="0" w:type="dxa"/>
            <w:vAlign w:val="bottom"/>
          </w:tcPr>
          <w:p>
            <w:pPr>
              <w:spacing w:after="0"/>
              <w:rPr>
                <w:sz w:val="1"/>
                <w:szCs w:val="1"/>
                <w:color w:val="auto"/>
              </w:rPr>
            </w:pPr>
          </w:p>
        </w:tc>
      </w:tr>
      <w:tr>
        <w:trPr>
          <w:trHeight w:val="129"/>
        </w:trPr>
        <w:tc>
          <w:tcPr>
            <w:tcW w:w="5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cash and investments in T. Rowe Price products attributable to T. Rowe</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3,514.9</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3,210.8</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756.5</w:t>
            </w:r>
          </w:p>
        </w:tc>
        <w:tc>
          <w:tcPr>
            <w:tcW w:w="1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7,482.2</w:t>
            </w: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UTI and other investments</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w:t>
            </w:r>
          </w:p>
        </w:tc>
        <w:tc>
          <w:tcPr>
            <w:tcW w:w="0" w:type="dxa"/>
            <w:vAlign w:val="bottom"/>
          </w:tcPr>
          <w:p>
            <w:pPr>
              <w:spacing w:after="0"/>
              <w:rPr>
                <w:sz w:val="1"/>
                <w:szCs w:val="1"/>
                <w:color w:val="auto"/>
              </w:rPr>
            </w:pPr>
          </w:p>
        </w:tc>
      </w:tr>
      <w:tr>
        <w:trPr>
          <w:trHeight w:val="183"/>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Total cash and investments attributable to T. Rowe Price</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3,514.9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3,473.9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756.5</w:t>
            </w: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7,745.3</w:t>
            </w: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880.4</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880.4</w:t>
            </w:r>
          </w:p>
        </w:tc>
        <w:tc>
          <w:tcPr>
            <w:tcW w:w="0" w:type="dxa"/>
            <w:vAlign w:val="bottom"/>
          </w:tcPr>
          <w:p>
            <w:pPr>
              <w:spacing w:after="0"/>
              <w:rPr>
                <w:sz w:val="1"/>
                <w:szCs w:val="1"/>
                <w:color w:val="auto"/>
              </w:rPr>
            </w:pPr>
          </w:p>
        </w:tc>
      </w:tr>
      <w:tr>
        <w:trPr>
          <w:trHeight w:val="129"/>
        </w:trPr>
        <w:tc>
          <w:tcPr>
            <w:tcW w:w="5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As reported on unaudited condensed consolidated balance sheet at June 30,</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3,514.9</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3,473.9</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1,636.9</w:t>
            </w:r>
          </w:p>
        </w:tc>
        <w:tc>
          <w:tcPr>
            <w:tcW w:w="140" w:type="dxa"/>
            <w:vAlign w:val="bottom"/>
          </w:tcPr>
          <w:p>
            <w:pPr>
              <w:spacing w:after="0"/>
              <w:rPr>
                <w:sz w:val="11"/>
                <w:szCs w:val="11"/>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8,625.7</w:t>
            </w:r>
          </w:p>
        </w:tc>
        <w:tc>
          <w:tcPr>
            <w:tcW w:w="0" w:type="dxa"/>
            <w:vAlign w:val="bottom"/>
          </w:tcPr>
          <w:p>
            <w:pPr>
              <w:spacing w:after="0"/>
              <w:rPr>
                <w:sz w:val="1"/>
                <w:szCs w:val="1"/>
                <w:color w:val="auto"/>
              </w:rPr>
            </w:pPr>
          </w:p>
        </w:tc>
      </w:tr>
      <w:tr>
        <w:trPr>
          <w:trHeight w:val="153"/>
        </w:trPr>
        <w:tc>
          <w:tcPr>
            <w:tcW w:w="54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40" w:firstLine="8"/>
        <w:spacing w:after="0" w:line="303" w:lineRule="auto"/>
        <w:tabs>
          <w:tab w:leader="none" w:pos="84" w:val="left"/>
        </w:tabs>
        <w:numPr>
          <w:ilvl w:val="0"/>
          <w:numId w:val="39"/>
        </w:numPr>
        <w:rPr>
          <w:rFonts w:ascii="Arial" w:cs="Arial" w:eastAsia="Arial" w:hAnsi="Arial"/>
          <w:sz w:val="12"/>
          <w:szCs w:val="12"/>
          <w:i w:val="1"/>
          <w:iCs w:val="1"/>
          <w:color w:val="auto"/>
        </w:rPr>
      </w:pPr>
      <w:r>
        <w:rPr>
          <w:rFonts w:ascii="Arial" w:cs="Arial" w:eastAsia="Arial" w:hAnsi="Arial"/>
          <w:sz w:val="12"/>
          <w:szCs w:val="12"/>
          <w:i w:val="1"/>
          <w:iCs w:val="1"/>
          <w:color w:val="auto"/>
        </w:rPr>
        <w:t>The $55.0 million and $701.5 million represent the total value at June 30, 2021, of T. Rowe Price's interest in the consolidated T. Rowe Price investment products. The total net assets of $1,636.9 million at June 30, 2021, includes assets of $1,667.9 million less liabilities of $31.0 million as reflected in the unaudited condensed consolidated balance sheet information table above.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295" w:lineRule="exact"/>
        <w:rPr>
          <w:sz w:val="20"/>
          <w:szCs w:val="20"/>
          <w:color w:val="auto"/>
        </w:rPr>
      </w:pPr>
    </w:p>
    <w:p>
      <w:pPr>
        <w:jc w:val="both"/>
        <w:ind w:right="60"/>
        <w:spacing w:after="0" w:line="356" w:lineRule="auto"/>
        <w:rPr>
          <w:sz w:val="20"/>
          <w:szCs w:val="20"/>
          <w:color w:val="auto"/>
        </w:rPr>
      </w:pPr>
      <w:r>
        <w:rPr>
          <w:rFonts w:ascii="Arial" w:cs="Arial" w:eastAsia="Arial" w:hAnsi="Arial"/>
          <w:sz w:val="16"/>
          <w:szCs w:val="16"/>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058" w:right="3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color w:val="auto"/>
        </w:rPr>
        <w:t>The following schedules reconcile U.S. GAAP financial measures to non-GAAP financial measures for the three months ended June 30, 2021 and 2020 and</w:t>
      </w:r>
    </w:p>
    <w:p>
      <w:pPr>
        <w:sectPr>
          <w:pgSz w:w="11900" w:h="16838" w:orient="portrait"/>
          <w:cols w:equalWidth="0" w:num="1">
            <w:col w:w="11180"/>
          </w:cols>
          <w:pgMar w:left="320" w:top="1100" w:right="39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GAAP Basis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Non-GAAP adjustments:</w:t>
      </w:r>
    </w:p>
    <w:p>
      <w:pPr>
        <w:spacing w:after="0" w:line="32" w:lineRule="exact"/>
        <w:rPr>
          <w:sz w:val="20"/>
          <w:szCs w:val="20"/>
          <w:color w:val="auto"/>
        </w:rPr>
      </w:pPr>
    </w:p>
    <w:p>
      <w:pPr>
        <w:ind w:left="80" w:right="720" w:firstLine="135"/>
        <w:spacing w:after="0" w:line="211" w:lineRule="auto"/>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(1)</w:t>
      </w:r>
    </w:p>
    <w:p>
      <w:pPr>
        <w:ind w:left="220"/>
        <w:spacing w:after="0" w:line="226" w:lineRule="auto"/>
        <w:rPr>
          <w:sz w:val="20"/>
          <w:szCs w:val="20"/>
          <w:color w:val="auto"/>
        </w:rPr>
      </w:pPr>
      <w:r>
        <w:rPr>
          <w:rFonts w:ascii="Arial" w:cs="Arial" w:eastAsia="Arial" w:hAnsi="Arial"/>
          <w:sz w:val="15"/>
          <w:szCs w:val="15"/>
          <w:color w:val="auto"/>
        </w:rPr>
        <w:t>Supplemental savings plan liability</w:t>
      </w:r>
      <w:r>
        <w:rPr>
          <w:rFonts w:ascii="Arial" w:cs="Arial" w:eastAsia="Arial" w:hAnsi="Arial"/>
          <w:sz w:val="20"/>
          <w:szCs w:val="20"/>
          <w:color w:val="auto"/>
          <w:vertAlign w:val="superscript"/>
        </w:rPr>
        <w:t>(2)</w:t>
      </w:r>
    </w:p>
    <w:p>
      <w:pPr>
        <w:ind w:left="220"/>
        <w:spacing w:after="0" w:line="231" w:lineRule="auto"/>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ind w:left="80"/>
        <w:spacing w:after="0"/>
        <w:rPr>
          <w:sz w:val="20"/>
          <w:szCs w:val="20"/>
          <w:color w:val="auto"/>
        </w:rPr>
      </w:pPr>
      <w:r>
        <w:rPr>
          <w:rFonts w:ascii="Arial" w:cs="Arial" w:eastAsia="Arial" w:hAnsi="Arial"/>
          <w:sz w:val="16"/>
          <w:szCs w:val="16"/>
          <w:b w:val="1"/>
          <w:bCs w:val="1"/>
          <w:color w:val="auto"/>
        </w:rPr>
        <w:t>Adjusted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GAAP Basis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Non-GAAP adjustments:</w:t>
      </w:r>
    </w:p>
    <w:p>
      <w:pPr>
        <w:spacing w:after="0" w:line="32" w:lineRule="exact"/>
        <w:rPr>
          <w:sz w:val="20"/>
          <w:szCs w:val="20"/>
          <w:color w:val="auto"/>
        </w:rPr>
      </w:pPr>
    </w:p>
    <w:p>
      <w:pPr>
        <w:ind w:left="220" w:right="720"/>
        <w:spacing w:after="0" w:line="215" w:lineRule="auto"/>
        <w:rPr>
          <w:sz w:val="20"/>
          <w:szCs w:val="20"/>
          <w:color w:val="auto"/>
        </w:rPr>
      </w:pPr>
      <w:r>
        <w:rPr>
          <w:rFonts w:ascii="Arial" w:cs="Arial" w:eastAsia="Arial" w:hAnsi="Arial"/>
          <w:sz w:val="15"/>
          <w:szCs w:val="15"/>
          <w:color w:val="auto"/>
        </w:rPr>
        <w:t>Consolidated T. Rowe Price investment products</w:t>
      </w:r>
      <w:r>
        <w:rPr>
          <w:rFonts w:ascii="Arial" w:cs="Arial" w:eastAsia="Arial" w:hAnsi="Arial"/>
          <w:sz w:val="20"/>
          <w:szCs w:val="20"/>
          <w:color w:val="auto"/>
          <w:vertAlign w:val="superscript"/>
        </w:rPr>
        <w:t>(1)</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Supplemental savings plan liability</w:t>
      </w:r>
      <w:r>
        <w:rPr>
          <w:rFonts w:ascii="Arial" w:cs="Arial" w:eastAsia="Arial" w:hAnsi="Arial"/>
          <w:sz w:val="20"/>
          <w:szCs w:val="20"/>
          <w:color w:val="auto"/>
          <w:vertAlign w:val="superscript"/>
        </w:rPr>
        <w:t>(2)</w:t>
      </w:r>
    </w:p>
    <w:p>
      <w:pPr>
        <w:ind w:left="220"/>
        <w:spacing w:after="0" w:line="228" w:lineRule="auto"/>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Adjusted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GAAP Basis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Non-GAAP adjustments:</w:t>
      </w:r>
    </w:p>
    <w:p>
      <w:pPr>
        <w:spacing w:after="0" w:line="32" w:lineRule="exact"/>
        <w:rPr>
          <w:sz w:val="20"/>
          <w:szCs w:val="20"/>
          <w:color w:val="auto"/>
        </w:rPr>
      </w:pPr>
    </w:p>
    <w:p>
      <w:pPr>
        <w:ind w:left="220" w:right="720"/>
        <w:spacing w:after="0" w:line="223" w:lineRule="auto"/>
        <w:rPr>
          <w:sz w:val="20"/>
          <w:szCs w:val="20"/>
          <w:color w:val="auto"/>
        </w:rPr>
      </w:pPr>
      <w:r>
        <w:rPr>
          <w:rFonts w:ascii="Arial" w:cs="Arial" w:eastAsia="Arial" w:hAnsi="Arial"/>
          <w:sz w:val="15"/>
          <w:szCs w:val="15"/>
          <w:color w:val="auto"/>
        </w:rPr>
        <w:t>Consolidated T. Rowe Price investment products</w:t>
      </w:r>
      <w:r>
        <w:rPr>
          <w:rFonts w:ascii="Arial" w:cs="Arial" w:eastAsia="Arial" w:hAnsi="Arial"/>
          <w:sz w:val="20"/>
          <w:szCs w:val="20"/>
          <w:color w:val="auto"/>
          <w:vertAlign w:val="superscript"/>
        </w:rPr>
        <w:t>(1)</w:t>
      </w:r>
    </w:p>
    <w:p>
      <w:pPr>
        <w:ind w:left="220"/>
        <w:spacing w:after="0" w:line="226" w:lineRule="auto"/>
        <w:rPr>
          <w:sz w:val="20"/>
          <w:szCs w:val="20"/>
          <w:color w:val="auto"/>
        </w:rPr>
      </w:pPr>
      <w:r>
        <w:rPr>
          <w:rFonts w:ascii="Arial" w:cs="Arial" w:eastAsia="Arial" w:hAnsi="Arial"/>
          <w:sz w:val="15"/>
          <w:szCs w:val="15"/>
          <w:color w:val="auto"/>
        </w:rPr>
        <w:t>Supplemental savings plan liability</w:t>
      </w:r>
      <w:r>
        <w:rPr>
          <w:rFonts w:ascii="Arial" w:cs="Arial" w:eastAsia="Arial" w:hAnsi="Arial"/>
          <w:sz w:val="20"/>
          <w:szCs w:val="20"/>
          <w:color w:val="auto"/>
          <w:vertAlign w:val="superscript"/>
        </w:rPr>
        <w:t>(2)</w:t>
      </w:r>
    </w:p>
    <w:p>
      <w:pPr>
        <w:ind w:left="220"/>
        <w:spacing w:after="0" w:line="231" w:lineRule="auto"/>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Adjusted Non-GAAP Basis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Three months ended 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-101600</wp:posOffset>
            </wp:positionV>
            <wp:extent cx="706374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063740" cy="12001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5"/>
                <w:szCs w:val="15"/>
                <w:color w:val="auto"/>
              </w:rPr>
            </w:pPr>
          </w:p>
        </w:tc>
        <w:tc>
          <w:tcPr>
            <w:tcW w:w="102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7"/>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971.2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958.1</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259.3</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815.7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931.8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998.6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779.0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6/30/2020</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5"/>
                <w:szCs w:val="15"/>
                <w:color w:val="auto"/>
              </w:rPr>
            </w:pPr>
          </w:p>
        </w:tc>
        <w:tc>
          <w:tcPr>
            <w:tcW w:w="102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7"/>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861.7</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553.7</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415.1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240.3</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603.0</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785.8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631.7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539.6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3/31/2021</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(4)</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19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933.6</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893.2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230.5</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749.4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909.2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918.9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712.0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-4105275</wp:posOffset>
            </wp:positionV>
            <wp:extent cx="706374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-3830955</wp:posOffset>
            </wp:positionV>
            <wp:extent cx="706374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-3453765</wp:posOffset>
            </wp:positionV>
            <wp:extent cx="706374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-2965450</wp:posOffset>
            </wp:positionV>
            <wp:extent cx="706374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063740" cy="12001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-2545080</wp:posOffset>
            </wp:positionV>
            <wp:extent cx="706374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-2271395</wp:posOffset>
            </wp:positionV>
            <wp:extent cx="706374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-1893570</wp:posOffset>
            </wp:positionV>
            <wp:extent cx="706374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-1370965</wp:posOffset>
            </wp:positionV>
            <wp:extent cx="7063740"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063740" cy="12001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-951230</wp:posOffset>
            </wp:positionV>
            <wp:extent cx="706374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-676910</wp:posOffset>
            </wp:positionV>
            <wp:extent cx="706374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-299720</wp:posOffset>
            </wp:positionV>
            <wp:extent cx="706374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720"/>
            <w:col w:w="7540"/>
          </w:cols>
          <w:pgMar w:left="320" w:top="110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180"/>
          </w:cols>
          <w:pgMar w:left="320" w:top="1100" w:right="39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7"/>
          <w:szCs w:val="17"/>
          <w:color w:val="auto"/>
        </w:rPr>
        <w:t>The following schedules reconcile certain U.S. GAAP financial measures for the six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184785</wp:posOffset>
            </wp:positionV>
            <wp:extent cx="7063740"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063740" cy="12001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GAAP Basis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Non-GAAP adjustments:</w:t>
      </w:r>
    </w:p>
    <w:p>
      <w:pPr>
        <w:spacing w:after="0" w:line="32" w:lineRule="exact"/>
        <w:rPr>
          <w:sz w:val="20"/>
          <w:szCs w:val="20"/>
          <w:color w:val="auto"/>
        </w:rPr>
      </w:pPr>
    </w:p>
    <w:p>
      <w:pPr>
        <w:ind w:left="220" w:right="720"/>
        <w:spacing w:after="0" w:line="256" w:lineRule="auto"/>
        <w:rPr>
          <w:sz w:val="20"/>
          <w:szCs w:val="20"/>
          <w:color w:val="auto"/>
        </w:rPr>
      </w:pPr>
      <w:r>
        <w:rPr>
          <w:rFonts w:ascii="Arial" w:cs="Arial" w:eastAsia="Arial" w:hAnsi="Arial"/>
          <w:sz w:val="15"/>
          <w:szCs w:val="15"/>
          <w:color w:val="auto"/>
        </w:rPr>
        <w:t>Consolidated T. Rowe Price investment products(1)</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Supplemental savings plan liability(2)</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non-operating income(3)</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Adjusted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GAAP Basis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Non-GAAP adjustments:</w:t>
      </w:r>
    </w:p>
    <w:p>
      <w:pPr>
        <w:spacing w:after="0" w:line="32" w:lineRule="exact"/>
        <w:rPr>
          <w:sz w:val="20"/>
          <w:szCs w:val="20"/>
          <w:color w:val="auto"/>
        </w:rPr>
      </w:pPr>
    </w:p>
    <w:p>
      <w:pPr>
        <w:ind w:left="220" w:right="720"/>
        <w:spacing w:after="0" w:line="215" w:lineRule="auto"/>
        <w:rPr>
          <w:sz w:val="20"/>
          <w:szCs w:val="20"/>
          <w:color w:val="auto"/>
        </w:rPr>
      </w:pPr>
      <w:r>
        <w:rPr>
          <w:rFonts w:ascii="Arial" w:cs="Arial" w:eastAsia="Arial" w:hAnsi="Arial"/>
          <w:sz w:val="15"/>
          <w:szCs w:val="15"/>
          <w:color w:val="auto"/>
        </w:rPr>
        <w:t>Consolidated T. Rowe Price investment products</w:t>
      </w:r>
      <w:r>
        <w:rPr>
          <w:rFonts w:ascii="Arial" w:cs="Arial" w:eastAsia="Arial" w:hAnsi="Arial"/>
          <w:sz w:val="20"/>
          <w:szCs w:val="20"/>
          <w:color w:val="auto"/>
          <w:vertAlign w:val="superscript"/>
        </w:rPr>
        <w:t>(1)</w:t>
      </w:r>
    </w:p>
    <w:p>
      <w:pPr>
        <w:ind w:left="220"/>
        <w:spacing w:after="0" w:line="232" w:lineRule="auto"/>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p>
      <w:pPr>
        <w:ind w:left="220"/>
        <w:spacing w:after="0" w:line="226" w:lineRule="auto"/>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ind w:left="80"/>
        <w:spacing w:after="0"/>
        <w:rPr>
          <w:sz w:val="20"/>
          <w:szCs w:val="20"/>
          <w:color w:val="auto"/>
        </w:rPr>
      </w:pPr>
      <w:r>
        <w:rPr>
          <w:rFonts w:ascii="Arial" w:cs="Arial" w:eastAsia="Arial" w:hAnsi="Arial"/>
          <w:sz w:val="16"/>
          <w:szCs w:val="16"/>
          <w:b w:val="1"/>
          <w:bCs w:val="1"/>
          <w:color w:val="auto"/>
        </w:rPr>
        <w:t>Adjusted Non-GAAP Basis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4"/>
          <w:szCs w:val="14"/>
          <w:b w:val="1"/>
          <w:bCs w:val="1"/>
          <w:color w:val="auto"/>
        </w:rPr>
        <w:t>Six months ended 6/30/2021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5"/>
                <w:szCs w:val="15"/>
                <w:color w:val="auto"/>
              </w:rPr>
            </w:pPr>
          </w:p>
        </w:tc>
        <w:tc>
          <w:tcPr>
            <w:tcW w:w="104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7"/>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1,904.8</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1,851.3</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246.0</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489.8</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1,565.1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1,841.0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1,917.5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1,491.0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Six months ended 6/30/2020</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taxes(4)</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per share(5)</w:t>
            </w:r>
          </w:p>
        </w:tc>
        <w:tc>
          <w:tcPr>
            <w:tcW w:w="0" w:type="dxa"/>
            <w:vAlign w:val="bottom"/>
          </w:tcPr>
          <w:p>
            <w:pPr>
              <w:spacing w:after="0"/>
              <w:rPr>
                <w:sz w:val="1"/>
                <w:szCs w:val="1"/>
                <w:color w:val="auto"/>
              </w:rPr>
            </w:pPr>
          </w:p>
        </w:tc>
      </w:tr>
      <w:tr>
        <w:trPr>
          <w:trHeight w:val="19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1,617.1</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1,260.9</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280.6</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946.1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1,603.7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1,278.9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-2553970</wp:posOffset>
            </wp:positionV>
            <wp:extent cx="706374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-2279650</wp:posOffset>
            </wp:positionV>
            <wp:extent cx="7063740"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-1902460</wp:posOffset>
            </wp:positionV>
            <wp:extent cx="706374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-1370965</wp:posOffset>
            </wp:positionV>
            <wp:extent cx="706374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063740" cy="12001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-950595</wp:posOffset>
            </wp:positionV>
            <wp:extent cx="706374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-676910</wp:posOffset>
            </wp:positionV>
            <wp:extent cx="706374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-299720</wp:posOffset>
            </wp:positionV>
            <wp:extent cx="706374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720"/>
            <w:col w:w="7600"/>
          </w:cols>
          <w:pgMar w:left="320" w:top="1030" w:right="339" w:bottom="1440" w:gutter="0" w:footer="0" w:header="0"/>
          <w:type w:val="continuous"/>
        </w:sectPr>
      </w:pPr>
    </w:p>
    <w:p>
      <w:pPr>
        <w:spacing w:after="0" w:line="126" w:lineRule="exact"/>
        <w:rPr>
          <w:sz w:val="20"/>
          <w:szCs w:val="20"/>
          <w:color w:val="auto"/>
        </w:rPr>
      </w:pPr>
    </w:p>
    <w:p>
      <w:pPr>
        <w:ind w:left="340" w:right="100" w:hanging="332"/>
        <w:spacing w:after="0" w:line="235"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the firm's U.S. GAAP consolidated statements of income. Specifically, the firm adds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T. Rowe Price investment products may impact the reader’s ability to understand the firm's core operating results.</w:t>
      </w:r>
    </w:p>
    <w:p>
      <w:pPr>
        <w:spacing w:after="0" w:line="242" w:lineRule="exact"/>
        <w:rPr>
          <w:rFonts w:ascii="Arial" w:cs="Arial" w:eastAsia="Arial" w:hAnsi="Arial"/>
          <w:sz w:val="22"/>
          <w:szCs w:val="22"/>
          <w:color w:val="auto"/>
          <w:vertAlign w:val="superscript"/>
        </w:rPr>
      </w:pPr>
    </w:p>
    <w:p>
      <w:pPr>
        <w:ind w:left="340" w:hanging="332"/>
        <w:spacing w:after="0" w:line="235"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The firm uses T. Rowe Price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the firm's core operating results and to increase comparability period to period.</w:t>
      </w:r>
    </w:p>
    <w:p>
      <w:pPr>
        <w:spacing w:after="0" w:line="242" w:lineRule="exact"/>
        <w:rPr>
          <w:rFonts w:ascii="Arial" w:cs="Arial" w:eastAsia="Arial" w:hAnsi="Arial"/>
          <w:sz w:val="22"/>
          <w:szCs w:val="22"/>
          <w:color w:val="auto"/>
          <w:vertAlign w:val="superscript"/>
        </w:rPr>
      </w:pPr>
    </w:p>
    <w:p>
      <w:pPr>
        <w:ind w:left="340" w:right="40" w:hanging="332"/>
        <w:spacing w:after="0"/>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the firm's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the firm's core operations. Management believes adjusting for these non-operating income (loss) items helps the reader’s ability to understand the firm's core operating results and increases comparability to prior years. Additionally, management does not emphasize the impact of the portion of non-operating income (loss) removed when managing and evaluating the firm's performance.</w:t>
      </w:r>
    </w:p>
    <w:p>
      <w:pPr>
        <w:spacing w:after="0" w:line="200" w:lineRule="exact"/>
        <w:rPr>
          <w:rFonts w:ascii="Arial" w:cs="Arial" w:eastAsia="Arial" w:hAnsi="Arial"/>
          <w:sz w:val="22"/>
          <w:szCs w:val="22"/>
          <w:color w:val="auto"/>
          <w:vertAlign w:val="superscript"/>
        </w:rPr>
      </w:pPr>
    </w:p>
    <w:p>
      <w:pPr>
        <w:spacing w:after="0" w:line="206" w:lineRule="exact"/>
        <w:rPr>
          <w:rFonts w:ascii="Arial" w:cs="Arial" w:eastAsia="Arial" w:hAnsi="Arial"/>
          <w:sz w:val="22"/>
          <w:szCs w:val="22"/>
          <w:color w:val="auto"/>
          <w:vertAlign w:val="superscript"/>
        </w:rPr>
      </w:pPr>
    </w:p>
    <w:p>
      <w:pPr>
        <w:jc w:val="both"/>
        <w:ind w:left="340" w:right="100" w:hanging="332"/>
        <w:spacing w:after="0" w:line="226"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23.5% for 2021 and 23.8% for 2020. As such, the non-GAAP effective tax rate for three months ended June 30, 2021 and 2020 was 23.4% and 24.8%, respectively. The firm estimates that its effective tax rate for the full-year 2021 on a non-GAAP basis will be in the range of 22.5% to 24.5%.</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30" w:right="339" w:bottom="1440" w:gutter="0" w:footer="0" w:header="0"/>
          <w:type w:val="continuous"/>
        </w:sectPr>
      </w:pPr>
    </w:p>
    <w:bookmarkStart w:id="60" w:name="page61"/>
    <w:bookmarkEnd w:id="60"/>
    <w:p>
      <w:pPr>
        <w:ind w:left="340" w:right="280" w:hanging="332"/>
        <w:spacing w:after="0" w:line="226" w:lineRule="auto"/>
        <w:tabs>
          <w:tab w:leader="none" w:pos="341"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gridSpan w:val="3"/>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5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6/30/2021</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6/30/2020</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3/31/2021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6/30/2021</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6/30/2020</w:t>
            </w: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539.6</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712.0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993.9</w:t>
            </w:r>
          </w:p>
        </w:tc>
      </w:tr>
      <w:tr>
        <w:trPr>
          <w:trHeight w:val="177"/>
        </w:trPr>
        <w:tc>
          <w:tcPr>
            <w:tcW w:w="5620" w:type="dxa"/>
            <w:vAlign w:val="bottom"/>
          </w:tcPr>
          <w:p>
            <w:pPr>
              <w:ind w:left="20"/>
              <w:spacing w:after="0" w:line="178" w:lineRule="exact"/>
              <w:rPr>
                <w:sz w:val="20"/>
                <w:szCs w:val="20"/>
                <w:color w:val="auto"/>
              </w:rPr>
            </w:pPr>
            <w:r>
              <w:rPr>
                <w:rFonts w:ascii="Arial" w:cs="Arial" w:eastAsia="Arial" w:hAnsi="Arial"/>
                <w:sz w:val="16"/>
                <w:szCs w:val="16"/>
                <w:color w:val="auto"/>
              </w:rPr>
              <w:t>Less: adjusted net income allocated to outstanding restricted stock and</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unit holders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r>
      <w:tr>
        <w:trPr>
          <w:trHeight w:val="203"/>
        </w:trPr>
        <w:tc>
          <w:tcPr>
            <w:tcW w:w="56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Adjusted net income allocated to common stockholders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524.6</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693.1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1240"/>
      </w:cols>
      <w:pgMar w:left="320" w:top="10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5"/>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5"/>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jpe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75" Type="http://schemas.openxmlformats.org/officeDocument/2006/relationships/hyperlink" Target="http://www.sec.gov/Archives/edgar/data/1113169/000111316918000018/articlesofrestatementfin.htm" TargetMode="External"/><Relationship Id="rId76"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2021-07-29T13:43:59Z</dcterms:created>
  <dcterms:modified xsi:type="dcterms:W3CDTF">2021-07-29T13:43:59Z</dcterms:modified>
</cp:coreProperties>
</file>