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620395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534670</wp:posOffset>
            </wp:positionV>
            <wp:extent cx="7169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52"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8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82" w:lineRule="exact"/>
        <w:rPr>
          <w:sz w:val="24"/>
          <w:szCs w:val="24"/>
          <w:color w:val="auto"/>
        </w:rPr>
      </w:pPr>
    </w:p>
    <w:p>
      <w:pPr>
        <w:jc w:val="center"/>
        <w:ind w:left="120" w:right="60"/>
        <w:spacing w:after="0" w:line="282"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000-32191</w:t>
      </w:r>
    </w:p>
    <w:p>
      <w:pPr>
        <w:spacing w:after="0" w:line="8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 ROWE PRICE GROUP, INC.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60"/>
          </w:cols>
          <w:pgMar w:left="240" w:top="1012" w:right="299" w:bottom="1440" w:gutter="0" w:footer="0" w:header="0"/>
        </w:sectPr>
      </w:pPr>
    </w:p>
    <w:p>
      <w:pPr>
        <w:spacing w:after="0" w:line="151" w:lineRule="exact"/>
        <w:rPr>
          <w:sz w:val="24"/>
          <w:szCs w:val="24"/>
          <w:color w:val="auto"/>
        </w:rPr>
      </w:pPr>
    </w:p>
    <w:p>
      <w:pPr>
        <w:ind w:left="23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81" w:lineRule="exact"/>
        <w:rPr>
          <w:sz w:val="24"/>
          <w:szCs w:val="24"/>
          <w:color w:val="auto"/>
        </w:rPr>
      </w:pPr>
    </w:p>
    <w:p>
      <w:pPr>
        <w:sectPr>
          <w:pgSz w:w="11900" w:h="16838" w:orient="portrait"/>
          <w:cols w:equalWidth="0" w:num="2">
            <w:col w:w="7380" w:space="720"/>
            <w:col w:w="3260"/>
          </w:cols>
          <w:pgMar w:left="240" w:top="1012" w:right="299" w:bottom="1440" w:gutter="0" w:footer="0" w:header="0"/>
          <w:type w:val="continuous"/>
        </w:sectPr>
      </w:pPr>
    </w:p>
    <w:p>
      <w:pPr>
        <w:ind w:left="20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720" w:space="720"/>
            <w:col w:w="3920"/>
          </w:cols>
          <w:pgMar w:left="240" w:top="1012"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7" w:lineRule="exact"/>
        <w:rPr>
          <w:sz w:val="24"/>
          <w:szCs w:val="24"/>
          <w:color w:val="auto"/>
        </w:rPr>
      </w:pPr>
    </w:p>
    <w:p>
      <w:pPr>
        <w:ind w:left="4340"/>
        <w:spacing w:after="0"/>
        <w:rPr>
          <w:sz w:val="20"/>
          <w:szCs w:val="20"/>
          <w:color w:val="auto"/>
        </w:rPr>
      </w:pPr>
      <w:r>
        <w:rPr>
          <w:rFonts w:ascii="Arial" w:cs="Arial" w:eastAsia="Arial" w:hAnsi="Arial"/>
          <w:sz w:val="14"/>
          <w:szCs w:val="14"/>
          <w:color w:val="auto"/>
        </w:rPr>
        <w:t>______________________________________</w:t>
      </w:r>
    </w:p>
    <w:p>
      <w:pPr>
        <w:spacing w:after="0" w:line="73"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1012" w:right="299" w:bottom="1440" w:gutter="0" w:footer="0" w:header="0"/>
          <w:type w:val="continuous"/>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40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200" w:space="720"/>
            <w:col w:w="5440"/>
          </w:cols>
          <w:pgMar w:left="240" w:top="1012" w:right="299" w:bottom="1440" w:gutter="0" w:footer="0" w:header="0"/>
          <w:type w:val="continuous"/>
        </w:sectPr>
      </w:pPr>
    </w:p>
    <w:p>
      <w:pPr>
        <w:ind w:left="592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ectPr>
          <w:pgSz w:w="11900" w:h="16838" w:orient="portrait"/>
          <w:cols w:equalWidth="0" w:num="1">
            <w:col w:w="11360"/>
          </w:cols>
          <w:pgMar w:left="240" w:top="1012" w:right="299" w:bottom="1440" w:gutter="0" w:footer="0" w:header="0"/>
          <w:type w:val="continuous"/>
        </w:sectPr>
      </w:pPr>
    </w:p>
    <w:p>
      <w:pPr>
        <w:spacing w:after="0" w:line="86"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9" w:lineRule="exact"/>
        <w:rPr>
          <w:sz w:val="24"/>
          <w:szCs w:val="24"/>
          <w:color w:val="auto"/>
        </w:rPr>
      </w:pPr>
    </w:p>
    <w:p>
      <w:pPr>
        <w:sectPr>
          <w:pgSz w:w="11900" w:h="16838" w:orient="portrait"/>
          <w:cols w:equalWidth="0" w:num="3">
            <w:col w:w="1760" w:space="60"/>
            <w:col w:w="3380" w:space="720"/>
            <w:col w:w="5440"/>
          </w:cols>
          <w:pgMar w:left="240" w:top="1012" w:right="299" w:bottom="1440" w:gutter="0" w:footer="0" w:header="0"/>
          <w:type w:val="continuous"/>
        </w:sectPr>
      </w:pPr>
    </w:p>
    <w:p>
      <w:pPr>
        <w:spacing w:after="0" w:line="21"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x No</w:t>
      </w: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issuer’s common stock ($.20 par value), as of the latest practicable date, April 23, 2018, is 242,137,493.</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69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360"/>
          </w:cols>
          <w:pgMar w:left="240" w:top="1012"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12/31/2017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3/31/2018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593.6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2,095.1</w:t>
            </w: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rPr>
              <w:t>Assets of consolidated T. Rowe Price investment products ($1,839.6 million at December 31, 2017, and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$1,238.5 million at March 31, 2018, related to variable interest entities)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2,048.4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1,510.8</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177.5</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7,535.4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7,374.3</w:t>
            </w: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241.3</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rPr>
              <w:t>Liabilities of consolidated T. Rowe Price investment products ($39.5 million at December 31, 2017,</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and $27.8 million at March 31, 2018, related to variable interest entities)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Supplemental savings plan liability</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284.5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925.9</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546.5</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rPr>
              <w:t>Common stock, $.20 par value—authorized 750,000,000; issued 245,111,000 shares at December 31,</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2017, and 243,282,000 at March 31, 2018</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4,932.9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5,205.0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permanent stockholders’ equity</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5,824.4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5,901.9</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7,535.4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7,374.3</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80" w:right="239" w:bottom="1440" w:gutter="0" w:footer="0" w:header="0"/>
        </w:sectPr>
      </w:pPr>
    </w:p>
    <w:bookmarkStart w:id="2" w:name="page3"/>
    <w:bookmarkEnd w:id="2"/>
    <w:p>
      <w:pPr>
        <w:ind w:right="5300"/>
        <w:spacing w:after="0" w:line="282"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8"/>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3/31/2017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992.7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distribution, and servicing fees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1,132.6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Distribution and servicing</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Product-related costs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Nonrecurring insurance recoveries related to Dell appraisal rights matter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610.9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Non-operating income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gains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gains on consolidated investment portfolios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non-operating income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385.9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tcPr>
          <w:p>
            <w:pPr>
              <w:ind w:left="5480"/>
              <w:spacing w:after="0"/>
              <w:rPr>
                <w:sz w:val="20"/>
                <w:szCs w:val="20"/>
                <w:color w:val="auto"/>
              </w:rPr>
            </w:pPr>
            <w:r>
              <w:rPr>
                <w:rFonts w:ascii="Arial" w:cs="Arial" w:eastAsia="Arial" w:hAnsi="Arial"/>
                <w:sz w:val="18"/>
                <w:szCs w:val="18"/>
                <w:color w:val="auto"/>
              </w:rPr>
              <w:t>Page 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right="3660"/>
        <w:spacing w:after="0" w:line="282"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3/31/2017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3/31/2018</w:t>
            </w: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holding gains on available-for-sale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w w:val="96"/>
              </w:rPr>
              <w:t>Reclassification gains recognized in non-operating income upon dispositions, determined using average cost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unrealized holding gains (losses) recognized in 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Consolidated T. Rowe Price investment products - variable interest entities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29"/>
        </w:trPr>
        <w:tc>
          <w:tcPr>
            <w:tcW w:w="8580" w:type="dxa"/>
            <w:vAlign w:val="bottom"/>
          </w:tcPr>
          <w:p>
            <w:pPr>
              <w:ind w:left="280"/>
              <w:spacing w:after="0"/>
              <w:rPr>
                <w:sz w:val="20"/>
                <w:szCs w:val="20"/>
                <w:color w:val="auto"/>
              </w:rPr>
            </w:pPr>
            <w:r>
              <w:rPr>
                <w:rFonts w:ascii="Arial" w:cs="Arial" w:eastAsia="Arial" w:hAnsi="Arial"/>
                <w:sz w:val="18"/>
                <w:szCs w:val="18"/>
                <w:color w:val="auto"/>
              </w:rPr>
              <w:t>Reclassification gain recognized in non-operating income upon deconsolidation of certain T. Rowe Price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280"/>
              <w:spacing w:after="0"/>
              <w:rPr>
                <w:sz w:val="20"/>
                <w:szCs w:val="20"/>
                <w:color w:val="auto"/>
              </w:rPr>
            </w:pPr>
            <w:r>
              <w:rPr>
                <w:rFonts w:ascii="Arial" w:cs="Arial" w:eastAsia="Arial" w:hAnsi="Arial"/>
                <w:sz w:val="18"/>
                <w:szCs w:val="18"/>
                <w:color w:val="auto"/>
              </w:rPr>
              <w:t>investment products</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Consolidated T. Rowe Price investment products - variable interest entities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Equity method investments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currency translation adjustments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r>
      <w:tr>
        <w:trPr>
          <w:trHeight w:val="210"/>
        </w:trPr>
        <w:tc>
          <w:tcPr>
            <w:tcW w:w="8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deferred tax benefits (income taxes)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r>
      <w:tr>
        <w:trPr>
          <w:trHeight w:val="210"/>
        </w:trPr>
        <w:tc>
          <w:tcPr>
            <w:tcW w:w="8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comprehensive income attributable to redeemable non-controlling interests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 Rowe Price Group</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461.1</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UNAUDITED CONDENSED CONSOLIDATED STATEMENTS OF CASH FLOWS</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b w:val="1"/>
          <w:bCs w:val="1"/>
          <w:color w:val="auto"/>
        </w:rPr>
        <w:t>(in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8"/>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3/31/2017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3/31/2018</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gains recognized on other investments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6"/>
              </w:rPr>
              <w:t>Investments in U.S. mutual funds held as trading to economically hedge supplemental savings plan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change in trading securities held by consolidated T. Rowe Price investment products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T. Rowe Price investment products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Dispositions T. Rowe Price investment products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of T. Rowe Price investment products on consolidation (deconsolidation)</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to common stockholders of T. Rowe Price Group</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Effect of exchange rate changes on cash and cash equivalents of consolidated T. Rowe Price investment products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1,270.5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2,005.8</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Cash and cash equivalents at end of period, including $50.2 million at March 31, 2017, and $84.8 million at March</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1,631.0</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1,766.2</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2018, held by consolidated T. Rowe Price investment products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See note 12 for a supplementary consolidating cash flow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-145415</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529" w:right="259" w:bottom="1440" w:gutter="0" w:footer="0" w:header="0"/>
        </w:sectPr>
      </w:pPr>
    </w:p>
    <w:bookmarkStart w:id="5" w:name="page6"/>
    <w:bookmarkEnd w:id="5"/>
    <w:p>
      <w:pPr>
        <w:ind w:right="3840"/>
        <w:spacing w:after="0" w:line="282"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center"/>
              <w:ind w:right="34"/>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center"/>
              <w:ind w:right="132"/>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right="34"/>
              <w:spacing w:after="0"/>
              <w:rPr>
                <w:sz w:val="20"/>
                <w:szCs w:val="20"/>
                <w:color w:val="auto"/>
              </w:rPr>
            </w:pPr>
            <w:r>
              <w:rPr>
                <w:rFonts w:ascii="Arial" w:cs="Arial" w:eastAsia="Arial" w:hAnsi="Arial"/>
                <w:sz w:val="14"/>
                <w:szCs w:val="14"/>
                <w:b w:val="1"/>
                <w:bCs w:val="1"/>
                <w:color w:val="auto"/>
                <w:w w:val="89"/>
              </w:rPr>
              <w:t>Redeemable</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Common</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capital in</w:t>
            </w:r>
          </w:p>
        </w:tc>
        <w:tc>
          <w:tcPr>
            <w:tcW w:w="3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Retained</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other</w:t>
            </w:r>
          </w:p>
        </w:tc>
        <w:tc>
          <w:tcPr>
            <w:tcW w:w="2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non-</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30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right="54"/>
              <w:spacing w:after="0" w:line="149" w:lineRule="exact"/>
              <w:rPr>
                <w:sz w:val="20"/>
                <w:szCs w:val="20"/>
                <w:color w:val="auto"/>
              </w:rPr>
            </w:pPr>
            <w:r>
              <w:rPr>
                <w:rFonts w:ascii="Arial" w:cs="Arial" w:eastAsia="Arial" w:hAnsi="Arial"/>
                <w:sz w:val="14"/>
                <w:szCs w:val="14"/>
                <w:b w:val="1"/>
                <w:bCs w:val="1"/>
                <w:color w:val="auto"/>
                <w:w w:val="81"/>
              </w:rPr>
              <w:t>excess of</w:t>
            </w:r>
          </w:p>
        </w:tc>
        <w:tc>
          <w:tcPr>
            <w:tcW w:w="3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controlling</w:t>
            </w:r>
          </w:p>
        </w:tc>
        <w:tc>
          <w:tcPr>
            <w:tcW w:w="0" w:type="dxa"/>
            <w:vAlign w:val="bottom"/>
          </w:tcPr>
          <w:p>
            <w:pPr>
              <w:spacing w:after="0"/>
              <w:rPr>
                <w:sz w:val="1"/>
                <w:szCs w:val="1"/>
                <w:color w:val="auto"/>
              </w:rPr>
            </w:pPr>
          </w:p>
        </w:tc>
      </w:tr>
      <w:tr>
        <w:trPr>
          <w:trHeight w:val="192"/>
        </w:trPr>
        <w:tc>
          <w:tcPr>
            <w:tcW w:w="318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98"/>
              </w:rPr>
              <w:t>stock</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34"/>
              <w:spacing w:after="0"/>
              <w:rPr>
                <w:sz w:val="20"/>
                <w:szCs w:val="20"/>
                <w:color w:val="auto"/>
              </w:rPr>
            </w:pPr>
            <w:r>
              <w:rPr>
                <w:rFonts w:ascii="Arial" w:cs="Arial" w:eastAsia="Arial" w:hAnsi="Arial"/>
                <w:sz w:val="14"/>
                <w:szCs w:val="14"/>
                <w:b w:val="1"/>
                <w:bCs w:val="1"/>
                <w:color w:val="auto"/>
                <w:w w:val="94"/>
              </w:rPr>
              <w:t>par value</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earnings</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right="152"/>
              <w:spacing w:after="0"/>
              <w:rPr>
                <w:sz w:val="20"/>
                <w:szCs w:val="20"/>
                <w:color w:val="auto"/>
              </w:rPr>
            </w:pPr>
            <w:r>
              <w:rPr>
                <w:rFonts w:ascii="Arial" w:cs="Arial" w:eastAsia="Arial" w:hAnsi="Arial"/>
                <w:sz w:val="14"/>
                <w:szCs w:val="14"/>
                <w:b w:val="1"/>
                <w:bCs w:val="1"/>
                <w:color w:val="auto"/>
                <w:w w:val="92"/>
              </w:rPr>
              <w:t>equity</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center"/>
              <w:ind w:right="54"/>
              <w:spacing w:after="0"/>
              <w:rPr>
                <w:sz w:val="20"/>
                <w:szCs w:val="20"/>
                <w:color w:val="auto"/>
              </w:rPr>
            </w:pPr>
            <w:r>
              <w:rPr>
                <w:rFonts w:ascii="Arial" w:cs="Arial" w:eastAsia="Arial" w:hAnsi="Arial"/>
                <w:sz w:val="14"/>
                <w:szCs w:val="14"/>
                <w:b w:val="1"/>
                <w:bCs w:val="1"/>
                <w:color w:val="auto"/>
                <w:w w:val="89"/>
              </w:rPr>
              <w:t>interests</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Balances at December 31, 2017</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245,111</w:t>
            </w:r>
          </w:p>
        </w:tc>
        <w:tc>
          <w:tcPr>
            <w:tcW w:w="3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w:t>
            </w:r>
          </w:p>
        </w:tc>
        <w:tc>
          <w:tcPr>
            <w:tcW w:w="3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846.1</w:t>
            </w:r>
          </w:p>
        </w:tc>
        <w:tc>
          <w:tcPr>
            <w:tcW w:w="300" w:type="dxa"/>
            <w:vAlign w:val="bottom"/>
          </w:tcPr>
          <w:p>
            <w:pPr>
              <w:spacing w:after="0"/>
              <w:rPr>
                <w:sz w:val="21"/>
                <w:szCs w:val="21"/>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1"/>
              </w:rPr>
              <w:t>$4,932.9</w:t>
            </w:r>
          </w:p>
        </w:tc>
        <w:tc>
          <w:tcPr>
            <w:tcW w:w="3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1"/>
                <w:szCs w:val="21"/>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5,824.4</w:t>
            </w:r>
          </w:p>
        </w:tc>
        <w:tc>
          <w:tcPr>
            <w:tcW w:w="3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992.8</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effect adjustment upon</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adoption of new financial instruments and</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accumulated other comprehensive income</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guidance on January 1, 2018</w:t>
            </w:r>
            <w:r>
              <w:rPr>
                <w:rFonts w:ascii="Arial" w:cs="Arial" w:eastAsia="Arial" w:hAnsi="Arial"/>
                <w:sz w:val="25"/>
                <w:szCs w:val="25"/>
                <w:color w:val="auto"/>
                <w:vertAlign w:val="superscript"/>
              </w:rPr>
              <w:t>(1)</w:t>
            </w:r>
          </w:p>
        </w:tc>
        <w:tc>
          <w:tcPr>
            <w:tcW w:w="8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1"/>
              </w:rPr>
              <w:t>Reclassification adjustment of stranded tax</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0"/>
              <w:spacing w:after="0"/>
              <w:rPr>
                <w:sz w:val="20"/>
                <w:szCs w:val="20"/>
                <w:color w:val="auto"/>
              </w:rPr>
            </w:pPr>
            <w:r>
              <w:rPr>
                <w:rFonts w:ascii="Arial" w:cs="Arial" w:eastAsia="Arial" w:hAnsi="Arial"/>
                <w:sz w:val="18"/>
                <w:szCs w:val="18"/>
                <w:color w:val="auto"/>
              </w:rPr>
              <w:t>benefits on currency translation</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0"/>
              <w:spacing w:after="0"/>
              <w:rPr>
                <w:sz w:val="20"/>
                <w:szCs w:val="20"/>
                <w:color w:val="auto"/>
              </w:rPr>
            </w:pPr>
            <w:r>
              <w:rPr>
                <w:rFonts w:ascii="Arial" w:cs="Arial" w:eastAsia="Arial" w:hAnsi="Arial"/>
                <w:sz w:val="18"/>
                <w:szCs w:val="18"/>
                <w:color w:val="auto"/>
              </w:rPr>
              <w:t>adjustments upon adoption of new</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0"/>
              <w:spacing w:after="0"/>
              <w:rPr>
                <w:sz w:val="20"/>
                <w:szCs w:val="20"/>
                <w:color w:val="auto"/>
              </w:rPr>
            </w:pPr>
            <w:r>
              <w:rPr>
                <w:rFonts w:ascii="Arial" w:cs="Arial" w:eastAsia="Arial" w:hAnsi="Arial"/>
                <w:sz w:val="18"/>
                <w:szCs w:val="18"/>
                <w:color w:val="auto"/>
                <w:w w:val="92"/>
              </w:rPr>
              <w:t>accumulated other comprehensive income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rPr>
              <w:t>guidance on January 1, 2018</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January 1, 2018</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245,111</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846.1</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4,957.6</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 —</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5,838.9</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992.8</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453.7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453.7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Other comprehensive income (loss), net of</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Common stock-based compensation plans</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activity</w:t>
            </w:r>
          </w:p>
        </w:tc>
        <w:tc>
          <w:tcPr>
            <w:tcW w:w="8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Shares issued upon option exercises</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1,103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45.1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Shares issued upon vesting of restricted</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units, net of shares withheld for</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Forfeiture of restricted awards</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tcPr>
          <w:p>
            <w:pPr>
              <w:ind w:left="180"/>
              <w:spacing w:after="0"/>
              <w:rPr>
                <w:sz w:val="20"/>
                <w:szCs w:val="20"/>
                <w:color w:val="auto"/>
              </w:rPr>
            </w:pPr>
            <w:r>
              <w:rPr>
                <w:rFonts w:ascii="Arial" w:cs="Arial" w:eastAsia="Arial" w:hAnsi="Arial"/>
                <w:sz w:val="18"/>
                <w:szCs w:val="18"/>
                <w:color w:val="auto"/>
                <w:w w:val="91"/>
              </w:rPr>
              <w:t>Restricted stock units issued as dividend</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repurchased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Net subscriptions into T. Rowe Price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rPr>
              <w:t>investment products</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deconsolidations of T. Rowe Price</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products</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0" w:type="dxa"/>
            <w:vAlign w:val="bottom"/>
          </w:tcPr>
          <w:p>
            <w:pPr>
              <w:spacing w:after="0"/>
              <w:rPr>
                <w:sz w:val="1"/>
                <w:szCs w:val="1"/>
                <w:color w:val="auto"/>
              </w:rPr>
            </w:pPr>
          </w:p>
        </w:tc>
      </w:tr>
      <w:tr>
        <w:trPr>
          <w:trHeight w:val="250"/>
        </w:trPr>
        <w:tc>
          <w:tcPr>
            <w:tcW w:w="3180" w:type="dxa"/>
            <w:vAlign w:val="bottom"/>
          </w:tcPr>
          <w:p>
            <w:pPr>
              <w:ind w:left="40"/>
              <w:spacing w:after="0"/>
              <w:rPr>
                <w:sz w:val="20"/>
                <w:szCs w:val="20"/>
                <w:color w:val="auto"/>
              </w:rPr>
            </w:pPr>
            <w:r>
              <w:rPr>
                <w:rFonts w:ascii="Arial" w:cs="Arial" w:eastAsia="Arial" w:hAnsi="Arial"/>
                <w:sz w:val="18"/>
                <w:szCs w:val="18"/>
                <w:color w:val="auto"/>
              </w:rPr>
              <w:t>Balances at March 31, 2018</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243,282</w:t>
            </w:r>
          </w:p>
        </w:tc>
        <w:tc>
          <w:tcPr>
            <w:tcW w:w="3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w:t>
            </w:r>
          </w:p>
        </w:tc>
        <w:tc>
          <w:tcPr>
            <w:tcW w:w="3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654.6</w:t>
            </w:r>
          </w:p>
        </w:tc>
        <w:tc>
          <w:tcPr>
            <w:tcW w:w="300" w:type="dxa"/>
            <w:vAlign w:val="bottom"/>
          </w:tcPr>
          <w:p>
            <w:pPr>
              <w:spacing w:after="0"/>
              <w:rPr>
                <w:sz w:val="21"/>
                <w:szCs w:val="21"/>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1"/>
              </w:rPr>
              <w:t>$5,205.0</w:t>
            </w:r>
          </w:p>
        </w:tc>
        <w:tc>
          <w:tcPr>
            <w:tcW w:w="3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1"/>
                <w:szCs w:val="21"/>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5,901.9</w:t>
            </w:r>
          </w:p>
        </w:tc>
        <w:tc>
          <w:tcPr>
            <w:tcW w:w="3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8890</wp:posOffset>
            </wp:positionV>
            <wp:extent cx="5231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42" w:lineRule="exact"/>
        <w:rPr>
          <w:sz w:val="20"/>
          <w:szCs w:val="20"/>
          <w:color w:val="auto"/>
        </w:rPr>
      </w:pPr>
    </w:p>
    <w:p>
      <w:pPr>
        <w:ind w:right="60" w:firstLine="8"/>
        <w:spacing w:after="0" w:line="272" w:lineRule="auto"/>
        <w:tabs>
          <w:tab w:leader="none" w:pos="183" w:val="left"/>
        </w:tabs>
        <w:numPr>
          <w:ilvl w:val="0"/>
          <w:numId w:val="2"/>
        </w:numPr>
        <w:rPr>
          <w:rFonts w:ascii="Arial" w:cs="Arial" w:eastAsia="Arial" w:hAnsi="Arial"/>
          <w:sz w:val="21"/>
          <w:szCs w:val="21"/>
          <w:i w:val="1"/>
          <w:iCs w:val="1"/>
          <w:color w:val="auto"/>
          <w:vertAlign w:val="superscript"/>
        </w:rPr>
      </w:pPr>
      <w:r>
        <w:rPr>
          <w:rFonts w:ascii="Arial" w:cs="Arial" w:eastAsia="Arial" w:hAnsi="Arial"/>
          <w:sz w:val="12"/>
          <w:szCs w:val="12"/>
          <w:i w:val="1"/>
          <w:iCs w:val="1"/>
          <w:color w:val="auto"/>
        </w:rPr>
        <w:t>Includes the reclassification of $1.7 million of stranded income taxes on available-for-sale investments resulting from the U.S. tax law changes enacted on December 22, 2017, from accumulated other comprehensive income 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-286385</wp:posOffset>
            </wp:positionV>
            <wp:extent cx="5231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1 – THE COMPANY AND BASIS OF PREPARATION.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 Rowe Price Group (Price Group) derives its consolidated revenues and net income primarily from investment advisory services that its subsidiaries provide to individual and institutional investors in the T. Rowe Price U.S. mutual funds (U.S. mutual funds) and other investment products, including separately managed accounts, subadvised funds, and other T. Rowe Price investment products.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w:t>
      </w:r>
    </w:p>
    <w:p>
      <w:pPr>
        <w:spacing w:after="0" w:line="16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In order to increase transparency of operating expenses and better align expenses that have similar cost drivers, we have changed the presentation of certain line items of our income statement. In doing so, we have reclassified certain prior year amounts to conform to the 2018 presentation. These reclassifications are shown along with the impact of the new revenue recognition accounting standard adopted on January 1, 2018, in the </w:t>
      </w:r>
      <w:r>
        <w:rPr>
          <w:rFonts w:ascii="Arial" w:cs="Arial" w:eastAsia="Arial" w:hAnsi="Arial"/>
          <w:sz w:val="18"/>
          <w:szCs w:val="18"/>
          <w:i w:val="1"/>
          <w:iCs w:val="1"/>
          <w:color w:val="auto"/>
        </w:rPr>
        <w:t>New Accounting Guidance</w:t>
      </w:r>
      <w:r>
        <w:rPr>
          <w:rFonts w:ascii="Arial" w:cs="Arial" w:eastAsia="Arial" w:hAnsi="Arial"/>
          <w:sz w:val="18"/>
          <w:szCs w:val="18"/>
          <w:color w:val="auto"/>
        </w:rPr>
        <w:t xml:space="preserve"> section below.</w:t>
      </w:r>
    </w:p>
    <w:p>
      <w:pPr>
        <w:spacing w:after="0" w:line="18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2017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GUIDANCE.</w:t>
      </w:r>
    </w:p>
    <w:p>
      <w:pPr>
        <w:spacing w:after="0" w:line="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We adopted Accounting Standards Codification Topic 606: Revenue from Contracts with Customers (ASC 606), on January 1, 2018, using the retrospective method which required adjustments to be reflected as of January 1, 2016. In connection with the adoption of this guidance, we reevaluated all of our revenue contracts and determined that the new guidance does not change the timing of when we recognize revenue. However, we did conclude that certain fees earned from the U.S. mutual funds associated with our mutual fund transfer agent, accounting, shareholder servicing, and participant recordkeeping activities could no longer be reported net of the expenses paid to third parties that perform such services as we are deemed, under the guidance, to have control over the services before they are transferred to the U.S. mutual funds. No transition-related practical expedients were applied. Certain immaterial balance sheet reclassifications were made to conform to the 2018 presentation and all related note disclosures have been recast. Updates to our revenue recognition disclosures are included in </w:t>
      </w:r>
      <w:r>
        <w:rPr>
          <w:rFonts w:ascii="Arial" w:cs="Arial" w:eastAsia="Arial" w:hAnsi="Arial"/>
          <w:sz w:val="17"/>
          <w:szCs w:val="17"/>
          <w:i w:val="1"/>
          <w:iCs w:val="1"/>
          <w:color w:val="auto"/>
        </w:rPr>
        <w:t>Note 2 - Information about Receivables, Revenues, and Services</w:t>
      </w:r>
      <w:r>
        <w:rPr>
          <w:rFonts w:ascii="Arial" w:cs="Arial" w:eastAsia="Arial" w:hAnsi="Arial"/>
          <w:sz w:val="17"/>
          <w:szCs w:val="17"/>
          <w:color w:val="auto"/>
        </w:rPr>
        <w:t xml:space="preserve"> and our updated revenue recognition accounting policy is included in the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section below.</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580" w:right="259" w:bottom="1440" w:gutter="0" w:footer="0" w:header="0"/>
        </w:sectPr>
      </w:pPr>
    </w:p>
    <w:bookmarkStart w:id="7" w:name="page8"/>
    <w:bookmarkEnd w:id="7"/>
    <w:p>
      <w:pPr>
        <w:ind w:right="560"/>
        <w:spacing w:after="0" w:line="311" w:lineRule="auto"/>
        <w:rPr>
          <w:sz w:val="20"/>
          <w:szCs w:val="20"/>
          <w:color w:val="auto"/>
        </w:rPr>
      </w:pPr>
      <w:r>
        <w:rPr>
          <w:rFonts w:ascii="Arial" w:cs="Arial" w:eastAsia="Arial" w:hAnsi="Arial"/>
          <w:sz w:val="16"/>
          <w:szCs w:val="16"/>
          <w:color w:val="auto"/>
        </w:rPr>
        <w:t>The impact of ASC 606 and other income statement reclassifications, as described above, on the condensed consolidated statements of income for each quarter of 2017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160" w:type="dxa"/>
            <w:vAlign w:val="bottom"/>
            <w:tcBorders>
              <w:bottom w:val="single" w:sz="8" w:color="auto"/>
            </w:tcBorders>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3/31/2017</w:t>
            </w: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gridSpan w:val="7"/>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Three months ended 6/30/2017</w:t>
            </w:r>
          </w:p>
        </w:tc>
        <w:tc>
          <w:tcPr>
            <w:tcW w:w="1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As</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Change in</w:t>
            </w:r>
          </w:p>
        </w:tc>
        <w:tc>
          <w:tcPr>
            <w:tcW w:w="6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Impact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As</w:t>
            </w:r>
          </w:p>
        </w:tc>
        <w:tc>
          <w:tcPr>
            <w:tcW w:w="120" w:type="dxa"/>
            <w:vAlign w:val="bottom"/>
          </w:tcPr>
          <w:p>
            <w:pPr>
              <w:spacing w:after="0"/>
              <w:rPr>
                <w:sz w:val="13"/>
                <w:szCs w:val="13"/>
                <w:color w:val="auto"/>
              </w:rPr>
            </w:pPr>
          </w:p>
        </w:tc>
        <w:tc>
          <w:tcPr>
            <w:tcW w:w="660" w:type="dxa"/>
            <w:vAlign w:val="bottom"/>
          </w:tcPr>
          <w:p>
            <w:pPr>
              <w:jc w:val="center"/>
              <w:ind w:right="60"/>
              <w:spacing w:after="0" w:line="153" w:lineRule="exact"/>
              <w:rPr>
                <w:sz w:val="20"/>
                <w:szCs w:val="20"/>
                <w:color w:val="auto"/>
              </w:rPr>
            </w:pPr>
            <w:r>
              <w:rPr>
                <w:rFonts w:ascii="Arial" w:cs="Arial" w:eastAsia="Arial" w:hAnsi="Arial"/>
                <w:sz w:val="14"/>
                <w:szCs w:val="14"/>
                <w:b w:val="1"/>
                <w:bCs w:val="1"/>
                <w:color w:val="auto"/>
                <w:w w:val="89"/>
              </w:rPr>
              <w:t>As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Change in</w:t>
            </w: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Impact of</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1"/>
              </w:rPr>
              <w:t>previously</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of ASC</w:t>
            </w:r>
          </w:p>
        </w:tc>
        <w:tc>
          <w:tcPr>
            <w:tcW w:w="30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reported</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previously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1"/>
              </w:rPr>
              <w:t>Recast</w:t>
            </w:r>
          </w:p>
        </w:tc>
        <w:tc>
          <w:tcPr>
            <w:tcW w:w="0" w:type="dxa"/>
            <w:vAlign w:val="bottom"/>
          </w:tcPr>
          <w:p>
            <w:pPr>
              <w:spacing w:after="0"/>
              <w:rPr>
                <w:sz w:val="1"/>
                <w:szCs w:val="1"/>
                <w:color w:val="auto"/>
              </w:rPr>
            </w:pPr>
          </w:p>
        </w:tc>
      </w:tr>
      <w:tr>
        <w:trPr>
          <w:trHeight w:val="192"/>
        </w:trPr>
        <w:tc>
          <w:tcPr>
            <w:tcW w:w="35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reported</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Presentation</w:t>
            </w:r>
          </w:p>
        </w:tc>
        <w:tc>
          <w:tcPr>
            <w:tcW w:w="160" w:type="dxa"/>
            <w:vAlign w:val="bottom"/>
          </w:tcPr>
          <w:p>
            <w:pPr>
              <w:spacing w:after="0"/>
              <w:rPr>
                <w:sz w:val="16"/>
                <w:szCs w:val="16"/>
                <w:color w:val="auto"/>
              </w:rPr>
            </w:pPr>
          </w:p>
        </w:tc>
        <w:tc>
          <w:tcPr>
            <w:tcW w:w="48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606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herein</w:t>
            </w:r>
          </w:p>
        </w:tc>
        <w:tc>
          <w:tcPr>
            <w:tcW w:w="120" w:type="dxa"/>
            <w:vAlign w:val="bottom"/>
          </w:tcPr>
          <w:p>
            <w:pPr>
              <w:spacing w:after="0"/>
              <w:rPr>
                <w:sz w:val="16"/>
                <w:szCs w:val="16"/>
                <w:color w:val="auto"/>
              </w:rPr>
            </w:pPr>
          </w:p>
        </w:tc>
        <w:tc>
          <w:tcPr>
            <w:tcW w:w="66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reported</w:t>
            </w:r>
          </w:p>
        </w:tc>
        <w:tc>
          <w:tcPr>
            <w:tcW w:w="28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Presentation</w:t>
            </w:r>
          </w:p>
        </w:tc>
        <w:tc>
          <w:tcPr>
            <w:tcW w:w="120" w:type="dxa"/>
            <w:vAlign w:val="bottom"/>
          </w:tcPr>
          <w:p>
            <w:pPr>
              <w:spacing w:after="0"/>
              <w:rPr>
                <w:sz w:val="16"/>
                <w:szCs w:val="16"/>
                <w:color w:val="auto"/>
              </w:rPr>
            </w:pPr>
          </w:p>
        </w:tc>
        <w:tc>
          <w:tcPr>
            <w:tcW w:w="64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ASC 606</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Investment advisory fees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991.1</w:t>
            </w:r>
          </w:p>
        </w:tc>
        <w:tc>
          <w:tcPr>
            <w:tcW w:w="2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992.7</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$ 1,043.9</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w w:val="93"/>
              </w:rPr>
              <w:t>1,046.0</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Administrative, distribution, and servicing fees</w:t>
            </w:r>
            <w:r>
              <w:rPr>
                <w:rFonts w:ascii="Arial" w:cs="Arial" w:eastAsia="Arial" w:hAnsi="Arial"/>
                <w:sz w:val="21"/>
                <w:szCs w:val="21"/>
                <w:color w:val="auto"/>
                <w:w w:val="98"/>
                <w:vertAlign w:val="superscript"/>
              </w:rPr>
              <w:t>(1)</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122.5</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139.9</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127.7</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17"/>
        </w:trPr>
        <w:tc>
          <w:tcPr>
            <w:tcW w:w="3560" w:type="dxa"/>
            <w:vAlign w:val="bottom"/>
          </w:tcPr>
          <w:p>
            <w:pPr>
              <w:ind w:left="180"/>
              <w:spacing w:after="0"/>
              <w:rPr>
                <w:sz w:val="20"/>
                <w:szCs w:val="20"/>
                <w:color w:val="auto"/>
              </w:rPr>
            </w:pPr>
            <w:r>
              <w:rPr>
                <w:rFonts w:ascii="Arial" w:cs="Arial" w:eastAsia="Arial" w:hAnsi="Arial"/>
                <w:sz w:val="16"/>
                <w:szCs w:val="16"/>
                <w:color w:val="auto"/>
              </w:rPr>
              <w:t>Net revenues</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1,113.6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19.0</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6"/>
              </w:rPr>
              <w:t>1,132.6</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1,171.6</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14.4</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3"/>
              </w:rPr>
              <w:t>1,186.0</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Compensation and related costs</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397.4</w:t>
            </w: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403.8</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403.8</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Distribution and servicing</w:t>
            </w:r>
          </w:p>
        </w:tc>
        <w:tc>
          <w:tcPr>
            <w:tcW w:w="1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35.2</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59.8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36.4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Advertising and promotion</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w:t>
            </w: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Product-related costs</w:t>
            </w:r>
          </w:p>
        </w:tc>
        <w:tc>
          <w:tcPr>
            <w:tcW w:w="1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21.4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17.2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38.6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Technology, occupancy, and facility costs</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81.0</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82.8</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83.1</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w w:val="9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6"/>
                <w:szCs w:val="16"/>
                <w:color w:val="auto"/>
              </w:rPr>
              <w:t>General, administrative, and other</w:t>
            </w:r>
          </w:p>
        </w:tc>
        <w:tc>
          <w:tcPr>
            <w:tcW w:w="1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102.7</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56.6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122.1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Nonrecurring insurance recoveries related to Dell</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appraisal rights matter</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60" w:type="dxa"/>
            <w:vAlign w:val="bottom"/>
          </w:tcPr>
          <w:p>
            <w:pPr>
              <w:ind w:left="18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591.9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19.0</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610.9</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664.0</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14.4</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678.4</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income</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521.7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521.7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507.6</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318"/>
        </w:trPr>
        <w:tc>
          <w:tcPr>
            <w:tcW w:w="3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160" w:type="dxa"/>
            <w:vAlign w:val="bottom"/>
            <w:tcBorders>
              <w:bottom w:val="single" w:sz="8" w:color="auto"/>
            </w:tcBorders>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9/30/2017</w:t>
            </w: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gridSpan w:val="7"/>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Three months ended 12/31/2017</w:t>
            </w:r>
          </w:p>
        </w:tc>
        <w:tc>
          <w:tcPr>
            <w:tcW w:w="1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As</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Change in</w:t>
            </w:r>
          </w:p>
        </w:tc>
        <w:tc>
          <w:tcPr>
            <w:tcW w:w="6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Impact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60"/>
              <w:spacing w:after="0" w:line="153" w:lineRule="exact"/>
              <w:rPr>
                <w:sz w:val="20"/>
                <w:szCs w:val="20"/>
                <w:color w:val="auto"/>
              </w:rPr>
            </w:pPr>
            <w:r>
              <w:rPr>
                <w:rFonts w:ascii="Arial" w:cs="Arial" w:eastAsia="Arial" w:hAnsi="Arial"/>
                <w:sz w:val="14"/>
                <w:szCs w:val="14"/>
                <w:b w:val="1"/>
                <w:bCs w:val="1"/>
                <w:color w:val="auto"/>
                <w:w w:val="89"/>
              </w:rPr>
              <w:t>As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Change in</w:t>
            </w: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Impact of</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1"/>
              </w:rPr>
              <w:t>previously</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of ASC</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Recast</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previously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1"/>
              </w:rPr>
              <w:t>Recast</w:t>
            </w:r>
          </w:p>
        </w:tc>
        <w:tc>
          <w:tcPr>
            <w:tcW w:w="0" w:type="dxa"/>
            <w:vAlign w:val="bottom"/>
          </w:tcPr>
          <w:p>
            <w:pPr>
              <w:spacing w:after="0"/>
              <w:rPr>
                <w:sz w:val="1"/>
                <w:szCs w:val="1"/>
                <w:color w:val="auto"/>
              </w:rPr>
            </w:pPr>
          </w:p>
        </w:tc>
      </w:tr>
      <w:tr>
        <w:trPr>
          <w:trHeight w:val="192"/>
        </w:trPr>
        <w:tc>
          <w:tcPr>
            <w:tcW w:w="35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reported</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Presentation</w:t>
            </w:r>
          </w:p>
        </w:tc>
        <w:tc>
          <w:tcPr>
            <w:tcW w:w="160" w:type="dxa"/>
            <w:vAlign w:val="bottom"/>
          </w:tcPr>
          <w:p>
            <w:pPr>
              <w:spacing w:after="0"/>
              <w:rPr>
                <w:sz w:val="16"/>
                <w:szCs w:val="16"/>
                <w:color w:val="auto"/>
              </w:rPr>
            </w:pPr>
          </w:p>
        </w:tc>
        <w:tc>
          <w:tcPr>
            <w:tcW w:w="48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606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reported</w:t>
            </w:r>
          </w:p>
        </w:tc>
        <w:tc>
          <w:tcPr>
            <w:tcW w:w="28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Presentation</w:t>
            </w:r>
          </w:p>
        </w:tc>
        <w:tc>
          <w:tcPr>
            <w:tcW w:w="120" w:type="dxa"/>
            <w:vAlign w:val="bottom"/>
          </w:tcPr>
          <w:p>
            <w:pPr>
              <w:spacing w:after="0"/>
              <w:rPr>
                <w:sz w:val="16"/>
                <w:szCs w:val="16"/>
                <w:color w:val="auto"/>
              </w:rPr>
            </w:pPr>
          </w:p>
        </w:tc>
        <w:tc>
          <w:tcPr>
            <w:tcW w:w="64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ASC 606</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Investment advisory fees</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$1,096.7</w:t>
            </w:r>
          </w:p>
        </w:tc>
        <w:tc>
          <w:tcPr>
            <w:tcW w:w="2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w w:val="86"/>
              </w:rPr>
              <w:t>1,098.9</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$ 1,156.0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w w:val="93"/>
              </w:rPr>
              <w:t>1,158.2</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Administrative, distribution, and servicing fees</w:t>
            </w:r>
            <w:r>
              <w:rPr>
                <w:rFonts w:ascii="Arial" w:cs="Arial" w:eastAsia="Arial" w:hAnsi="Arial"/>
                <w:sz w:val="21"/>
                <w:szCs w:val="21"/>
                <w:color w:val="auto"/>
                <w:vertAlign w:val="superscript"/>
              </w:rPr>
              <w:t>(1)</w:t>
            </w: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125.0</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139.8</w:t>
            </w:r>
          </w:p>
        </w:tc>
        <w:tc>
          <w:tcPr>
            <w:tcW w:w="2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130.1</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17"/>
        </w:trPr>
        <w:tc>
          <w:tcPr>
            <w:tcW w:w="356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10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w w:val="89"/>
              </w:rPr>
              <w:t>1,221.7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17.0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w w:val="86"/>
              </w:rPr>
              <w:t>1,238.7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1,286.1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11.5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w w:val="93"/>
              </w:rPr>
              <w:t>1,297.6</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and related costs</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417.4</w:t>
            </w: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417.4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446.3</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446.3</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Distribution and servicing</w:t>
            </w:r>
          </w:p>
        </w:tc>
        <w:tc>
          <w:tcPr>
            <w:tcW w:w="1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37.4</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27.9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67.4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38.0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Advertising and promotion</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Product-related costs</w:t>
            </w:r>
          </w:p>
        </w:tc>
        <w:tc>
          <w:tcPr>
            <w:tcW w:w="1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23.4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14.5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37.9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9.1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occupancy, and facility costs</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84.0</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86.3</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90.4</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w w:val="9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General, administrative, and other</w:t>
            </w:r>
          </w:p>
        </w:tc>
        <w:tc>
          <w:tcPr>
            <w:tcW w:w="1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120.4</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67.2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146.6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673.2</w:t>
            </w: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690.2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755.1</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766.6</w:t>
            </w:r>
          </w:p>
        </w:tc>
        <w:tc>
          <w:tcPr>
            <w:tcW w:w="0" w:type="dxa"/>
            <w:vAlign w:val="bottom"/>
          </w:tcPr>
          <w:p>
            <w:pPr>
              <w:spacing w:after="0"/>
              <w:rPr>
                <w:sz w:val="1"/>
                <w:szCs w:val="1"/>
                <w:color w:val="auto"/>
              </w:rPr>
            </w:pPr>
          </w:p>
        </w:tc>
      </w:tr>
      <w:tr>
        <w:trPr>
          <w:trHeight w:val="217"/>
        </w:trPr>
        <w:tc>
          <w:tcPr>
            <w:tcW w:w="3560" w:type="dxa"/>
            <w:vAlign w:val="bottom"/>
          </w:tcPr>
          <w:p>
            <w:pPr>
              <w:ind w:left="40"/>
              <w:spacing w:after="0"/>
              <w:rPr>
                <w:sz w:val="20"/>
                <w:szCs w:val="20"/>
                <w:color w:val="auto"/>
              </w:rPr>
            </w:pPr>
            <w:r>
              <w:rPr>
                <w:rFonts w:ascii="Arial" w:cs="Arial" w:eastAsia="Arial" w:hAnsi="Arial"/>
                <w:sz w:val="16"/>
                <w:szCs w:val="16"/>
                <w:color w:val="auto"/>
              </w:rPr>
              <w:t>Net operating income</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548.5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548.5</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531.0</w:t>
            </w:r>
          </w:p>
        </w:tc>
        <w:tc>
          <w:tcPr>
            <w:tcW w:w="2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531.0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20955</wp:posOffset>
            </wp:positionV>
            <wp:extent cx="4991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62"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i w:val="1"/>
          <w:iCs w:val="1"/>
          <w:color w:val="auto"/>
        </w:rPr>
      </w:pPr>
      <w:r>
        <w:rPr>
          <w:rFonts w:ascii="Arial" w:cs="Arial" w:eastAsia="Arial" w:hAnsi="Arial"/>
          <w:sz w:val="14"/>
          <w:szCs w:val="14"/>
          <w:i w:val="1"/>
          <w:iCs w:val="1"/>
          <w:color w:val="auto"/>
        </w:rPr>
        <w:t>The previously reported column aggregates the administrative fees and distribution and servicing fees lines presented in the income statement in prior year.</w:t>
      </w:r>
    </w:p>
    <w:p>
      <w:pPr>
        <w:spacing w:after="0" w:line="13" w:lineRule="exact"/>
        <w:rPr>
          <w:rFonts w:ascii="Arial" w:cs="Arial" w:eastAsia="Arial" w:hAnsi="Arial"/>
          <w:sz w:val="9"/>
          <w:szCs w:val="9"/>
          <w:i w:val="1"/>
          <w:iCs w:val="1"/>
          <w:color w:val="auto"/>
        </w:rPr>
      </w:pPr>
    </w:p>
    <w:p>
      <w:pPr>
        <w:ind w:left="140" w:hanging="132"/>
        <w:spacing w:after="0"/>
        <w:tabs>
          <w:tab w:leader="none" w:pos="140" w:val="left"/>
        </w:tabs>
        <w:numPr>
          <w:ilvl w:val="0"/>
          <w:numId w:val="3"/>
        </w:numPr>
        <w:rPr>
          <w:rFonts w:ascii="Arial" w:cs="Arial" w:eastAsia="Arial" w:hAnsi="Arial"/>
          <w:sz w:val="8"/>
          <w:szCs w:val="8"/>
          <w:i w:val="1"/>
          <w:iCs w:val="1"/>
          <w:color w:val="auto"/>
        </w:rPr>
      </w:pPr>
      <w:r>
        <w:rPr>
          <w:rFonts w:ascii="Arial" w:cs="Arial" w:eastAsia="Arial" w:hAnsi="Arial"/>
          <w:sz w:val="13"/>
          <w:szCs w:val="13"/>
          <w:i w:val="1"/>
          <w:iCs w:val="1"/>
          <w:color w:val="auto"/>
        </w:rPr>
        <w:t>The previously reported column aggregates the depreciation and amortization of property and equipment and occupancy and facility costs lines presented in the income statement in prior year.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440" w:right="239" w:bottom="1440" w:gutter="0" w:footer="0" w:header="0"/>
        </w:sectPr>
      </w:pPr>
    </w:p>
    <w:bookmarkStart w:id="8" w:name="page9"/>
    <w:bookmarkEnd w:id="8"/>
    <w:p>
      <w:pPr>
        <w:ind w:right="40"/>
        <w:spacing w:after="0" w:line="287" w:lineRule="auto"/>
        <w:rPr>
          <w:sz w:val="20"/>
          <w:szCs w:val="20"/>
          <w:color w:val="auto"/>
        </w:rPr>
      </w:pPr>
      <w:r>
        <w:rPr>
          <w:rFonts w:ascii="Arial" w:cs="Arial" w:eastAsia="Arial" w:hAnsi="Arial"/>
          <w:sz w:val="16"/>
          <w:szCs w:val="16"/>
          <w:color w:val="auto"/>
        </w:rPr>
        <w:t xml:space="preserve">We adopted Accounting Standards Update No. 2016-01 — Financial Instruments — Overall (Subtopic 825-10): Recognition and Measurement of Financial Assets and Financial Liabilities on January 1, 2018. This standard update addresses certain aspects of recognition, measurement, presentation, and disclosure of financial instruments. After January 1, 2018, the guidance requires substantially all equity investments in non-consolidated entities to be measured at fair value with changes recognized in earnings, except for those accounted for using the equity method of accounting. As such, the guidance eliminated the available-for-sale investment category for equity securities, which required unrealized holding gains to be recognized in accumulated other comprehensive income. Upon adoption, we reclassified net unrealized holding gain of $7.9 million, net of taxes, related to our $597.1 million available-for-sale investment portfolio from accumulated other comprehensive income to retained earnings. Additionally, certain investments that do not have readily available market prices or quotations will be measured at fair value, under the new guidance, as we elected to use their calculated and reported net asset value (NAV) per share as a practical expedient for measuring their fair value in accordance with ASC 946. As such, we recognized a cumulative adjustment to retained earnings of $14.5 million to adjust investments previously accounted for as cost method investments to fair value on January 1, 2018. The corresponding increase in the investments’ carrying value and related deferred taxes was of $19.5 million and $5.0 million, respectively. Our updated investments policy is included in the </w:t>
      </w:r>
      <w:r>
        <w:rPr>
          <w:rFonts w:ascii="Arial" w:cs="Arial" w:eastAsia="Arial" w:hAnsi="Arial"/>
          <w:sz w:val="16"/>
          <w:szCs w:val="16"/>
          <w:i w:val="1"/>
          <w:iCs w:val="1"/>
          <w:color w:val="auto"/>
        </w:rPr>
        <w:t xml:space="preserve">Summary of Significant Accounting Policies </w:t>
      </w:r>
      <w:r>
        <w:rPr>
          <w:rFonts w:ascii="Arial" w:cs="Arial" w:eastAsia="Arial" w:hAnsi="Arial"/>
          <w:sz w:val="16"/>
          <w:szCs w:val="16"/>
          <w:color w:val="auto"/>
        </w:rPr>
        <w:t>section below.</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adopted Accounting Standards Update No. 2018-02 — Reclassification of certain tax effects from accumulated other comprehensive income on January 1, 2018. This guidance permits tax effects stranded in accumulated other comprehensive income primarily resulting from the enactment of the U.S. tax reform bill originally known as the Tax Cuts and Jobs Act of 2017 to be reclassified to retained earnings either on January 1, 2018 or retrospectively. We elected to adopt the guidance on January 1, 2018 and reclassified $2.3 million of stranded tax benefits related to currency translation adjustments to retained earnings. The stranded income taxes related to our available-for-sale investment portfolio at December 31, 2017, were reclassified to retained earnings with the adoption of Accounting Standards Update No. 2016-01 on January 1, 2018. Our updated comprehensive income policy is included in the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section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NEWLY ISSUED BUT NOT YET ADOPTED ACCOUNTING GUIDANCE.</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February 2016, the FASB issued Accounting Standards Update No. 2016-02 — Leases (Topic 842). The standard update seeks to increase transparency and comparability among organizations by recognizing lease assets and lease liabilities on the balance sheet and disclosing key information about leasing arrangements. The standards update is effective for fiscal years beginning after December 15, 2018, including interim periods within those fiscal years. Early adoption is permitted and certain practical expedients are available. While we continue evaluating the full impact this standard will have on our financial position and results of operations, we currently expect the most significant impact will be the recognition of a right of use asset and lease liability on our consolidated balance sheets for each real-estate operating lease. We plan to adopt the standard on its effective date, January 1, 2019.</w:t>
      </w:r>
    </w:p>
    <w:p>
      <w:pPr>
        <w:spacing w:after="0" w:line="16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condensed consolidated statements, including those we have not yet adopted. We do not believe that any such guidance has or will have a material effect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revenue is earned from investment advisory, administrative, and distribution services we provide to our clients. Each distinct service we promise in our agreements is considered a performance obligation and is the basis for determining when we recognize revenue. The fees are allocated to each distinct performance obligation and we recognize revenue when, or as, we satisfy our promises. The timing of when we bill our clients varies in accordance with agreed-upon contractual terms. For the majority of our agreements, billing occurs after we have recognized revenue which results in accounts receivable and accrued revenue. For an insignificant portion of our contracts, billing occurs in advance of providing services which results in deferred revenue within the accounts payable and accrued expenses line of our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majority of our investment advisory agreements, including those with the U.S. mutual funds, have a single performance obligation as the promised services are not separately identifiable from other promises in the agreements and, therefore, are not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00"/>
          </w:cols>
          <w:pgMar w:left="240" w:top="368" w:right="25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distinct. Substantially all performance obligations for providing advisory services are satisfied over time and revenue is recognized as time passes.</w:t>
      </w:r>
    </w:p>
    <w:p>
      <w:pPr>
        <w:spacing w:after="0" w:line="1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Investment advisory agreements with T. Rowe Price investment products regulated outside the U.S. generally have two performance obligations; one for investment management and one for distribution. For these agreements, we allocate the management fee to each performance obligation using our best estimate of the standalone fee of each of these services. The performance obligation for providing investment management services, like our other advisory contracts, is satisfied over time and revenue is recognized as time passes. The performance obligation for distribution is satisfied at the point in time when an investor makes an investment into the product. Accordingly, a portion of the investment advisory fees earned from these products relate to distribution performance obligations that were satisfied during prior periods. These distribution fees are reported within the investment advisory fees line of our condensed consolidated statements of income.</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management fee for our investment advisory agreements are based on our assets under management, which change based on fluctuations in financial markets, and represent variable consideration. Therefore, investment advisory fees are generally constrained, and excluded from revenue, until the asset values on which our client is billed are no longer subject to financial market volatility. Our assets under management are valued in accordance with valuation and pricing processes for each major type of investment.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Investments for which market prices are not readily available are not a material portion of our total assets under management.</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provide all services to the U.S. mutual funds under contracts that are subject to periodic review and approval by the funds’ Boards. Regulations require that the funds’ shareholders also approve material changes to investment advisory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distribution, and servicing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fees</w:t>
      </w:r>
    </w:p>
    <w:p>
      <w:pPr>
        <w:spacing w:after="0" w:line="23"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The administrative services we provide include distribution, mutual fund transfer agent, accounting and shareholder services; participant recordkeeping and transfer agent services for defined contribution retirement plans; brokerage, and trust services.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administrative service agreements with the U.S. mutual funds for accounting oversight, transfer agency and recordkeeping services generally have one performance obligation as the promised services in each agreement are not separately identifiable from other promises in the agreement and, therefore, are not distinct. The fees for performing these services are generally equal to the costs incurred and represent variable consideration. The fees are generally constrained, and are recognized as revenue when costs are incurred to perform the services. These fees are generally offset by the costs incurred to provide such services.</w:t>
      </w:r>
    </w:p>
    <w:p>
      <w:pPr>
        <w:spacing w:after="0" w:line="19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Other administrative service agreements for participant recordkeeping and transfer agent services for defined contribution retirement plans; brokerage services, and trust services generally have one performance obligation as the promised services in each agreement are not separately identifiable from other performance obligations in the contract and, therefore, are not distinct. Our performance obligation in each agreement is satisfied over time and revenue is recognized as time passes. The fees for these services vary by contract and are both fixed and variable.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and servicing fees</w:t>
      </w:r>
    </w:p>
    <w:p>
      <w:pPr>
        <w:spacing w:after="0" w:line="23"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 xml:space="preserve">The agreements for distribution and servicing fees earned from 12b-1 plans of the Advisor Class, R Class, and Variable Annuity II Class shares of the U.S. mutual funds have one performance obligation, as distribution services are not separately identifiable from shareholder servicing promises in the agreements and, therefore, are not distinct. Our performance obligation is satisfied at the point in time when an investor makes an investment into these share classes of the U.S. mutual funds. The fees for these distribution and servicing agreements are based on the assets under management in these shares classes, which change based on fluctuations in financial markets, and represent variable consideration. These fees are generally constrained, and excluded from revenue, until the asset values on which our client is billed are not subject to financial market volatility. Accordingly, the majority of the distribution and servicing revenue disclosed in </w:t>
      </w:r>
      <w:r>
        <w:rPr>
          <w:rFonts w:ascii="Arial" w:cs="Arial" w:eastAsia="Arial" w:hAnsi="Arial"/>
          <w:sz w:val="17"/>
          <w:szCs w:val="17"/>
          <w:i w:val="1"/>
          <w:iCs w:val="1"/>
          <w:color w:val="auto"/>
        </w:rPr>
        <w:t>Note 2 - information about receivables, revenues and services</w:t>
      </w:r>
      <w:r>
        <w:rPr>
          <w:rFonts w:ascii="Arial" w:cs="Arial" w:eastAsia="Arial" w:hAnsi="Arial"/>
          <w:sz w:val="17"/>
          <w:szCs w:val="17"/>
          <w:color w:val="auto"/>
        </w:rPr>
        <w:t xml:space="preserve"> relates to distribution and servicing obligations that were satisfied during prior periods. These fees are offset entirely by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distribution and servicing costs paid to third-party financial intermediaries that source the assets of these share classes.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held at fair value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Investments in T. Rowe Price investment products have been made for both general corporate investment purposes and to provide seed capital for newly formed products. Those investments that we do not consolidate are carried at fair value using the quoted closing NAV per share of each fund as of the balance sheet date. The underlying investments held by our consolidated 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530" w:right="259" w:bottom="1440" w:gutter="0" w:footer="0" w:header="0"/>
        </w:sectPr>
      </w:pPr>
    </w:p>
    <w:bookmarkStart w:id="10" w:name="page11"/>
    <w:bookmarkEnd w:id="10"/>
    <w:p>
      <w:pPr>
        <w:ind w:right="100"/>
        <w:spacing w:after="0" w:line="277" w:lineRule="auto"/>
        <w:rPr>
          <w:sz w:val="20"/>
          <w:szCs w:val="20"/>
          <w:color w:val="auto"/>
        </w:rPr>
      </w:pPr>
      <w:r>
        <w:rPr>
          <w:rFonts w:ascii="Arial" w:cs="Arial" w:eastAsia="Arial" w:hAnsi="Arial"/>
          <w:sz w:val="18"/>
          <w:szCs w:val="18"/>
          <w:color w:val="auto"/>
        </w:rPr>
        <w:t>Rowe Price investment products are considered trading securities and are valued in accordance with the valuation and pricing policy used to value our assets under management which is further described in the Revenue Recognition policy above.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elected to value our interest in investment partnerships for which market prices or quotations are not readily available, at fair value using the NAV per share as a practical expedient for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fair values of all these investments are reflected in non-operating income in our condensed consolidated statements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Equity method investments consist of investments in entities, including T. Rowe Price investment products, for which we have the ability to exercise significant influence over the operating and financial policies of the investee. The carrying values of these investments are adjusted to reflect our proportionate share of the investee's net income or loss, any unrealized gain or loss resulting from the translation of foreign-denominated financial statements into U.S. dollars, and dividends received. Our proportionate share of income or loss is included in non-operating income in our consolidated statements of income. 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components of comprehensive income are presented in a separate statement following our consolidated statements of income and include net income, the change in our currency translation adjustments, and prior to 2018, the change in net unrealized security holding gains (losses) on investments classified as available-for-sale. The currency translation adjustments result from translating our proportionate share of the financial statements of UTI, our equity method investment, and certain consolidated T. Rowe Price investment products into U.S. dollars. Assets and liabilities are translated into U.S. dollars using year-end exchange rates, and revenues and expenses are translated using weighted-average exchange rates for the period.</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financial statements. The notes also indicate the line item of our consolidated statements of income to which the significant reclassifications were recognized.</w:t>
      </w:r>
    </w:p>
    <w:p>
      <w:pPr>
        <w:spacing w:after="0" w:line="166"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reclassify income tax effects relating to currency translation adjustments to tax expense when there is a reduction in our ownership interest in the related investment. The amount of the reclassification depends on the investment’s accounting treatment before and after the change in ownership percentage. Prior to 2018, tax effects relating to each available-for-sale investment’s unrealized holding gain or loss, were reclassified upon the sale of the investment.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80"/>
          </w:cols>
          <w:pgMar w:left="240" w:top="368"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during the first quarter of 2017 and 2018 under agreements with clients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3020" w:type="dxa"/>
            <w:vAlign w:val="bottom"/>
            <w:tcBorders>
              <w:bottom w:val="single" w:sz="8" w:color="auto"/>
            </w:tcBorders>
            <w:gridSpan w:val="7"/>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 3/31/2017</w:t>
            </w: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6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4"/>
              </w:rPr>
              <w:t>Administrative, distribution, and servicing fees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Investment advisory</w:t>
            </w:r>
          </w:p>
        </w:tc>
        <w:tc>
          <w:tcPr>
            <w:tcW w:w="140" w:type="dxa"/>
            <w:vAlign w:val="bottom"/>
            <w:shd w:val="clear" w:color="auto" w:fill="CCEEFF"/>
          </w:tcPr>
          <w:p>
            <w:pPr>
              <w:spacing w:after="0"/>
              <w:rPr>
                <w:sz w:val="13"/>
                <w:szCs w:val="13"/>
                <w:color w:val="auto"/>
              </w:rPr>
            </w:pPr>
          </w:p>
        </w:tc>
        <w:tc>
          <w:tcPr>
            <w:tcW w:w="1440" w:type="dxa"/>
            <w:vAlign w:val="bottom"/>
            <w:gridSpan w:val="3"/>
            <w:vMerge w:val="restart"/>
            <w:shd w:val="clear" w:color="auto" w:fill="CCEEFF"/>
          </w:tcPr>
          <w:p>
            <w:pPr>
              <w:spacing w:after="0"/>
              <w:rPr>
                <w:sz w:val="20"/>
                <w:szCs w:val="20"/>
                <w:color w:val="auto"/>
              </w:rPr>
            </w:pPr>
            <w:r>
              <w:rPr>
                <w:rFonts w:ascii="Arial" w:cs="Arial" w:eastAsia="Arial" w:hAnsi="Arial"/>
                <w:sz w:val="14"/>
                <w:szCs w:val="14"/>
                <w:b w:val="1"/>
                <w:bCs w:val="1"/>
                <w:color w:val="auto"/>
              </w:rPr>
              <w:t>Administrative fees</w:t>
            </w:r>
          </w:p>
        </w:tc>
        <w:tc>
          <w:tcPr>
            <w:tcW w:w="18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Distribution and</w:t>
            </w:r>
          </w:p>
        </w:tc>
        <w:tc>
          <w:tcPr>
            <w:tcW w:w="24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0"/>
              </w:rPr>
              <w:t>Net revenues</w:t>
            </w:r>
          </w:p>
        </w:tc>
        <w:tc>
          <w:tcPr>
            <w:tcW w:w="0" w:type="dxa"/>
            <w:vAlign w:val="bottom"/>
          </w:tcPr>
          <w:p>
            <w:pPr>
              <w:spacing w:after="0"/>
              <w:rPr>
                <w:sz w:val="1"/>
                <w:szCs w:val="1"/>
                <w:color w:val="auto"/>
              </w:rPr>
            </w:pPr>
          </w:p>
        </w:tc>
      </w:tr>
      <w:tr>
        <w:trPr>
          <w:trHeight w:val="19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78"/>
              </w:rPr>
              <w:t>fees</w:t>
            </w:r>
          </w:p>
        </w:tc>
        <w:tc>
          <w:tcPr>
            <w:tcW w:w="140" w:type="dxa"/>
            <w:vAlign w:val="bottom"/>
            <w:shd w:val="clear" w:color="auto" w:fill="CCEEFF"/>
          </w:tcPr>
          <w:p>
            <w:pPr>
              <w:spacing w:after="0"/>
              <w:rPr>
                <w:sz w:val="16"/>
                <w:szCs w:val="16"/>
                <w:color w:val="auto"/>
              </w:rPr>
            </w:pPr>
          </w:p>
        </w:tc>
        <w:tc>
          <w:tcPr>
            <w:tcW w:w="144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7"/>
              </w:rPr>
              <w:t>servicing fees</w:t>
            </w:r>
          </w:p>
        </w:tc>
        <w:tc>
          <w:tcPr>
            <w:tcW w:w="24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mutual funds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717.4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838.9</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Subadvised and separately managed accounts and other investment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3020" w:type="dxa"/>
            <w:vAlign w:val="bottom"/>
            <w:tcBorders>
              <w:bottom w:val="single" w:sz="8" w:color="auto"/>
            </w:tcBorders>
            <w:gridSpan w:val="7"/>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 3/31/2018</w:t>
            </w: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6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4"/>
              </w:rPr>
              <w:t>Administrative, distribution, and servicing fees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Investment advisory</w:t>
            </w:r>
          </w:p>
        </w:tc>
        <w:tc>
          <w:tcPr>
            <w:tcW w:w="140" w:type="dxa"/>
            <w:vAlign w:val="bottom"/>
            <w:shd w:val="clear" w:color="auto" w:fill="CCEEFF"/>
          </w:tcPr>
          <w:p>
            <w:pPr>
              <w:spacing w:after="0"/>
              <w:rPr>
                <w:sz w:val="13"/>
                <w:szCs w:val="13"/>
                <w:color w:val="auto"/>
              </w:rPr>
            </w:pPr>
          </w:p>
        </w:tc>
        <w:tc>
          <w:tcPr>
            <w:tcW w:w="1440" w:type="dxa"/>
            <w:vAlign w:val="bottom"/>
            <w:gridSpan w:val="3"/>
            <w:vMerge w:val="restart"/>
            <w:shd w:val="clear" w:color="auto" w:fill="CCEEFF"/>
          </w:tcPr>
          <w:p>
            <w:pPr>
              <w:spacing w:after="0"/>
              <w:rPr>
                <w:sz w:val="20"/>
                <w:szCs w:val="20"/>
                <w:color w:val="auto"/>
              </w:rPr>
            </w:pPr>
            <w:r>
              <w:rPr>
                <w:rFonts w:ascii="Arial" w:cs="Arial" w:eastAsia="Arial" w:hAnsi="Arial"/>
                <w:sz w:val="14"/>
                <w:szCs w:val="14"/>
                <w:b w:val="1"/>
                <w:bCs w:val="1"/>
                <w:color w:val="auto"/>
              </w:rPr>
              <w:t>Administrative fees</w:t>
            </w:r>
          </w:p>
        </w:tc>
        <w:tc>
          <w:tcPr>
            <w:tcW w:w="18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Distribution and</w:t>
            </w:r>
          </w:p>
        </w:tc>
        <w:tc>
          <w:tcPr>
            <w:tcW w:w="24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0"/>
              </w:rPr>
              <w:t>Net revenues</w:t>
            </w:r>
          </w:p>
        </w:tc>
        <w:tc>
          <w:tcPr>
            <w:tcW w:w="0" w:type="dxa"/>
            <w:vAlign w:val="bottom"/>
          </w:tcPr>
          <w:p>
            <w:pPr>
              <w:spacing w:after="0"/>
              <w:rPr>
                <w:sz w:val="1"/>
                <w:szCs w:val="1"/>
                <w:color w:val="auto"/>
              </w:rPr>
            </w:pPr>
          </w:p>
        </w:tc>
      </w:tr>
      <w:tr>
        <w:trPr>
          <w:trHeight w:val="192"/>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78"/>
              </w:rPr>
              <w:t>fees</w:t>
            </w:r>
          </w:p>
        </w:tc>
        <w:tc>
          <w:tcPr>
            <w:tcW w:w="140" w:type="dxa"/>
            <w:vAlign w:val="bottom"/>
            <w:shd w:val="clear" w:color="auto" w:fill="CCEEFF"/>
          </w:tcPr>
          <w:p>
            <w:pPr>
              <w:spacing w:after="0"/>
              <w:rPr>
                <w:sz w:val="16"/>
                <w:szCs w:val="16"/>
                <w:color w:val="auto"/>
              </w:rPr>
            </w:pPr>
          </w:p>
        </w:tc>
        <w:tc>
          <w:tcPr>
            <w:tcW w:w="144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7"/>
              </w:rPr>
              <w:t>servicing fees</w:t>
            </w:r>
          </w:p>
        </w:tc>
        <w:tc>
          <w:tcPr>
            <w:tcW w:w="24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mutual funds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832.9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951.3</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Subadvised and separately managed accounts and other investment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1,189.2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102.2</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60" w:type="dxa"/>
            <w:vAlign w:val="bottom"/>
            <w:gridSpan w:val="8"/>
          </w:tcPr>
          <w:p>
            <w:pPr>
              <w:spacing w:after="0"/>
              <w:rPr>
                <w:sz w:val="20"/>
                <w:szCs w:val="20"/>
                <w:color w:val="auto"/>
              </w:rPr>
            </w:pPr>
            <w:r>
              <w:rPr>
                <w:rFonts w:ascii="Arial" w:cs="Arial" w:eastAsia="Arial" w:hAnsi="Arial"/>
                <w:sz w:val="18"/>
                <w:szCs w:val="18"/>
                <w:color w:val="auto"/>
                <w:w w:val="98"/>
              </w:rPr>
              <w:t>The following table details the investment advisory fees earned from clients by their underlying asset class.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4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860" w:type="dxa"/>
            <w:vAlign w:val="bottom"/>
            <w:tcBorders>
              <w:bottom w:val="single" w:sz="8" w:color="auto"/>
            </w:tcBorders>
            <w:gridSpan w:val="5"/>
            <w:shd w:val="clear" w:color="auto" w:fill="CCEEFF"/>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3/31/2017</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3"/>
              </w:rPr>
              <w:t>3/31/2018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mutual funds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Equity and blended assets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594.2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705.5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and money market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717.4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3"/>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Subadvised and separately managed accounts and other investment products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Equity and blended assets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227.9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and money market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992.7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1,189.2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investment portfolios and assets under management on which we earn investment advisory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1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Average during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 first quarter of</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1"/>
              </w:rPr>
              <w:t>As of</w:t>
            </w:r>
          </w:p>
        </w:tc>
        <w:tc>
          <w:tcPr>
            <w:tcW w:w="1180" w:type="dxa"/>
            <w:vAlign w:val="bottom"/>
            <w:tcBorders>
              <w:bottom w:val="single" w:sz="8" w:color="auto"/>
            </w:tcBorders>
          </w:tcPr>
          <w:p>
            <w:pPr>
              <w:spacing w:after="0"/>
              <w:rPr>
                <w:sz w:val="16"/>
                <w:szCs w:val="16"/>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12/31/2017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3/31/2018</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 and blended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5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484.1</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Fixed income and money market</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128.8</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536.5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612.9</w:t>
            </w:r>
          </w:p>
        </w:tc>
      </w:tr>
      <w:tr>
        <w:trPr>
          <w:trHeight w:val="209"/>
        </w:trPr>
        <w:tc>
          <w:tcPr>
            <w:tcW w:w="5140" w:type="dxa"/>
            <w:vAlign w:val="bottom"/>
          </w:tcPr>
          <w:p>
            <w:pPr>
              <w:ind w:left="40"/>
              <w:spacing w:after="0"/>
              <w:rPr>
                <w:sz w:val="20"/>
                <w:szCs w:val="20"/>
                <w:color w:val="auto"/>
              </w:rPr>
            </w:pPr>
            <w:r>
              <w:rPr>
                <w:rFonts w:ascii="Arial" w:cs="Arial" w:eastAsia="Arial" w:hAnsi="Arial"/>
                <w:sz w:val="18"/>
                <w:szCs w:val="18"/>
                <w:color w:val="auto"/>
                <w:w w:val="92"/>
              </w:rPr>
              <w:t>Subadvised and separately managed accounts and other investment</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products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 and blended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304.8</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Fixed income and money market</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96.5</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401.3</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845.4</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1,025.5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991.1</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1,014.2</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12</w:t>
      </w:r>
    </w:p>
    <w:p>
      <w:pPr>
        <w:sectPr>
          <w:pgSz w:w="11900" w:h="16838" w:orient="portrait"/>
          <w:cols w:equalWidth="0" w:num="1">
            <w:col w:w="11420"/>
          </w:cols>
          <w:pgMar w:left="240" w:top="584" w:right="239" w:bottom="1440" w:gutter="0" w:footer="0" w:header="0"/>
          <w:type w:val="continuous"/>
        </w:sectPr>
      </w:pPr>
    </w:p>
    <w:bookmarkStart w:id="12" w:name="page13"/>
    <w:bookmarkEnd w:id="12"/>
    <w:p>
      <w:pPr>
        <w:ind w:right="5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5.8% and 6.0% of our assets under management at December 31, 2017, and March 31,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Total net revenues earned from T. Rowe Price investment products aggregate $945.0 million and $1,100.6 for the first quarter of 2017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these products aggregates $365.3 million at December 31, 2017, and $388.8 million at March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investments we do not consolidate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12/31/2017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3/31/2018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Investments held at fair value</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T. Rowe Price investment products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692.1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w w:val="95"/>
              </w:rPr>
              <w:t>T. Rowe Price investment products designated as an economic hedge of supplemental savings plan liability</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283.3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Investment partnerships and other investments</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163.2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Treasury note</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2,095.1</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right="180" w:firstLine="8"/>
        <w:spacing w:after="0" w:line="272" w:lineRule="auto"/>
        <w:tabs>
          <w:tab w:leader="none" w:pos="150" w:val="left"/>
        </w:tabs>
        <w:numPr>
          <w:ilvl w:val="0"/>
          <w:numId w:val="4"/>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Includes $597.1 million of investments at December 31, 2017, that were previously reported as available-for sale investments prior to the adoption of the new financial instruments guidance on January 1, 2018. Refer to Note 1 for more information.</w:t>
      </w:r>
    </w:p>
    <w:p>
      <w:pPr>
        <w:spacing w:after="0" w:line="1" w:lineRule="exact"/>
        <w:rPr>
          <w:rFonts w:ascii="Arial" w:cs="Arial" w:eastAsia="Arial" w:hAnsi="Arial"/>
          <w:sz w:val="17"/>
          <w:szCs w:val="17"/>
          <w:i w:val="1"/>
          <w:iCs w:val="1"/>
          <w:color w:val="auto"/>
          <w:vertAlign w:val="superscript"/>
        </w:rPr>
      </w:pPr>
    </w:p>
    <w:p>
      <w:pPr>
        <w:ind w:right="120" w:firstLine="8"/>
        <w:spacing w:after="0" w:line="273" w:lineRule="auto"/>
        <w:tabs>
          <w:tab w:leader="none" w:pos="141" w:val="left"/>
        </w:tabs>
        <w:numPr>
          <w:ilvl w:val="0"/>
          <w:numId w:val="4"/>
        </w:numPr>
        <w:rPr>
          <w:rFonts w:ascii="Arial" w:cs="Arial" w:eastAsia="Arial" w:hAnsi="Arial"/>
          <w:sz w:val="9"/>
          <w:szCs w:val="9"/>
          <w:i w:val="1"/>
          <w:iCs w:val="1"/>
          <w:color w:val="auto"/>
        </w:rPr>
      </w:pPr>
      <w:r>
        <w:rPr>
          <w:rFonts w:ascii="Arial" w:cs="Arial" w:eastAsia="Arial" w:hAnsi="Arial"/>
          <w:sz w:val="14"/>
          <w:szCs w:val="14"/>
          <w:i w:val="1"/>
          <w:iCs w:val="1"/>
          <w:color w:val="auto"/>
        </w:rPr>
        <w:t>These investments at December 31, 2017 were carried at cost. Upon adoption of new financial guidance on January 1, 2018, these investments are carried at fair value using NAV per share as a practical expedient. Refer to Note 1 for more information.</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other investments at fair value include investment partnerships that are carried at fair value using their net asset value per share as a practical expedient. Our interests in these partnerships are generally not redeemable and are subject to significant restrictions on transferability.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gains on investments during the first quarter of 2018 includes $1.9 million of net unrealized losses recognized on investments held at fair value that were still held at March 31, 2018. For the first quarter of 2017, the majority of unrealized gains or losses on investments held at fair value are included and presented with other comprehensive income.</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first three months of 2017 and 2018,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first three months of 2017 certain T. Rowe Price investment products that were being accounted for as equity method investments were consolidated, as we regained a controlling interest. The net impact of these changes on our condensed consolidated balance sheets and income statements as of the dates the portfolios were deconsolidated or reconsolidated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1"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66675</wp:posOffset>
            </wp:positionV>
            <wp:extent cx="1663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3/31/2017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3/31/2018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assets of consolidated T. Rowe Price investment products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increase (decrease) in liabilities of consolidated T. Rowe Price investment products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redeemable non-controlling interests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r>
      <w:tr>
        <w:trPr>
          <w:trHeight w:val="284"/>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(losses) recognized upon deconsolidation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r>
        <w:trPr>
          <w:trHeight w:val="27"/>
        </w:trPr>
        <w:tc>
          <w:tcPr>
            <w:tcW w:w="8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gains or losses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VARIABLE INTEREST ENTITIES.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investments at December 31, 2017 and March 31, 2018, include interests in variable interest entities that we do not consolidate as we are not deemed the primary beneficiary. Our maximum risk of loss related to our involvement with these entities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12/31/2017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3/31/2018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 carrying values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254.3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capital commitments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Uncollected investment advisory and administrative fees</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9.3</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300.8</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unfunded capital commitments totaling $38.8 million and $37.2 million at December 31, 2017 and March 31, 2018, respectively, relate primarily to the investment partnerships in which we have an existing investment. In addition to such amounts, a percentage of prior distributions may be called under certain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4 – FAIR VALUE MEASUREMENTS.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740" w:right="46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reflecting our own assumptions based on the best information available. We do not value any investments using Level 3 inputs.</w:t>
      </w:r>
    </w:p>
    <w:p>
      <w:pPr>
        <w:spacing w:after="0" w:line="18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transfers between the levels. The following table summarizes our investments that are recognized in our condensed consolidated balance sheets using fair value measurements determined based on the differing levels of inputs. This table excludes investments held by consolidated T. Rowe Price investment products which are presented separately on our condensed consolidated balance sheets and are detailed in Note 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12/31/17</w:t>
            </w:r>
          </w:p>
        </w:tc>
        <w:tc>
          <w:tcPr>
            <w:tcW w:w="8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3/31/18</w:t>
            </w:r>
          </w:p>
        </w:tc>
        <w:tc>
          <w:tcPr>
            <w:tcW w:w="880" w:type="dxa"/>
            <w:vAlign w:val="bottom"/>
            <w:tcBorders>
              <w:bottom w:val="single" w:sz="8" w:color="auto"/>
            </w:tcBorders>
            <w:shd w:val="clear" w:color="auto" w:fill="CCEEFF"/>
          </w:tcPr>
          <w:p>
            <w:pPr>
              <w:spacing w:after="0"/>
              <w:rPr>
                <w:sz w:val="22"/>
                <w:szCs w:val="22"/>
                <w:color w:val="auto"/>
              </w:rPr>
            </w:pP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2</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1,488.9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T. Rowe Price investment products</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942.9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1,496.4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18.0</w:t>
            </w: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2,669.3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2,985.3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right="420" w:firstLine="8"/>
        <w:spacing w:after="0" w:line="302" w:lineRule="auto"/>
        <w:tabs>
          <w:tab w:leader="none" w:pos="150" w:val="left"/>
        </w:tabs>
        <w:numPr>
          <w:ilvl w:val="0"/>
          <w:numId w:val="5"/>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Includes $597.1 million of investments at December 31, 2017 that were previously reported as available-for sale investments prior to the adoption of new financial instruments guidance on January 1, 2018. Refer to Note 1 for more information.</w:t>
      </w:r>
    </w:p>
    <w:p>
      <w:pPr>
        <w:spacing w:after="0" w:line="1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March 31, 2018, the reported investments held at fair value in Note 3 include $95.2 million of investments that are carried at fair value using the NAV per share as a practical expedient. These investments are not required to be included in the fair value hierarchy levels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5 – CONSOLIDATED T. ROWE PRICE INVESTMENT PRODUCTS.</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T. Rowe Price investment products that we consolidate in our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b w:val="1"/>
                <w:bCs w:val="1"/>
                <w:color w:val="auto"/>
                <w:w w:val="96"/>
              </w:rPr>
              <w:t>12/31/2017</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w w:val="99"/>
              </w:rPr>
              <w:t>3/31/2018</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Voting</w:t>
            </w:r>
          </w:p>
        </w:tc>
        <w:tc>
          <w:tcPr>
            <w:tcW w:w="160" w:type="dxa"/>
            <w:vAlign w:val="bottom"/>
          </w:tcPr>
          <w:p>
            <w:pPr>
              <w:spacing w:after="0"/>
              <w:rPr>
                <w:sz w:val="13"/>
                <w:szCs w:val="13"/>
                <w:color w:val="auto"/>
              </w:rPr>
            </w:pPr>
          </w:p>
        </w:tc>
        <w:tc>
          <w:tcPr>
            <w:tcW w:w="9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9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3"/>
                <w:szCs w:val="13"/>
                <w:color w:val="auto"/>
              </w:rPr>
            </w:pPr>
          </w:p>
        </w:tc>
        <w:tc>
          <w:tcPr>
            <w:tcW w:w="9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3"/>
                <w:szCs w:val="13"/>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interest entities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interest entities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96.0</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67.1</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1,725.7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1,914.5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1,157.2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1,391.2</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1,839.6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2,048.4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1,238.5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1,800.1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1,992.5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1,210.7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1,457.6</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868.1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911.1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1,800.1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1,992.5</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1,210.7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17145</wp:posOffset>
            </wp:positionV>
            <wp:extent cx="42621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(1)</w:t>
      </w:r>
      <w:r>
        <w:rPr>
          <w:rFonts w:ascii="Arial" w:cs="Arial" w:eastAsia="Arial" w:hAnsi="Arial"/>
          <w:sz w:val="13"/>
          <w:szCs w:val="13"/>
          <w:i w:val="1"/>
          <w:iCs w:val="1"/>
          <w:color w:val="auto"/>
        </w:rPr>
        <w:t>Cash and cash equivalents includes $6.2 million and $15.7 million at December 31, 2017 and March 31, 2018, respectively, of investments in T. Rowe Price money market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-90805</wp:posOffset>
            </wp:positionV>
            <wp:extent cx="42621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(2)</w:t>
      </w:r>
      <w:r>
        <w:rPr>
          <w:rFonts w:ascii="Arial" w:cs="Arial" w:eastAsia="Arial" w:hAnsi="Arial"/>
          <w:sz w:val="14"/>
          <w:szCs w:val="14"/>
          <w:i w:val="1"/>
          <w:iCs w:val="1"/>
          <w:color w:val="auto"/>
        </w:rPr>
        <w:t>Investments include $15.0 million and $45.3 million at December 31, 2017 and March 31, 2018, respectively, of T. Rowe Price investment products.</w:t>
      </w:r>
    </w:p>
    <w:p>
      <w:pPr>
        <w:spacing w:after="0" w:line="21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Although we can redeem our net interest in these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condensed consolidated statements of income, and disclose the portion attributable to third party investors as net income attributable to redeemable non-controlling interests.</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operating results of the consolidated T. Rowe Price investment products for the three months ended March 31, 2017 and 2018 are reflected in our condensed consolidated statements of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254635</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85"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66675</wp:posOffset>
            </wp:positionV>
            <wp:extent cx="42621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3/31/2017</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3/31/2018</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Voting</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100"/>
              <w:spacing w:after="0" w:line="153"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8"/>
              </w:rPr>
              <w:t>interest entities</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65"/>
        </w:trPr>
        <w:tc>
          <w:tcPr>
            <w:tcW w:w="4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Net income attributable to redeemable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operating expenses of these consolidated products are reflected in other operating expenses. Operating expenses eliminated for the three months ended March 31, 2017 and 2018, were $.8 million and $1.7 million, respectively, against the investment advisory and administrative fees earned from these products. The net investment income reflected in non-operating income includes dividend and interest income and realized and unrealized gains and losses on the underlying securities held by the consolidated T. Rowe Price investment products.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584" w:right="239" w:bottom="1440" w:gutter="0" w:footer="0" w:header="0"/>
        </w:sectPr>
      </w:pPr>
    </w:p>
    <w:bookmarkStart w:id="15" w:name="page16"/>
    <w:bookmarkEnd w:id="15"/>
    <w:p>
      <w:pPr>
        <w:ind w:right="180"/>
        <w:spacing w:after="0" w:line="277"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condensed consolidated statements of cash flows (in millions) for the three months ended March 31,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7"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3/31/2017</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3/31/2018</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Voting</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8"/>
              </w:rPr>
              <w:t>interest entities</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(538.2)</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570.1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Effect of exchange rate changes on cash and cash equivalents of</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T. Rowe Price investment products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color w:val="auto"/>
        </w:rPr>
        <w:t>The net cash provided by financing activities during the first quarter of 2017 and 2018 includes $22.2 million and $25.1 million, respectively, of net subscriptions we made into the consolidated T. Rowe Price investment products, net of dividends received. These cash flows were eliminated in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740" w:right="46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480" w:hanging="728"/>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3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There have been no material transfers between the levels. The following table summarizes the investment holdings held by our consolidated T. Rowe Price investment products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12/31/17</w:t>
            </w:r>
          </w:p>
        </w:tc>
        <w:tc>
          <w:tcPr>
            <w:tcW w:w="8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3/31/18</w:t>
            </w:r>
          </w:p>
        </w:tc>
        <w:tc>
          <w:tcPr>
            <w:tcW w:w="8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543.5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1,377.9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1,213.2</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NOTE 6 – STOCKHOLDERS’ EQUITY.</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Regular cash dividends declared per share during the first three months of 2017 and 2018 were $.57 and $.70, respectively.</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March 31, 2018, a liability of $22.2 million is included in accounts payable and accrued expenses for common stock repurchases that settled by April 3,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NOTE 7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first quarter of 2018.</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right="137"/>
              <w:spacing w:after="0" w:line="149" w:lineRule="exact"/>
              <w:rPr>
                <w:sz w:val="20"/>
                <w:szCs w:val="20"/>
                <w:color w:val="auto"/>
              </w:rPr>
            </w:pPr>
            <w:r>
              <w:rPr>
                <w:rFonts w:ascii="Arial" w:cs="Arial" w:eastAsia="Arial" w:hAnsi="Arial"/>
                <w:sz w:val="14"/>
                <w:szCs w:val="14"/>
                <w:b w:val="1"/>
                <w:bCs w:val="1"/>
                <w:color w:val="auto"/>
                <w:w w:val="89"/>
              </w:rPr>
              <w:t>exercise</w:t>
            </w:r>
          </w:p>
        </w:tc>
        <w:tc>
          <w:tcPr>
            <w:tcW w:w="0" w:type="dxa"/>
            <w:vAlign w:val="bottom"/>
          </w:tcPr>
          <w:p>
            <w:pPr>
              <w:spacing w:after="0"/>
              <w:rPr>
                <w:sz w:val="1"/>
                <w:szCs w:val="1"/>
                <w:color w:val="auto"/>
              </w:rPr>
            </w:pPr>
          </w:p>
        </w:tc>
      </w:tr>
      <w:tr>
        <w:trPr>
          <w:trHeight w:val="192"/>
        </w:trPr>
        <w:tc>
          <w:tcPr>
            <w:tcW w:w="8800" w:type="dxa"/>
            <w:vAlign w:val="bottom"/>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center"/>
              <w:ind w:right="137"/>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15,221,123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66.98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(1,492,576)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(24,538)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2018</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13,689,645</w:t>
            </w:r>
          </w:p>
        </w:tc>
        <w:tc>
          <w:tcPr>
            <w:tcW w:w="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31, 2018</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9,635,926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64.42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nonvested restricted shares and restricted stock units during the first quarter of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b w:val="1"/>
                <w:bCs w:val="1"/>
                <w:color w:val="auto"/>
              </w:rPr>
              <w:t>Restricted</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Weighted-average</w:t>
            </w:r>
          </w:p>
        </w:tc>
        <w:tc>
          <w:tcPr>
            <w:tcW w:w="0" w:type="dxa"/>
            <w:vAlign w:val="bottom"/>
          </w:tcPr>
          <w:p>
            <w:pPr>
              <w:spacing w:after="0"/>
              <w:rPr>
                <w:sz w:val="1"/>
                <w:szCs w:val="1"/>
                <w:color w:val="auto"/>
              </w:rPr>
            </w:pPr>
          </w:p>
        </w:tc>
      </w:tr>
      <w:tr>
        <w:trPr>
          <w:trHeight w:val="149"/>
        </w:trPr>
        <w:tc>
          <w:tcPr>
            <w:tcW w:w="744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44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December 31, 2017</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473,115</w:t>
            </w: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5,556,911</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82.37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4,741</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106.77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(10,294)</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(37,854)</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March 31, 2018</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468,069</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5,513,504</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Nonvested at March 31, 2018, includes 7,200 performance-based restricted shares and 406,412 performance-based restricted stock units. These performance-based restricted shares and units include 7,200 restricted shares and 291,958 restricted stock units for which the performance period has lapsed and the performance threshold has been met.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awards outstanding at March 31, 2018. Estimated future compensation expense will change to reflect future grants of restricted stock awards and units, future option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Second quarter 2018</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Third quarter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Fourth quarter 2018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2020 through 2023</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809" w:hanging="809"/>
        <w:spacing w:after="0"/>
        <w:tabs>
          <w:tab w:leader="none" w:pos="809" w:val="left"/>
        </w:tabs>
        <w:numPr>
          <w:ilvl w:val="0"/>
          <w:numId w:val="6"/>
        </w:numPr>
        <w:rPr>
          <w:rFonts w:ascii="Arial" w:cs="Arial" w:eastAsia="Arial" w:hAnsi="Arial"/>
          <w:sz w:val="16"/>
          <w:szCs w:val="16"/>
          <w:color w:val="auto"/>
        </w:rPr>
      </w:pPr>
      <w:r>
        <w:rPr>
          <w:rFonts w:ascii="Arial" w:cs="Arial" w:eastAsia="Arial" w:hAnsi="Arial"/>
          <w:sz w:val="16"/>
          <w:szCs w:val="16"/>
          <w:color w:val="auto"/>
        </w:rPr>
        <w:t>46.3</w:t>
      </w:r>
    </w:p>
    <w:p>
      <w:pPr>
        <w:spacing w:after="0" w:line="86" w:lineRule="exact"/>
        <w:rPr>
          <w:rFonts w:ascii="Arial" w:cs="Arial" w:eastAsia="Arial" w:hAnsi="Arial"/>
          <w:sz w:val="16"/>
          <w:szCs w:val="16"/>
          <w:color w:val="auto"/>
        </w:rPr>
      </w:pPr>
    </w:p>
    <w:p>
      <w:pPr>
        <w:ind w:left="809"/>
        <w:spacing w:after="0"/>
        <w:rPr>
          <w:rFonts w:ascii="Arial" w:cs="Arial" w:eastAsia="Arial" w:hAnsi="Arial"/>
          <w:sz w:val="16"/>
          <w:szCs w:val="16"/>
          <w:color w:val="auto"/>
        </w:rPr>
      </w:pPr>
      <w:r>
        <w:rPr>
          <w:rFonts w:ascii="Arial" w:cs="Arial" w:eastAsia="Arial" w:hAnsi="Arial"/>
          <w:sz w:val="16"/>
          <w:szCs w:val="16"/>
          <w:color w:val="auto"/>
        </w:rPr>
        <w:t>45.7</w:t>
      </w:r>
    </w:p>
    <w:p>
      <w:pPr>
        <w:spacing w:after="0" w:line="86" w:lineRule="exact"/>
        <w:rPr>
          <w:rFonts w:ascii="Arial" w:cs="Arial" w:eastAsia="Arial" w:hAnsi="Arial"/>
          <w:sz w:val="16"/>
          <w:szCs w:val="16"/>
          <w:color w:val="auto"/>
        </w:rPr>
      </w:pPr>
    </w:p>
    <w:p>
      <w:pPr>
        <w:ind w:left="809"/>
        <w:spacing w:after="0"/>
        <w:rPr>
          <w:rFonts w:ascii="Arial" w:cs="Arial" w:eastAsia="Arial" w:hAnsi="Arial"/>
          <w:sz w:val="16"/>
          <w:szCs w:val="16"/>
          <w:color w:val="auto"/>
        </w:rPr>
      </w:pPr>
      <w:r>
        <w:rPr>
          <w:rFonts w:ascii="Arial" w:cs="Arial" w:eastAsia="Arial" w:hAnsi="Arial"/>
          <w:sz w:val="16"/>
          <w:szCs w:val="16"/>
          <w:color w:val="auto"/>
        </w:rPr>
        <w:t>40.1</w:t>
      </w:r>
    </w:p>
    <w:p>
      <w:pPr>
        <w:spacing w:after="0" w:line="86" w:lineRule="exact"/>
        <w:rPr>
          <w:rFonts w:ascii="Arial" w:cs="Arial" w:eastAsia="Arial" w:hAnsi="Arial"/>
          <w:sz w:val="16"/>
          <w:szCs w:val="16"/>
          <w:color w:val="auto"/>
        </w:rPr>
      </w:pPr>
    </w:p>
    <w:p>
      <w:pPr>
        <w:ind w:left="809"/>
        <w:spacing w:after="0"/>
        <w:rPr>
          <w:rFonts w:ascii="Arial" w:cs="Arial" w:eastAsia="Arial" w:hAnsi="Arial"/>
          <w:sz w:val="16"/>
          <w:szCs w:val="16"/>
          <w:color w:val="auto"/>
        </w:rPr>
      </w:pPr>
      <w:r>
        <w:rPr>
          <w:rFonts w:ascii="Arial" w:cs="Arial" w:eastAsia="Arial" w:hAnsi="Arial"/>
          <w:sz w:val="16"/>
          <w:szCs w:val="16"/>
          <w:color w:val="auto"/>
        </w:rPr>
        <w:t>95.9</w:t>
      </w:r>
    </w:p>
    <w:p>
      <w:pPr>
        <w:spacing w:after="0" w:line="86" w:lineRule="exact"/>
        <w:rPr>
          <w:rFonts w:ascii="Arial" w:cs="Arial" w:eastAsia="Arial" w:hAnsi="Arial"/>
          <w:sz w:val="16"/>
          <w:szCs w:val="16"/>
          <w:color w:val="auto"/>
        </w:rPr>
      </w:pPr>
    </w:p>
    <w:p>
      <w:pPr>
        <w:ind w:left="809"/>
        <w:spacing w:after="0"/>
        <w:rPr>
          <w:rFonts w:ascii="Arial" w:cs="Arial" w:eastAsia="Arial" w:hAnsi="Arial"/>
          <w:sz w:val="16"/>
          <w:szCs w:val="16"/>
          <w:color w:val="auto"/>
        </w:rPr>
      </w:pPr>
      <w:r>
        <w:rPr>
          <w:rFonts w:ascii="Arial" w:cs="Arial" w:eastAsia="Arial" w:hAnsi="Arial"/>
          <w:sz w:val="16"/>
          <w:szCs w:val="16"/>
          <w:color w:val="auto"/>
        </w:rPr>
        <w:t>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7975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80" w:lineRule="exact"/>
        <w:rPr>
          <w:sz w:val="20"/>
          <w:szCs w:val="20"/>
          <w:color w:val="auto"/>
        </w:rPr>
      </w:pPr>
    </w:p>
    <w:p>
      <w:pPr>
        <w:ind w:left="709" w:hanging="709"/>
        <w:spacing w:after="0"/>
        <w:tabs>
          <w:tab w:leader="none" w:pos="709" w:val="left"/>
        </w:tabs>
        <w:numPr>
          <w:ilvl w:val="0"/>
          <w:numId w:val="7"/>
        </w:numPr>
        <w:rPr>
          <w:rFonts w:ascii="Arial" w:cs="Arial" w:eastAsia="Arial" w:hAnsi="Arial"/>
          <w:sz w:val="16"/>
          <w:szCs w:val="16"/>
          <w:color w:val="auto"/>
        </w:rPr>
      </w:pPr>
      <w:r>
        <w:rPr>
          <w:rFonts w:ascii="Arial" w:cs="Arial" w:eastAsia="Arial" w:hAnsi="Arial"/>
          <w:sz w:val="16"/>
          <w:szCs w:val="16"/>
          <w:color w:val="auto"/>
        </w:rPr>
        <w:t>307.5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7975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7975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471" w:space="720"/>
            <w:col w:w="1229"/>
          </w:cols>
          <w:pgMar w:left="240" w:top="584"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17</w:t>
      </w:r>
    </w:p>
    <w:p>
      <w:pPr>
        <w:sectPr>
          <w:pgSz w:w="11900" w:h="16838" w:orient="portrait"/>
          <w:cols w:equalWidth="0" w:num="1">
            <w:col w:w="11420"/>
          </w:cols>
          <w:pgMar w:left="240" w:top="584"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NOTE 8 – EARNINGS PER SHARE CALCULATIONS.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400" w:type="dxa"/>
            <w:vAlign w:val="bottom"/>
            <w:tcBorders>
              <w:bottom w:val="single" w:sz="8" w:color="auto"/>
            </w:tcBorders>
            <w:gridSpan w:val="4"/>
            <w:shd w:val="clear" w:color="auto" w:fill="CCEEFF"/>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3/31/2017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3/31/2018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10.6</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377.2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443.1</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242.1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244.3</w:t>
            </w:r>
          </w:p>
        </w:tc>
      </w:tr>
      <w:tr>
        <w:trPr>
          <w:trHeight w:val="251"/>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249.8</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that are excluded from the calculation of diluted earnings per common share as the inclusion of such shares would be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shd w:val="clear" w:color="auto" w:fill="CCEEFF"/>
          </w:tcPr>
          <w:p>
            <w:pPr>
              <w:spacing w:after="0"/>
              <w:rPr>
                <w:sz w:val="17"/>
                <w:szCs w:val="17"/>
                <w:color w:val="auto"/>
              </w:rPr>
            </w:pPr>
          </w:p>
        </w:tc>
        <w:tc>
          <w:tcPr>
            <w:tcW w:w="262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r>
      <w:tr>
        <w:trPr>
          <w:trHeight w:val="258"/>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3/31/2017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3/31/2018</w:t>
            </w:r>
          </w:p>
        </w:tc>
      </w:tr>
      <w:tr>
        <w:trPr>
          <w:trHeight w:val="263"/>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stock options excluded</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9 – OTHER COMPREHENSIVE INCOME AND 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impact of the components of other comprehensive income or loss on deferred tax benefits (income taxes).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shd w:val="clear" w:color="auto" w:fill="CCEEFF"/>
          </w:tcPr>
          <w:p>
            <w:pPr>
              <w:spacing w:after="0"/>
              <w:rPr>
                <w:sz w:val="17"/>
                <w:szCs w:val="17"/>
                <w:color w:val="auto"/>
              </w:rPr>
            </w:pPr>
          </w:p>
        </w:tc>
        <w:tc>
          <w:tcPr>
            <w:tcW w:w="2620" w:type="dxa"/>
            <w:vAlign w:val="bottom"/>
            <w:tcBorders>
              <w:bottom w:val="single" w:sz="8" w:color="auto"/>
            </w:tcBorders>
            <w:gridSpan w:val="2"/>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r>
      <w:tr>
        <w:trPr>
          <w:trHeight w:val="252"/>
        </w:trPr>
        <w:tc>
          <w:tcPr>
            <w:tcW w:w="88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320" w:type="dxa"/>
            <w:vAlign w:val="bottom"/>
          </w:tcPr>
          <w:p>
            <w:pPr>
              <w:jc w:val="right"/>
              <w:ind w:right="328"/>
              <w:spacing w:after="0"/>
              <w:rPr>
                <w:sz w:val="20"/>
                <w:szCs w:val="20"/>
                <w:color w:val="auto"/>
              </w:rPr>
            </w:pPr>
            <w:r>
              <w:rPr>
                <w:rFonts w:ascii="Arial" w:cs="Arial" w:eastAsia="Arial" w:hAnsi="Arial"/>
                <w:sz w:val="14"/>
                <w:szCs w:val="14"/>
                <w:b w:val="1"/>
                <w:bCs w:val="1"/>
                <w:color w:val="auto"/>
              </w:rPr>
              <w:t>3/31/2017</w:t>
            </w: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auto"/>
              </w:rPr>
              <w:t>3/31/2018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deferred tax benefits (income taxes) 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ind w:left="180"/>
              <w:spacing w:after="0"/>
              <w:rPr>
                <w:sz w:val="20"/>
                <w:szCs w:val="20"/>
                <w:color w:val="auto"/>
              </w:rPr>
            </w:pPr>
            <w:r>
              <w:rPr>
                <w:rFonts w:ascii="Arial" w:cs="Arial" w:eastAsia="Arial" w:hAnsi="Arial"/>
                <w:sz w:val="18"/>
                <w:szCs w:val="18"/>
                <w:color w:val="auto"/>
              </w:rPr>
              <w:t>Net unrealized holding gains or losses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adjustments recognized in the provision for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20"/>
              <w:spacing w:after="0"/>
              <w:rPr>
                <w:sz w:val="20"/>
                <w:szCs w:val="20"/>
                <w:color w:val="auto"/>
              </w:rPr>
            </w:pPr>
            <w:r>
              <w:rPr>
                <w:rFonts w:ascii="Arial" w:cs="Arial" w:eastAsia="Arial" w:hAnsi="Arial"/>
                <w:sz w:val="18"/>
                <w:szCs w:val="18"/>
                <w:color w:val="auto"/>
              </w:rPr>
              <w:t>Net gains realized on dispositions</w:t>
            </w:r>
          </w:p>
        </w:tc>
        <w:tc>
          <w:tcPr>
            <w:tcW w:w="4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 on net unrealized holding gains or losses</w:t>
            </w:r>
          </w:p>
        </w:tc>
        <w:tc>
          <w:tcPr>
            <w:tcW w:w="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Reclassification adjustment recognized in the provision for income taxes upon deconsolidation of T. Rowe Price</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product</w:t>
            </w: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deferred tax benefits (income taxes) on currency translation adjustments</w:t>
            </w: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8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benefits (income taxes)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8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584" w:right="239" w:bottom="1440" w:gutter="0" w:footer="0" w:header="0"/>
        </w:sectPr>
      </w:pPr>
    </w:p>
    <w:bookmarkStart w:id="18" w:name="page19"/>
    <w:bookmarkEnd w:id="18"/>
    <w:p>
      <w:pPr>
        <w:ind w:right="300"/>
        <w:spacing w:after="0" w:line="277" w:lineRule="auto"/>
        <w:rPr>
          <w:sz w:val="20"/>
          <w:szCs w:val="20"/>
          <w:color w:val="auto"/>
        </w:rPr>
      </w:pPr>
      <w:r>
        <w:rPr>
          <w:rFonts w:ascii="Arial" w:cs="Arial" w:eastAsia="Arial" w:hAnsi="Arial"/>
          <w:sz w:val="18"/>
          <w:szCs w:val="18"/>
          <w:color w:val="auto"/>
        </w:rPr>
        <w:t>The changes in each component of accumulated other comprehensive income (loss), including reclassification adjustments for the first quarter of 2018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0"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Consolidated 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Rowe Price</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Total currency</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Equity method</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products - variable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holding gains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 entities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Reclassification of unrealized holding gains to retained earnings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line="257" w:lineRule="exact"/>
              <w:rPr>
                <w:sz w:val="20"/>
                <w:szCs w:val="20"/>
                <w:color w:val="auto"/>
              </w:rPr>
            </w:pPr>
            <w:r>
              <w:rPr>
                <w:rFonts w:ascii="Arial" w:cs="Arial" w:eastAsia="Arial" w:hAnsi="Arial"/>
                <w:sz w:val="18"/>
                <w:szCs w:val="18"/>
                <w:color w:val="auto"/>
              </w:rPr>
              <w:t>upon adoption of new financial instruments guidance</w:t>
            </w:r>
            <w:r>
              <w:rPr>
                <w:rFonts w:ascii="Arial" w:cs="Arial" w:eastAsia="Arial" w:hAnsi="Arial"/>
                <w:sz w:val="25"/>
                <w:szCs w:val="25"/>
                <w:color w:val="auto"/>
                <w:vertAlign w:val="superscript"/>
              </w:rPr>
              <w:t>(1)</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Reclassification adjustment of stranded tax benefits on currency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translation adjustments upon adoption of new accumulated</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guidance</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 at January 1, 2018</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 and</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deferred tax income taxes</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8"/>
                <w:szCs w:val="18"/>
                <w:color w:val="auto"/>
              </w:rPr>
              <w:t>Balances at March 31, 2018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8890</wp:posOffset>
            </wp:positionV>
            <wp:extent cx="42710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42" w:lineRule="exact"/>
        <w:rPr>
          <w:sz w:val="20"/>
          <w:szCs w:val="20"/>
          <w:color w:val="auto"/>
        </w:rPr>
      </w:pPr>
    </w:p>
    <w:p>
      <w:pPr>
        <w:ind w:right="60" w:firstLine="8"/>
        <w:spacing w:after="0" w:line="272" w:lineRule="auto"/>
        <w:tabs>
          <w:tab w:leader="none" w:pos="183" w:val="left"/>
        </w:tabs>
        <w:numPr>
          <w:ilvl w:val="0"/>
          <w:numId w:val="8"/>
        </w:numPr>
        <w:rPr>
          <w:rFonts w:ascii="Arial" w:cs="Arial" w:eastAsia="Arial" w:hAnsi="Arial"/>
          <w:sz w:val="21"/>
          <w:szCs w:val="21"/>
          <w:i w:val="1"/>
          <w:iCs w:val="1"/>
          <w:color w:val="auto"/>
          <w:vertAlign w:val="superscript"/>
        </w:rPr>
      </w:pPr>
      <w:r>
        <w:rPr>
          <w:rFonts w:ascii="Arial" w:cs="Arial" w:eastAsia="Arial" w:hAnsi="Arial"/>
          <w:sz w:val="12"/>
          <w:szCs w:val="12"/>
          <w:i w:val="1"/>
          <w:iCs w:val="1"/>
          <w:color w:val="auto"/>
        </w:rPr>
        <w:t>Includes the reclassification of $1.7 million of stranded income taxes on available-for-sale investments resulting from the U.S. tax law changes enacted on December 22, 2017, from accumulated other comprehensive income 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-286385</wp:posOffset>
            </wp:positionV>
            <wp:extent cx="42710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NOTE 10 – DELL APPRAISAL RIGHTS MATTER.</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2016, we paid $166.2 million to compensate certain U.S. mutual funds, trusts, separately managed accounts, and subadvised clients (collectively, Clients) for the denial of their appraisal rights by the Delaware Chancery Court (Court) in connection with the 2013 leveraged buyout of Dell, Inc. (Dell).</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30, 2016, we entered into a settlement agreement for $100.0 million with our insurance carrier for insurance proceeds related to this matter. We recognized the proceeds as a reduction to the $166.2 million nonrecurring charge that we recognized earlier in 2016 and received the proceeds in January 2017. We received an additional $50 million in insurance proceeds from other insurance carriers in early 2017 and recognized a related reduction in operating expenses.</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accordance with the compensation payment, the Clients agreed that in the event the findings made by the Court regarding the fair value of Dell or the amount of interest to be applied were modified by a final, non-appealable judgment, T. Rowe Price and the Clients would make an appropriate adjustment between themselves, calculated in a manner that is consistent with the methodology used to compensate Clients. In December 2016, several parties, including Dell and the successful appraisal petitioners, filed appeals to the Delaware Supreme Court to challenge the Court’s valuation ruling. On December 14, 2017, the Delaware Supreme Court reversed the Court's judgment and remanded the case for further proceedings. It is not clear how the Court will eventually rule and what the ultimate valuation will be, although the Supreme Court’s opinion suggests that an appraisal value closer to the deal price of $13.75 may be the ultimate outcome.</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Once the Court enters a final, non-appealable judgment, Clients will be required to repay any overpayment using the methodology used to calculate the original payment. We estimate that the first $15.2 million reclaimed from our Clients would be paid back to T. Rowe Price Group. We would then be required to repay any additional reclaimed funds to our insurers in a specific order.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11 – COMMITMENTS AND CONTINGENCIES.</w:t>
      </w:r>
    </w:p>
    <w:p>
      <w:pPr>
        <w:spacing w:after="0" w:line="17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746" w:right="239" w:bottom="1440" w:gutter="0" w:footer="0" w:header="0"/>
        </w:sectPr>
      </w:pPr>
    </w:p>
    <w:bookmarkStart w:id="19" w:name="page20"/>
    <w:bookmarkEnd w:id="19"/>
    <w:p>
      <w:pPr>
        <w:spacing w:after="0" w:line="276" w:lineRule="auto"/>
        <w:rPr>
          <w:sz w:val="20"/>
          <w:szCs w:val="20"/>
          <w:color w:val="auto"/>
        </w:rPr>
      </w:pPr>
      <w:r>
        <w:rPr>
          <w:rFonts w:ascii="Arial" w:cs="Arial" w:eastAsia="Arial" w:hAnsi="Arial"/>
          <w:sz w:val="17"/>
          <w:szCs w:val="17"/>
          <w:color w:val="auto"/>
        </w:rPr>
        <w:t>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1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24"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 12 – SUPPLEMENTARY CONSOLIDATING CASH FLOW STATEMENT.</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summarize the cash flows for the three months ended March 31, 2017 and 2018, that are attributable to T. Rowe Price Group, our consolidated T. Rowe Price investment products and the related eliminations required in preparing the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486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156"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23495</wp:posOffset>
            </wp:positionV>
            <wp:extent cx="5205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3/31/2017</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3/31/2018</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Cash flow</w:t>
            </w: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Cash flow</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3"/>
              </w:rPr>
              <w:t>Cash flow</w:t>
            </w:r>
          </w:p>
        </w:tc>
        <w:tc>
          <w:tcPr>
            <w:tcW w:w="11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3"/>
              </w:rPr>
              <w:t>Cash flow</w:t>
            </w:r>
          </w:p>
        </w:tc>
        <w:tc>
          <w:tcPr>
            <w:tcW w:w="11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11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consolidated T.</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1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consolidated 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Rowe Price</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Rowe Price</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 Rowe Price</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00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As reported</w:t>
            </w:r>
          </w:p>
        </w:tc>
        <w:tc>
          <w:tcPr>
            <w:tcW w:w="11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 Rowe Price</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investment</w:t>
            </w:r>
          </w:p>
        </w:tc>
        <w:tc>
          <w:tcPr>
            <w:tcW w:w="100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Eliminations</w:t>
            </w:r>
          </w:p>
        </w:tc>
        <w:tc>
          <w:tcPr>
            <w:tcW w:w="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94"/>
              </w:rPr>
              <w:t>As reported</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0"/>
              </w:rPr>
              <w:t>products</w:t>
            </w:r>
          </w:p>
        </w:tc>
        <w:tc>
          <w:tcPr>
            <w:tcW w:w="1000" w:type="dxa"/>
            <w:vAlign w:val="bottom"/>
            <w:gridSpan w:val="3"/>
            <w:vMerge w:val="continue"/>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5"/>
              </w:rPr>
              <w:t>Group</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0"/>
              </w:rPr>
              <w:t>products</w:t>
            </w:r>
          </w:p>
        </w:tc>
        <w:tc>
          <w:tcPr>
            <w:tcW w:w="1000" w:type="dxa"/>
            <w:vAlign w:val="bottom"/>
            <w:gridSpan w:val="3"/>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29"/>
        </w:trPr>
        <w:tc>
          <w:tcPr>
            <w:tcW w:w="3040" w:type="dxa"/>
            <w:vAlign w:val="bottom"/>
          </w:tcPr>
          <w:p>
            <w:pPr>
              <w:ind w:left="180"/>
              <w:spacing w:after="0"/>
              <w:rPr>
                <w:sz w:val="20"/>
                <w:szCs w:val="20"/>
                <w:color w:val="auto"/>
              </w:rPr>
            </w:pPr>
            <w:r>
              <w:rPr>
                <w:rFonts w:ascii="Arial" w:cs="Arial" w:eastAsia="Arial" w:hAnsi="Arial"/>
                <w:sz w:val="18"/>
                <w:szCs w:val="18"/>
                <w:color w:val="auto"/>
                <w:w w:val="91"/>
              </w:rPr>
              <w:t>Adjustments to reconcile net income to</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net cash provided by (used in)</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w w:val="94"/>
              </w:rPr>
              <w:t>Stock-based compensation expense</w:t>
            </w: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Net gains recognized on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040" w:type="dxa"/>
            <w:vAlign w:val="bottom"/>
          </w:tcPr>
          <w:p>
            <w:pPr>
              <w:ind w:left="280"/>
              <w:spacing w:after="0"/>
              <w:rPr>
                <w:sz w:val="20"/>
                <w:szCs w:val="20"/>
                <w:color w:val="auto"/>
              </w:rPr>
            </w:pPr>
            <w:r>
              <w:rPr>
                <w:rFonts w:ascii="Arial" w:cs="Arial" w:eastAsia="Arial" w:hAnsi="Arial"/>
                <w:sz w:val="18"/>
                <w:szCs w:val="18"/>
                <w:color w:val="auto"/>
              </w:rPr>
              <w:t>Investments in U.S. mutual funds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80"/>
              <w:spacing w:after="0"/>
              <w:rPr>
                <w:sz w:val="20"/>
                <w:szCs w:val="20"/>
                <w:color w:val="auto"/>
              </w:rPr>
            </w:pPr>
            <w:r>
              <w:rPr>
                <w:rFonts w:ascii="Arial" w:cs="Arial" w:eastAsia="Arial" w:hAnsi="Arial"/>
                <w:sz w:val="18"/>
                <w:szCs w:val="18"/>
                <w:color w:val="auto"/>
                <w:w w:val="90"/>
              </w:rPr>
              <w:t>held as trading to economically hedge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80"/>
              <w:spacing w:after="0"/>
              <w:rPr>
                <w:sz w:val="20"/>
                <w:szCs w:val="20"/>
                <w:color w:val="auto"/>
              </w:rPr>
            </w:pPr>
            <w:r>
              <w:rPr>
                <w:rFonts w:ascii="Arial" w:cs="Arial" w:eastAsia="Arial" w:hAnsi="Arial"/>
                <w:sz w:val="18"/>
                <w:szCs w:val="18"/>
                <w:color w:val="auto"/>
              </w:rPr>
              <w:t>supplemental savings plan liability</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Net change in trading securities held</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by consolidated T. Rowe Price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products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w w:val="90"/>
              </w:rPr>
              <w:t>Other changes in assets and liabilities</w:t>
            </w:r>
          </w:p>
        </w:tc>
        <w:tc>
          <w:tcPr>
            <w:tcW w:w="1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Net cash provided by (used in) operating</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w w:val="93"/>
              </w:rPr>
              <w:t>Net cash provided by (used in) investing</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cash provided by (used in) financing</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w w:val="91"/>
              </w:rPr>
              <w:t>Effect of exchange rate changes on cash</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40"/>
              <w:spacing w:after="0"/>
              <w:rPr>
                <w:sz w:val="20"/>
                <w:szCs w:val="20"/>
                <w:color w:val="auto"/>
              </w:rPr>
            </w:pPr>
            <w:r>
              <w:rPr>
                <w:rFonts w:ascii="Arial" w:cs="Arial" w:eastAsia="Arial" w:hAnsi="Arial"/>
                <w:sz w:val="18"/>
                <w:szCs w:val="18"/>
                <w:color w:val="auto"/>
                <w:w w:val="94"/>
              </w:rPr>
              <w:t>and cash equivalents of consolidated 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Rowe Price investment products</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Net change in cash and cash equivalents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during period</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w w:val="93"/>
              </w:rPr>
              <w:t>Cash and cash equivalents at beginning</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of year</w:t>
            </w:r>
          </w:p>
        </w:tc>
        <w:tc>
          <w:tcPr>
            <w:tcW w:w="1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86"/>
              </w:rPr>
              <w:t>1,270.5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1,902.7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2,005.8</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1,580.8</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6"/>
              </w:rPr>
              <w:t>1,631.0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1,681.4</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9"/>
              </w:rPr>
              <w:t>1,766.2</w:t>
            </w:r>
          </w:p>
        </w:tc>
        <w:tc>
          <w:tcPr>
            <w:tcW w:w="0" w:type="dxa"/>
            <w:vAlign w:val="bottom"/>
          </w:tcPr>
          <w:p>
            <w:pPr>
              <w:spacing w:after="0"/>
              <w:rPr>
                <w:sz w:val="1"/>
                <w:szCs w:val="1"/>
                <w:color w:val="auto"/>
              </w:rPr>
            </w:pPr>
          </w:p>
        </w:tc>
      </w:tr>
      <w:tr>
        <w:trPr>
          <w:trHeight w:val="237"/>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18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240"/>
          </w:cols>
          <w:pgMar w:left="240" w:top="584" w:right="4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reviewed the condensed consolidated balance sheet of T. Rowe Price Group, Inc. and subsidiaries ("the Company") as of March 31, 2018, the related condensed consolidated statements of income, comprehensive income, and cash flows for the three-month periods ended March 31, 2018 and 2017, the related condensed consolidated statement of stockholders' equity for the three-month period ended March 31, 2018,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3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(PCAOB), the consolidated balance sheet of the Company as of December 31, 2017, and the related consolidated statements of income, comprehensive income, changes in stockholders’ equity, and cash flows for the year then ended (not presented herein); and in our report dated February 16, 2018, we expressed an unqualified opinion on those consolidated financial statements. In our opinion, the information set forth in the accompanying condensed consolidated balance sheet as of December 31, 2017, is fairly stated, in all material respects, in relation to the consolidated balance sheet from which it has been derived.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9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25, 2018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00"/>
          </w:cols>
          <w:pgMar w:left="240" w:top="58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and other investment products. The other investment products include: separately managed accounts, subadvised funds, and other T. Rowe Price products including collective investment trusts, target-date retirement trusts, open-ended investment products offered to investors outside the U.S., and products offered through variable annuity life insurance plans in the U.S. Investment advisory clients domiciled outside the U.S. account for 6% of our assets under management at March 31, 2018.</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manage a broad range of U.S., international and global stock, bond, and money market mutual funds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remain debt-free with ample liquidity and resources that allow us to take advantage of attractive growth opportunities; invest in key capabilities, including investment professionals, technologies, and new product offerings; and, most importantly, provide our clients with strong investment management expertise and service both now and in the future. We expect to continue our investment in long-term initiatives to sustain and deepen our investment talent, add investment capabilities both in terms of new strategies and new investment vehicles, expand capabilities through enhanced technology, and broaden our distribution reach globally. We currently expect our 2018 non-GAAP operating expenses to grow in the range of 8-11%. This expense growth range factors in a number cost optimization efforts.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Most major U.S. stock market indexes edged lower in the first quarter of 2018. After rising to record highs through late January—helped by favorable corporate earnings reports and momentum from the tax reform legislation passed in late 2017—the major indexes fell sharply in response to stronger-than-expected wage growth data and concerns that the Federal Reserve would respond to rising inflation with a faster pace of interest rate increases. Equities pared their losses after bottoming in early February, but stocks fell again in March in response to the Trump administration’s announcements of tariffs, especially those targeting Chinese imports, and restrictions on Chinese technology transfers and acquisitions.</w:t>
      </w:r>
    </w:p>
    <w:p>
      <w:pPr>
        <w:spacing w:after="0" w:line="17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Stocks in developed non-U.S. equity markets fared modestly worse than U.S. shares, even though stronger non-U.S. currencies reduced losses in dollar terms. Shares in developed Asian markets were mixed; Japanese shares returned about 1%. Developed European markets were also mixed. UK shares lagged with a decline of nearly 4%, hindered by continuing Brexit uncertainty and elevated inflation that may prompt the central bank to raise rates in May.</w:t>
      </w:r>
    </w:p>
    <w:p>
      <w:pPr>
        <w:spacing w:after="0" w:line="14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Stocks in emerging equity markets outperformed developed markets. Most Latin American markets rose, but Asian markets were widely mixed. In emerging Europe, Russian stocks advanced more than 9%, thanks in part to rising oil prices, falling domestic interest rates, and an S&amp;P Global credit rating upgrade of the sovereign debt into investment-grade territory.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for the first quarter of 2018,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Three months</w:t>
            </w:r>
          </w:p>
        </w:tc>
      </w:tr>
      <w:tr>
        <w:trPr>
          <w:trHeight w:val="198"/>
        </w:trPr>
        <w:tc>
          <w:tcPr>
            <w:tcW w:w="10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7"/>
              </w:rPr>
              <w:t>ended</w:t>
            </w:r>
          </w:p>
        </w:tc>
      </w:tr>
      <w:tr>
        <w:trPr>
          <w:trHeight w:val="264"/>
        </w:trPr>
        <w:tc>
          <w:tcPr>
            <w:tcW w:w="10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3/31/2018</w:t>
            </w:r>
          </w:p>
        </w:tc>
      </w:tr>
      <w:tr>
        <w:trPr>
          <w:trHeight w:val="250"/>
        </w:trPr>
        <w:tc>
          <w:tcPr>
            <w:tcW w:w="10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r>
      <w:tr>
        <w:trPr>
          <w:trHeight w:val="270"/>
        </w:trPr>
        <w:tc>
          <w:tcPr>
            <w:tcW w:w="101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5"/>
                <w:szCs w:val="25"/>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2.3%</w:t>
            </w:r>
          </w:p>
        </w:tc>
      </w:tr>
      <w:tr>
        <w:trPr>
          <w:trHeight w:val="250"/>
        </w:trPr>
        <w:tc>
          <w:tcPr>
            <w:tcW w:w="10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43"/>
        </w:trPr>
        <w:tc>
          <w:tcPr>
            <w:tcW w:w="1018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(1.4)%</w:t>
            </w:r>
          </w:p>
        </w:tc>
      </w:tr>
      <w:tr>
        <w:trPr>
          <w:trHeight w:val="27"/>
        </w:trPr>
        <w:tc>
          <w:tcPr>
            <w:tcW w:w="10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0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MSCI Emerging Markets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r>
      <w:tr>
        <w:trPr>
          <w:trHeight w:val="182"/>
        </w:trPr>
        <w:tc>
          <w:tcPr>
            <w:tcW w:w="10180" w:type="dxa"/>
            <w:vAlign w:val="bottom"/>
            <w:gridSpan w:val="2"/>
          </w:tcPr>
          <w:p>
            <w:pPr>
              <w:ind w:left="40"/>
              <w:spacing w:after="0"/>
              <w:rPr>
                <w:sz w:val="20"/>
                <w:szCs w:val="20"/>
                <w:color w:val="auto"/>
              </w:rPr>
            </w:pPr>
            <w:r>
              <w:rPr>
                <w:rFonts w:ascii="Arial" w:cs="Arial" w:eastAsia="Arial" w:hAnsi="Arial"/>
                <w:sz w:val="9"/>
                <w:szCs w:val="9"/>
                <w:color w:val="auto"/>
              </w:rPr>
              <w:t>(1)</w:t>
            </w:r>
            <w:r>
              <w:rPr>
                <w:rFonts w:ascii="Arial" w:cs="Arial" w:eastAsia="Arial" w:hAnsi="Arial"/>
                <w:sz w:val="14"/>
                <w:szCs w:val="14"/>
                <w:i w:val="1"/>
                <w:iCs w:val="1"/>
                <w:color w:val="auto"/>
              </w:rPr>
              <w:t>Returns exclude dividends</w:t>
            </w:r>
          </w:p>
        </w:tc>
        <w:tc>
          <w:tcPr>
            <w:tcW w:w="12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580" w:right="239" w:bottom="1440" w:gutter="0" w:footer="0" w:header="0"/>
        </w:sectPr>
      </w:pPr>
    </w:p>
    <w:bookmarkStart w:id="23" w:name="page24"/>
    <w:bookmarkEnd w:id="23"/>
    <w:p>
      <w:pPr>
        <w:ind w:right="160"/>
        <w:spacing w:after="0" w:line="257" w:lineRule="auto"/>
        <w:rPr>
          <w:sz w:val="20"/>
          <w:szCs w:val="20"/>
          <w:color w:val="auto"/>
        </w:rPr>
      </w:pPr>
      <w:r>
        <w:rPr>
          <w:rFonts w:ascii="Arial" w:cs="Arial" w:eastAsia="Arial" w:hAnsi="Arial"/>
          <w:sz w:val="18"/>
          <w:szCs w:val="18"/>
          <w:color w:val="auto"/>
        </w:rPr>
        <w:t>Global bond returns in the first quarter were mixed in U.S. dollar terms. In the U.S., short-term Treasury yields rose in anticipation of a Fed interest rate increase in March and additional rate increases in 2018. Long-term Treasury yields also rose: the 10-year Treasury note yield started the quarter at 2.5% and ended around 2.7% after climbing to four-year highs near 3.0% in February. Investment-grade corporate bonds faced some headwinds from elevated supply and waning demand from outside the U.S. Municipal bonds outperformed taxable bonds amid muted new issuance. High yield bonds declined, but losses were limited by their lower interest rate sensitivity.</w:t>
      </w:r>
    </w:p>
    <w:p>
      <w:pPr>
        <w:spacing w:after="0" w:line="18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Bonds in developed non-U.S. markets performed well, as stronger non-U.S. currencies boosted local returns in dollar terms. In the UK, 10-year government bond yields rose on expectations that the central bank will raise short-term interest rates in May due to continued elevated inflation. In the eurozone, 10-year German sovereign bond yields rose slightly for the quarter but finished well below their early February highs. In Japan, the central bank’s yield curve control policy kept 10-year government bond yields close to 0.0%.</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Emerging markets bonds were mixed. Dollar-denominated debt declined, but bonds denominated in local currencies performed well in dollar terms, as a generally weaker greenback boosted returns.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first quarter of 2018,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Three months</w:t>
            </w:r>
          </w:p>
        </w:tc>
      </w:tr>
      <w:tr>
        <w:trPr>
          <w:trHeight w:val="198"/>
        </w:trPr>
        <w:tc>
          <w:tcPr>
            <w:tcW w:w="10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7"/>
              </w:rPr>
              <w:t>ended</w:t>
            </w:r>
          </w:p>
        </w:tc>
      </w:tr>
      <w:tr>
        <w:trPr>
          <w:trHeight w:val="264"/>
        </w:trPr>
        <w:tc>
          <w:tcPr>
            <w:tcW w:w="10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3/31/2018</w:t>
            </w:r>
          </w:p>
        </w:tc>
      </w:tr>
      <w:tr>
        <w:trPr>
          <w:trHeight w:val="250"/>
        </w:trPr>
        <w:tc>
          <w:tcPr>
            <w:tcW w:w="10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w:t>
            </w:r>
          </w:p>
        </w:tc>
      </w:tr>
      <w:tr>
        <w:trPr>
          <w:trHeight w:val="243"/>
        </w:trPr>
        <w:tc>
          <w:tcPr>
            <w:tcW w:w="10180" w:type="dxa"/>
            <w:vAlign w:val="bottom"/>
            <w:gridSpan w:val="2"/>
          </w:tcPr>
          <w:p>
            <w:pPr>
              <w:ind w:left="40"/>
              <w:spacing w:after="0"/>
              <w:rPr>
                <w:sz w:val="20"/>
                <w:szCs w:val="20"/>
                <w:color w:val="auto"/>
              </w:rPr>
            </w:pPr>
            <w:r>
              <w:rPr>
                <w:rFonts w:ascii="Arial" w:cs="Arial" w:eastAsia="Arial" w:hAnsi="Arial"/>
                <w:sz w:val="18"/>
                <w:szCs w:val="18"/>
                <w:color w:val="auto"/>
              </w:rPr>
              <w:t>JPMorgan Global High Yield Index</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7"/>
        </w:trPr>
        <w:tc>
          <w:tcPr>
            <w:tcW w:w="10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0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w:t>
            </w:r>
          </w:p>
        </w:tc>
      </w:tr>
      <w:tr>
        <w:trPr>
          <w:trHeight w:val="243"/>
        </w:trPr>
        <w:tc>
          <w:tcPr>
            <w:tcW w:w="10180" w:type="dxa"/>
            <w:vAlign w:val="bottom"/>
            <w:gridSpan w:val="2"/>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3.6%</w:t>
            </w:r>
          </w:p>
        </w:tc>
      </w:tr>
      <w:tr>
        <w:trPr>
          <w:trHeight w:val="27"/>
        </w:trPr>
        <w:tc>
          <w:tcPr>
            <w:tcW w:w="10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10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w:t>
            </w:r>
          </w:p>
        </w:tc>
      </w:tr>
      <w:tr>
        <w:trPr>
          <w:trHeight w:val="27"/>
        </w:trPr>
        <w:tc>
          <w:tcPr>
            <w:tcW w:w="10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Assets under management ended the first quarter of 2018 at $1,014.2 billion, an increase of $23.1 billion from December 31, 2017. We had net cash inflows of $11.3 billion in the first quarter of 2018. The following table details changes in our assets under management during the first quarter of 2018 by asset class: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3000" w:type="dxa"/>
            <w:vAlign w:val="bottom"/>
            <w:tcBorders>
              <w:bottom w:val="single" w:sz="8" w:color="auto"/>
            </w:tcBorders>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Three months ended 3/31/2018</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Fixed income and</w:t>
            </w:r>
          </w:p>
        </w:tc>
        <w:tc>
          <w:tcPr>
            <w:tcW w:w="240" w:type="dxa"/>
            <w:vAlign w:val="bottom"/>
          </w:tcPr>
          <w:p>
            <w:pPr>
              <w:spacing w:after="0"/>
              <w:rPr>
                <w:sz w:val="13"/>
                <w:szCs w:val="13"/>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8"/>
                <w:szCs w:val="8"/>
                <w:b w:val="1"/>
                <w:bCs w:val="1"/>
                <w:color w:val="auto"/>
              </w:rPr>
              <w:t>(1)</w:t>
            </w:r>
          </w:p>
        </w:tc>
        <w:tc>
          <w:tcPr>
            <w:tcW w:w="360" w:type="dxa"/>
            <w:vAlign w:val="bottom"/>
          </w:tcPr>
          <w:p>
            <w:pPr>
              <w:spacing w:after="0"/>
              <w:rPr>
                <w:sz w:val="13"/>
                <w:szCs w:val="13"/>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money market</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564.1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991.1</w:t>
            </w: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Net market appreciation and income</w:t>
            </w:r>
            <w:r>
              <w:rPr>
                <w:rFonts w:ascii="Arial" w:cs="Arial" w:eastAsia="Arial" w:hAnsi="Arial"/>
                <w:sz w:val="25"/>
                <w:szCs w:val="25"/>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Assets under management at March 31, 2018</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579.3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8890</wp:posOffset>
            </wp:positionV>
            <wp:extent cx="39789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5" w:lineRule="exact"/>
        <w:rPr>
          <w:sz w:val="20"/>
          <w:szCs w:val="20"/>
          <w:color w:val="auto"/>
        </w:rPr>
      </w:pPr>
    </w:p>
    <w:p>
      <w:pPr>
        <w:ind w:left="140" w:hanging="132"/>
        <w:spacing w:after="0"/>
        <w:tabs>
          <w:tab w:leader="none" w:pos="140" w:val="left"/>
        </w:tabs>
        <w:numPr>
          <w:ilvl w:val="0"/>
          <w:numId w:val="9"/>
        </w:numPr>
        <w:rPr>
          <w:rFonts w:ascii="Arial" w:cs="Arial" w:eastAsia="Arial" w:hAnsi="Arial"/>
          <w:sz w:val="9"/>
          <w:szCs w:val="9"/>
          <w:i w:val="1"/>
          <w:iCs w:val="1"/>
          <w:color w:val="auto"/>
        </w:rPr>
      </w:pP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columns.</w:t>
      </w:r>
    </w:p>
    <w:p>
      <w:pPr>
        <w:spacing w:after="0" w:line="13" w:lineRule="exact"/>
        <w:rPr>
          <w:rFonts w:ascii="Arial" w:cs="Arial" w:eastAsia="Arial" w:hAnsi="Arial"/>
          <w:sz w:val="9"/>
          <w:szCs w:val="9"/>
          <w:i w:val="1"/>
          <w:iCs w:val="1"/>
          <w:color w:val="auto"/>
        </w:rPr>
      </w:pPr>
    </w:p>
    <w:p>
      <w:pPr>
        <w:ind w:left="140" w:hanging="132"/>
        <w:spacing w:after="0"/>
        <w:tabs>
          <w:tab w:leader="none" w:pos="140" w:val="left"/>
        </w:tabs>
        <w:numPr>
          <w:ilvl w:val="0"/>
          <w:numId w:val="9"/>
        </w:numPr>
        <w:rPr>
          <w:rFonts w:ascii="Arial" w:cs="Arial" w:eastAsia="Arial" w:hAnsi="Arial"/>
          <w:sz w:val="9"/>
          <w:szCs w:val="9"/>
          <w:i w:val="1"/>
          <w:iCs w:val="1"/>
          <w:color w:val="auto"/>
        </w:rPr>
      </w:pPr>
      <w:r>
        <w:rPr>
          <w:rFonts w:ascii="Arial" w:cs="Arial" w:eastAsia="Arial" w:hAnsi="Arial"/>
          <w:sz w:val="14"/>
          <w:szCs w:val="14"/>
          <w:i w:val="1"/>
          <w:iCs w:val="1"/>
          <w:color w:val="auto"/>
        </w:rPr>
        <w:t>Reported net of distributions not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-208915</wp:posOffset>
            </wp:positionV>
            <wp:extent cx="39789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584" w:right="239" w:bottom="1440" w:gutter="0" w:footer="0" w:header="0"/>
        </w:sectPr>
      </w:pPr>
    </w:p>
    <w:bookmarkStart w:id="24" w:name="page25"/>
    <w:bookmarkEnd w:id="24"/>
    <w:p>
      <w:pPr>
        <w:ind w:right="20"/>
        <w:spacing w:after="0" w:line="279" w:lineRule="auto"/>
        <w:rPr>
          <w:sz w:val="20"/>
          <w:szCs w:val="20"/>
          <w:color w:val="auto"/>
        </w:rPr>
      </w:pPr>
      <w:r>
        <w:rPr>
          <w:rFonts w:ascii="Arial" w:cs="Arial" w:eastAsia="Arial" w:hAnsi="Arial"/>
          <w:sz w:val="17"/>
          <w:szCs w:val="17"/>
          <w:color w:val="auto"/>
        </w:rPr>
        <w:t>Our target date retirement products, which are included in the multi-asset totals shown above, continue to be a significant part of our assets under management. These products invest in a broadly diversified portfolio of assets, including, among other investments, our U.S. mutual funds and T. Rowe Price collective investment trusts; and automatically rebalance to maintain their specific asset allocation weightings. Net cash inflows into our target date retirement products were $6.0 billion in the first quarter of 2018. Assets under management in these portfolios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85"/>
              </w:rPr>
              <w:t>As of</w:t>
            </w:r>
          </w:p>
        </w:tc>
        <w:tc>
          <w:tcPr>
            <w:tcW w:w="1160" w:type="dxa"/>
            <w:vAlign w:val="bottom"/>
            <w:tcBorders>
              <w:bottom w:val="single" w:sz="8" w:color="auto"/>
            </w:tcBorders>
            <w:shd w:val="clear" w:color="auto" w:fill="CCEEFF"/>
          </w:tcPr>
          <w:p>
            <w:pPr>
              <w:spacing w:after="0"/>
              <w:rPr>
                <w:sz w:val="22"/>
                <w:szCs w:val="22"/>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billions)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12/31/17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3/31/18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Target date retirement U.S. mutual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Target date separately managed retirement accounts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Target date retirement trusts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72.4</w:t>
            </w: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239.9</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changes in our assets under management during the first quarter of 2018 by investment vehicle: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040" w:type="dxa"/>
            <w:vAlign w:val="bottom"/>
            <w:tcBorders>
              <w:bottom w:val="single" w:sz="8" w:color="auto"/>
            </w:tcBorders>
            <w:gridSpan w:val="5"/>
            <w:shd w:val="clear" w:color="auto" w:fill="CCEEFF"/>
          </w:tcPr>
          <w:p>
            <w:pPr>
              <w:ind w:left="460"/>
              <w:spacing w:after="0"/>
              <w:rPr>
                <w:sz w:val="20"/>
                <w:szCs w:val="20"/>
                <w:color w:val="auto"/>
              </w:rPr>
            </w:pPr>
            <w:r>
              <w:rPr>
                <w:rFonts w:ascii="Arial" w:cs="Arial" w:eastAsia="Arial" w:hAnsi="Arial"/>
                <w:sz w:val="14"/>
                <w:szCs w:val="14"/>
                <w:b w:val="1"/>
                <w:bCs w:val="1"/>
                <w:color w:val="auto"/>
              </w:rPr>
              <w:t>Three months ended 3/31/2018</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Subadvised and</w:t>
            </w:r>
          </w:p>
        </w:tc>
        <w:tc>
          <w:tcPr>
            <w:tcW w:w="16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Other investment</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 mutual funds</w:t>
            </w:r>
          </w:p>
        </w:tc>
        <w:tc>
          <w:tcPr>
            <w:tcW w:w="1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separately managed</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accounts</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products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606.3</w:t>
            </w: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255.2</w:t>
            </w: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991.1</w:t>
            </w: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Client transfers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after client transfers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market appreciation and income</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not reinvested</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Change during the period</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Assets under management at March 31, 2018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612.9</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Net cash flows after client transfers, by investment vehicle and their underlying asset classes, during the first quarter of 2018, include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90"/>
              </w:rPr>
              <w:t>Three months</w:t>
            </w:r>
          </w:p>
        </w:tc>
      </w:tr>
      <w:tr>
        <w:trPr>
          <w:trHeight w:val="198"/>
        </w:trPr>
        <w:tc>
          <w:tcPr>
            <w:tcW w:w="10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ended 3/31/2018</w:t>
            </w:r>
          </w:p>
        </w:tc>
      </w:tr>
      <w:tr>
        <w:trPr>
          <w:trHeight w:val="237"/>
        </w:trPr>
        <w:tc>
          <w:tcPr>
            <w:tcW w:w="10280" w:type="dxa"/>
            <w:vAlign w:val="bottom"/>
          </w:tcPr>
          <w:p>
            <w:pPr>
              <w:ind w:left="40"/>
              <w:spacing w:after="0"/>
              <w:rPr>
                <w:sz w:val="20"/>
                <w:szCs w:val="20"/>
                <w:color w:val="auto"/>
              </w:rPr>
            </w:pPr>
            <w:r>
              <w:rPr>
                <w:rFonts w:ascii="Arial" w:cs="Arial" w:eastAsia="Arial" w:hAnsi="Arial"/>
                <w:sz w:val="18"/>
                <w:szCs w:val="18"/>
                <w:color w:val="auto"/>
              </w:rPr>
              <w:t>U.S. mutual funds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10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and blended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02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Fixed income and money market</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w:t>
            </w:r>
          </w:p>
        </w:tc>
      </w:tr>
      <w:tr>
        <w:trPr>
          <w:trHeight w:val="264"/>
        </w:trPr>
        <w:tc>
          <w:tcPr>
            <w:tcW w:w="10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10280" w:type="dxa"/>
            <w:vAlign w:val="bottom"/>
          </w:tcPr>
          <w:p>
            <w:pPr>
              <w:ind w:left="40"/>
              <w:spacing w:after="0"/>
              <w:rPr>
                <w:sz w:val="20"/>
                <w:szCs w:val="20"/>
                <w:color w:val="auto"/>
              </w:rPr>
            </w:pPr>
            <w:r>
              <w:rPr>
                <w:rFonts w:ascii="Arial" w:cs="Arial" w:eastAsia="Arial" w:hAnsi="Arial"/>
                <w:sz w:val="18"/>
                <w:szCs w:val="18"/>
                <w:color w:val="auto"/>
              </w:rPr>
              <w:t>Subadvised and separately managed accounts and other investment products</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10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and blended assets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r>
      <w:tr>
        <w:trPr>
          <w:trHeight w:val="243"/>
        </w:trPr>
        <w:tc>
          <w:tcPr>
            <w:tcW w:w="10280" w:type="dxa"/>
            <w:vAlign w:val="bottom"/>
          </w:tcPr>
          <w:p>
            <w:pPr>
              <w:ind w:left="180"/>
              <w:spacing w:after="0"/>
              <w:rPr>
                <w:sz w:val="20"/>
                <w:szCs w:val="20"/>
                <w:color w:val="auto"/>
              </w:rPr>
            </w:pPr>
            <w:r>
              <w:rPr>
                <w:rFonts w:ascii="Arial" w:cs="Arial" w:eastAsia="Arial" w:hAnsi="Arial"/>
                <w:sz w:val="18"/>
                <w:szCs w:val="18"/>
                <w:color w:val="auto"/>
              </w:rPr>
              <w:t>Fixed income and money market</w:t>
            </w: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7"/>
        </w:trPr>
        <w:tc>
          <w:tcPr>
            <w:tcW w:w="10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10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r>
      <w:tr>
        <w:trPr>
          <w:trHeight w:val="297"/>
        </w:trPr>
        <w:tc>
          <w:tcPr>
            <w:tcW w:w="10280" w:type="dxa"/>
            <w:vAlign w:val="bottom"/>
          </w:tcPr>
          <w:p>
            <w:pPr>
              <w:ind w:left="40"/>
              <w:spacing w:after="0"/>
              <w:rPr>
                <w:sz w:val="20"/>
                <w:szCs w:val="20"/>
                <w:color w:val="auto"/>
              </w:rPr>
            </w:pPr>
            <w:r>
              <w:rPr>
                <w:rFonts w:ascii="Arial" w:cs="Arial" w:eastAsia="Arial" w:hAnsi="Arial"/>
                <w:sz w:val="18"/>
                <w:szCs w:val="18"/>
                <w:color w:val="auto"/>
              </w:rPr>
              <w:t>Total net cash flows after client transfers</w:t>
            </w:r>
            <w:r>
              <w:rPr>
                <w:rFonts w:ascii="Arial" w:cs="Arial" w:eastAsia="Arial" w:hAnsi="Arial"/>
                <w:sz w:val="25"/>
                <w:szCs w:val="25"/>
                <w:color w:val="auto"/>
                <w:vertAlign w:val="superscript"/>
              </w:rPr>
              <w:t>(2)(3)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-20955</wp:posOffset>
            </wp:positionV>
            <wp:extent cx="7200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-3810</wp:posOffset>
            </wp:positionV>
            <wp:extent cx="7200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140" w:hanging="132"/>
        <w:spacing w:after="0"/>
        <w:tabs>
          <w:tab w:leader="none" w:pos="140" w:val="left"/>
        </w:tabs>
        <w:numPr>
          <w:ilvl w:val="0"/>
          <w:numId w:val="10"/>
        </w:numPr>
        <w:rPr>
          <w:rFonts w:ascii="Arial" w:cs="Arial" w:eastAsia="Arial" w:hAnsi="Arial"/>
          <w:sz w:val="9"/>
          <w:szCs w:val="9"/>
          <w:i w:val="1"/>
          <w:iCs w:val="1"/>
          <w:color w:val="auto"/>
        </w:rPr>
      </w:pPr>
      <w:r>
        <w:rPr>
          <w:rFonts w:ascii="Arial" w:cs="Arial" w:eastAsia="Arial" w:hAnsi="Arial"/>
          <w:sz w:val="14"/>
          <w:szCs w:val="14"/>
          <w:i w:val="1"/>
          <w:iCs w:val="1"/>
          <w:color w:val="auto"/>
        </w:rPr>
        <w:t>The net cash flows into the money market funds were $.6 billion for the three months ended March 31, 2018.</w:t>
      </w:r>
    </w:p>
    <w:p>
      <w:pPr>
        <w:spacing w:after="0" w:line="1" w:lineRule="exact"/>
        <w:rPr>
          <w:rFonts w:ascii="Arial" w:cs="Arial" w:eastAsia="Arial" w:hAnsi="Arial"/>
          <w:sz w:val="9"/>
          <w:szCs w:val="9"/>
          <w:i w:val="1"/>
          <w:iCs w:val="1"/>
          <w:color w:val="auto"/>
        </w:rPr>
      </w:pPr>
    </w:p>
    <w:p>
      <w:pPr>
        <w:ind w:right="380" w:firstLine="8"/>
        <w:spacing w:after="0" w:line="241" w:lineRule="auto"/>
        <w:tabs>
          <w:tab w:leader="none" w:pos="127" w:val="left"/>
        </w:tabs>
        <w:numPr>
          <w:ilvl w:val="0"/>
          <w:numId w:val="10"/>
        </w:numPr>
        <w:rPr>
          <w:rFonts w:ascii="Arial" w:cs="Arial" w:eastAsia="Arial" w:hAnsi="Arial"/>
          <w:sz w:val="9"/>
          <w:szCs w:val="9"/>
          <w:i w:val="1"/>
          <w:iCs w:val="1"/>
          <w:color w:val="auto"/>
        </w:rPr>
      </w:pPr>
      <w:r>
        <w:rPr>
          <w:rFonts w:ascii="Arial" w:cs="Arial" w:eastAsia="Arial" w:hAnsi="Arial"/>
          <w:sz w:val="14"/>
          <w:szCs w:val="14"/>
          <w:i w:val="1"/>
          <w:iCs w:val="1"/>
          <w:color w:val="auto"/>
        </w:rPr>
        <w:t>The net cash flows after client transfers are affected by the mutual fund to trust transfers and the equity and fixed income product rebalancing done to align allocations within the target date products.</w:t>
      </w:r>
    </w:p>
    <w:p>
      <w:pPr>
        <w:spacing w:after="0"/>
        <w:rPr>
          <w:rFonts w:ascii="Arial" w:cs="Arial" w:eastAsia="Arial" w:hAnsi="Arial"/>
          <w:sz w:val="9"/>
          <w:szCs w:val="9"/>
          <w:i w:val="1"/>
          <w:iCs w:val="1"/>
          <w:color w:val="auto"/>
        </w:rPr>
      </w:pPr>
      <w:r>
        <w:rPr>
          <w:rFonts w:ascii="Arial" w:cs="Arial" w:eastAsia="Arial" w:hAnsi="Arial"/>
          <w:sz w:val="9"/>
          <w:szCs w:val="9"/>
          <w:i w:val="1"/>
          <w:iCs w:val="1"/>
          <w:color w:val="auto"/>
        </w:rPr>
        <w:t>(3)</w:t>
      </w:r>
      <w:r>
        <w:rPr>
          <w:rFonts w:ascii="Arial" w:cs="Arial" w:eastAsia="Arial" w:hAnsi="Arial"/>
          <w:sz w:val="14"/>
          <w:szCs w:val="14"/>
          <w:i w:val="1"/>
          <w:iCs w:val="1"/>
          <w:color w:val="auto"/>
        </w:rPr>
        <w:t>The underlying assets of the multi-asset portfolios that invest T. Rowe Price products have been broken out and included in their respective vehicle and asset class amounts.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first quarter of 2017 net revenues and operating expenses presented with these results of operations have been recast to reflect the impact of adopting, on January 1, 2018, new accounting guidance related to revenue recognition. We elected to adopt the new guidance on a retrospective basis, which requires 2017 results to be recast to reflect the impact. The new guidance requires certain revenue related expenses that are incurred in servicing our U.S. mutual funds to be recognized in operating expenses versus being presented net against the related revenues. As such, net revenues and operating expenses, primarily product-related, were recast to reflect an increase of $19.0 million for the first quarter of 2017. Additionally, we modified our income statement presentation to increase operating expense transparency and to align expenses with similar drivers. Prior year amounts have been reclassified to conform to the new 2018 presentation. For more information and the impact on the remaining quarters of 2017 of these two changes, see Note 1, The Company and Basis of Preparation, in the condensed consolidated financial statements contained in Part I, Item 1 of this filing.</w:t>
      </w:r>
    </w:p>
    <w:p>
      <w:pPr>
        <w:spacing w:after="0" w:line="16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table below presents financial results on a U.S. GAAP basis as well as a non-GAAP basis that adjusts for the impact of the Dell appraisal rights matter, the firm's consolidated T. Rowe Price investment products, the supplemental savings plan, and other non-operating income. We believe the non-GAAP financial measures below provide relevant and meaningful information to investors about our core operating results.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500" w:type="dxa"/>
            <w:vAlign w:val="bottom"/>
            <w:gridSpan w:val="5"/>
            <w:shd w:val="clear" w:color="auto" w:fill="CCEEFF"/>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4"/>
                <w:szCs w:val="14"/>
                <w:b w:val="1"/>
                <w:bCs w:val="1"/>
                <w:color w:val="auto"/>
              </w:rPr>
              <w:t>3/31/2017</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251"/>
              <w:spacing w:after="0"/>
              <w:rPr>
                <w:sz w:val="20"/>
                <w:szCs w:val="20"/>
                <w:color w:val="auto"/>
              </w:rPr>
            </w:pPr>
            <w:r>
              <w:rPr>
                <w:rFonts w:ascii="Arial" w:cs="Arial" w:eastAsia="Arial" w:hAnsi="Arial"/>
                <w:sz w:val="14"/>
                <w:szCs w:val="14"/>
                <w:b w:val="1"/>
                <w:bCs w:val="1"/>
                <w:color w:val="auto"/>
              </w:rPr>
              <w:t>3/31/2018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Dollar</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Percentage change</w:t>
            </w:r>
          </w:p>
        </w:tc>
        <w:tc>
          <w:tcPr>
            <w:tcW w:w="0" w:type="dxa"/>
            <w:vAlign w:val="bottom"/>
          </w:tcPr>
          <w:p>
            <w:pPr>
              <w:spacing w:after="0"/>
              <w:rPr>
                <w:sz w:val="1"/>
                <w:szCs w:val="1"/>
                <w:color w:val="auto"/>
              </w:rPr>
            </w:pPr>
          </w:p>
        </w:tc>
      </w:tr>
      <w:tr>
        <w:trPr>
          <w:trHeight w:val="192"/>
        </w:trPr>
        <w:tc>
          <w:tcPr>
            <w:tcW w:w="6000" w:type="dxa"/>
            <w:vAlign w:val="bottom"/>
            <w:gridSpan w:val="5"/>
          </w:tcPr>
          <w:p>
            <w:pPr>
              <w:ind w:left="40"/>
              <w:spacing w:after="0"/>
              <w:rPr>
                <w:sz w:val="20"/>
                <w:szCs w:val="20"/>
                <w:color w:val="auto"/>
              </w:rPr>
            </w:pPr>
            <w:r>
              <w:rPr>
                <w:rFonts w:ascii="Arial" w:cs="Arial" w:eastAsia="Arial" w:hAnsi="Arial"/>
                <w:sz w:val="14"/>
                <w:szCs w:val="14"/>
                <w:color w:val="auto"/>
              </w:rPr>
              <w:t>(in millions, except per-share data)</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00" w:type="dxa"/>
            <w:vAlign w:val="bottom"/>
            <w:tcBorders>
              <w:top w:val="single" w:sz="8" w:color="CCEEFF"/>
            </w:tcBorders>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U.S. GAAP basis</w:t>
            </w: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00" w:type="dxa"/>
            <w:vAlign w:val="bottom"/>
            <w:gridSpan w:val="5"/>
          </w:tcPr>
          <w:p>
            <w:pPr>
              <w:ind w:left="4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992.7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1,189.2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196.5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600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744.2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0"/>
        </w:trPr>
        <w:tc>
          <w:tcPr>
            <w:tcW w:w="6000" w:type="dxa"/>
            <w:vAlign w:val="bottom"/>
            <w:gridSpan w:val="5"/>
          </w:tcPr>
          <w:p>
            <w:pPr>
              <w:ind w:left="40"/>
              <w:spacing w:after="0" w:line="270" w:lineRule="exact"/>
              <w:rPr>
                <w:sz w:val="20"/>
                <w:szCs w:val="20"/>
                <w:color w:val="auto"/>
              </w:rPr>
            </w:pPr>
            <w:r>
              <w:rPr>
                <w:rFonts w:ascii="Arial" w:cs="Arial" w:eastAsia="Arial" w:hAnsi="Arial"/>
                <w:sz w:val="18"/>
                <w:szCs w:val="18"/>
                <w:color w:val="auto"/>
              </w:rPr>
              <w:t>Non-operating income</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3"/>
                <w:szCs w:val="23"/>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6000" w:type="dxa"/>
            <w:vAlign w:val="bottom"/>
            <w:gridSpan w:val="5"/>
          </w:tcPr>
          <w:p>
            <w:pPr>
              <w:ind w:left="4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assuming dilution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7"/>
                <w:szCs w:val="17"/>
                <w:b w:val="1"/>
                <w:bCs w:val="1"/>
                <w:color w:val="auto"/>
              </w:rPr>
              <w:t>Adjusted non-GAAP basis</w:t>
            </w:r>
            <w:r>
              <w:rPr>
                <w:rFonts w:ascii="Arial" w:cs="Arial" w:eastAsia="Arial" w:hAnsi="Arial"/>
                <w:sz w:val="23"/>
                <w:szCs w:val="23"/>
                <w:b w:val="1"/>
                <w:bCs w:val="1"/>
                <w:color w:val="auto"/>
                <w:vertAlign w:val="superscript"/>
              </w:rPr>
              <w:t>(2)</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0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659.1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741.0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3"/>
        </w:trPr>
        <w:tc>
          <w:tcPr>
            <w:tcW w:w="6000" w:type="dxa"/>
            <w:vAlign w:val="bottom"/>
            <w:gridSpan w:val="5"/>
          </w:tcPr>
          <w:p>
            <w:pPr>
              <w:ind w:left="4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Assets under management (in billions)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Average assets under management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6000" w:type="dxa"/>
            <w:vAlign w:val="bottom"/>
            <w:gridSpan w:val="5"/>
          </w:tcPr>
          <w:p>
            <w:pPr>
              <w:ind w:left="40"/>
              <w:spacing w:after="0"/>
              <w:rPr>
                <w:sz w:val="20"/>
                <w:szCs w:val="20"/>
                <w:color w:val="auto"/>
              </w:rPr>
            </w:pPr>
            <w:r>
              <w:rPr>
                <w:rFonts w:ascii="Arial" w:cs="Arial" w:eastAsia="Arial" w:hAnsi="Arial"/>
                <w:sz w:val="18"/>
                <w:szCs w:val="18"/>
                <w:color w:val="auto"/>
              </w:rPr>
              <w:t>Ending assets under management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1,014.2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in non-operating income is not meaningful (n/m).</w:t>
      </w:r>
    </w:p>
    <w:p>
      <w:pPr>
        <w:spacing w:after="0" w:line="13"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(2)</w:t>
      </w:r>
      <w:r>
        <w:rPr>
          <w:rFonts w:ascii="Arial" w:cs="Arial" w:eastAsia="Arial" w:hAnsi="Arial"/>
          <w:sz w:val="14"/>
          <w:szCs w:val="14"/>
          <w:i w:val="1"/>
          <w:iCs w:val="1"/>
          <w:color w:val="auto"/>
        </w:rPr>
        <w:t>See the reconciliation to the comparable U.S. GAAP measures at the end of the results of operations sections of this management discussion and analysis.</w:t>
      </w:r>
    </w:p>
    <w:p>
      <w:pPr>
        <w:spacing w:after="0" w:line="15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Investment advisory fees earned in the first quarter of 2018 increased over the comparable 2017 quarter as average assets under our management increased $180.1 billion, or 21.3%, to $1,025.5 billion. The average annualized effective fee rate earned on our assets under management during the first quarter of 2018 was 47.0 basis points, compared with 47.6 basis points earned during the first quarter of 2017. Our effective fee rate has declined in part due to fee reductions we made to certain mutual funds and other products since the end of the first quarter 2017, and higher market valuations that have resulted in a greater proportion of incremental assets under management earning lower fee rates. We regularly assess the competitiveness of our investment advisory fees and will continue to make adjustments as deemed appropriate.</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operating margin in the first quarter of 2018 was 44.0%, compared to 46.1% earned in the 2017 quarter. Our operating income in the first quarter of 2017 includes $50 million of insurance recoveries related to the Dell appraisal rights matter. Excluding these insurance recoveries, the operating margin in the first quarter of 2017 would have been 41.6%, compared with the 44.0% recognized in the first quarter of 2018, as the increase in our assets under management since the end of March 2017 has led to growth in 2018 revenues that has outpaced our growth in operating expenses.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0" w:lineRule="exact"/>
        <w:rPr>
          <w:sz w:val="20"/>
          <w:szCs w:val="20"/>
          <w:color w:val="auto"/>
        </w:rPr>
      </w:pPr>
    </w:p>
    <w:p>
      <w:pPr>
        <w:ind w:left="59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23495</wp:posOffset>
            </wp:positionV>
            <wp:extent cx="19380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3/31/2017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3/31/2018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Dollar change</w:t>
            </w:r>
          </w:p>
        </w:tc>
        <w:tc>
          <w:tcPr>
            <w:tcW w:w="1600" w:type="dxa"/>
            <w:vAlign w:val="bottom"/>
          </w:tcPr>
          <w:p>
            <w:pPr>
              <w:jc w:val="right"/>
              <w:ind w:right="152"/>
              <w:spacing w:after="0"/>
              <w:rPr>
                <w:sz w:val="20"/>
                <w:szCs w:val="20"/>
                <w:color w:val="auto"/>
              </w:rPr>
            </w:pPr>
            <w:r>
              <w:rPr>
                <w:rFonts w:ascii="Arial" w:cs="Arial" w:eastAsia="Arial" w:hAnsi="Arial"/>
                <w:sz w:val="14"/>
                <w:szCs w:val="14"/>
                <w:b w:val="1"/>
                <w:bCs w:val="1"/>
                <w:color w:val="auto"/>
              </w:rPr>
              <w:t>Percentage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advisory fees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U.S. mutual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717.4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832.9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16.1 %</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Subadvised and separately managed accounts and other investment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29.4 %</w:t>
            </w:r>
          </w:p>
        </w:tc>
      </w:tr>
      <w:tr>
        <w:trPr>
          <w:trHeight w:val="237"/>
        </w:trPr>
        <w:tc>
          <w:tcPr>
            <w:tcW w:w="50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992.7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196.5</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19.8 %</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distribution, and servicing fees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Administrative fees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and servicing fees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7"/>
        </w:trPr>
        <w:tc>
          <w:tcPr>
            <w:tcW w:w="50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Investment advisory revenues earned in the first quarter of 2018 from the U.S. mutual funds were $832.9 million, an increase of $115.5 million, or 16.1%, from the comparable 2017 quarter. Average mutual fund assets under management in the first quarter of 2018 were $622.0 billion, an increase of 15.9% from the average in the first quarter of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earned in the first quarter of 2018 from the other investment products were $356.3 million, an increase of $81.0 million,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29.4%, from the comparable 2017 quarter. Average assets under management for these products in the first quarter of 2018 were $403.5 billion,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30.6% from the average in the first quarter of 2017.</w:t>
      </w:r>
    </w:p>
    <w:p>
      <w:pPr>
        <w:spacing w:after="0" w:line="21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Administrative, distribution, and servicing fees in the first quarter of 2018 were $138.8 million, a decrease of $1.1 million from the comparable 2017 quarter. In this line we recognize fees earned from providing administrative and distribution services to our investment advisory clients, primarily our U.S. mutual funds and their investors. As noted above, the implementation of the new revenue recognition guidance resulted in the recast of the first quarter of 2017 results to reflect additional revenue of $19.0 million for the reimbursement of certain costs we incur to provide these administrative services and are entirely offset by the costs paid to third-parties to provide such services. The distribution and servicing fees are earned from 12b-1 plans of certain shares classes of our U.S. mutual funds and are entirely offset by the costs paid to third-party intermediaries who source these assets. These costs are reported in the distribution and servicing cost line in the consolidated income statements.</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first quarter of 2017 and 2018 include the elimination of $.8 million and $1.7 million, respectively, in advisory and administrative fees earned from our consolidated T. Rowe Price investment products. The related expenses recognized by the product and consolidated in our financial statements were also eliminated from operating expenses.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0" w:lineRule="exact"/>
        <w:rPr>
          <w:sz w:val="20"/>
          <w:szCs w:val="20"/>
          <w:color w:val="auto"/>
        </w:rPr>
      </w:pPr>
    </w:p>
    <w:p>
      <w:pPr>
        <w:ind w:left="59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23495</wp:posOffset>
            </wp:positionV>
            <wp:extent cx="19380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3/31/2017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3/31/2018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Dollar change</w:t>
            </w:r>
          </w:p>
        </w:tc>
        <w:tc>
          <w:tcPr>
            <w:tcW w:w="1600" w:type="dxa"/>
            <w:vAlign w:val="bottom"/>
          </w:tcPr>
          <w:p>
            <w:pPr>
              <w:jc w:val="right"/>
              <w:ind w:right="152"/>
              <w:spacing w:after="0"/>
              <w:rPr>
                <w:sz w:val="20"/>
                <w:szCs w:val="20"/>
                <w:color w:val="auto"/>
              </w:rPr>
            </w:pPr>
            <w:r>
              <w:rPr>
                <w:rFonts w:ascii="Arial" w:cs="Arial" w:eastAsia="Arial" w:hAnsi="Arial"/>
                <w:sz w:val="14"/>
                <w:szCs w:val="14"/>
                <w:b w:val="1"/>
                <w:bCs w:val="1"/>
                <w:color w:val="auto"/>
              </w:rPr>
              <w:t>Percentage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related costs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Distribution and servicing</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17.6 %</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promotion</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Product-related costs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occupancy, and facility costs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General, administrative, and other</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26.7 %</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Nonrecurring insurance recoveries related to Dell appraisal rights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57"/>
        </w:trPr>
        <w:tc>
          <w:tcPr>
            <w:tcW w:w="50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matter</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n/m</w:t>
            </w:r>
          </w:p>
        </w:tc>
      </w:tr>
      <w:tr>
        <w:trPr>
          <w:trHeight w:val="250"/>
        </w:trPr>
        <w:tc>
          <w:tcPr>
            <w:tcW w:w="50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610.9</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744.2</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8890</wp:posOffset>
            </wp:positionV>
            <wp:extent cx="40303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15"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in nonrecurring insurance recoveries related to Dell appraisal rights matter is not meaningful (n/m).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-98425</wp:posOffset>
            </wp:positionV>
            <wp:extent cx="40303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Compensation and related costs were $441.4 million in the first quarter of 2018, an increase of $44.0 million, or 11.1%, compared to the first quarter of 2017. Our base salaries, benefits and related employee costs have increased $26.4 million from</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27</w:t>
      </w:r>
    </w:p>
    <w:p>
      <w:pPr>
        <w:sectPr>
          <w:pgSz w:w="11900" w:h="16838" w:orient="portrait"/>
          <w:cols w:equalWidth="0" w:num="1">
            <w:col w:w="11420"/>
          </w:cols>
          <w:pgMar w:left="240" w:top="584" w:right="239" w:bottom="1440" w:gutter="0" w:footer="0" w:header="0"/>
          <w:type w:val="continuous"/>
        </w:sectPr>
      </w:pPr>
    </w:p>
    <w:bookmarkStart w:id="27" w:name="page28"/>
    <w:bookmarkEnd w:id="27"/>
    <w:p>
      <w:pPr>
        <w:ind w:right="80"/>
        <w:spacing w:after="0" w:line="276" w:lineRule="auto"/>
        <w:rPr>
          <w:sz w:val="20"/>
          <w:szCs w:val="20"/>
          <w:color w:val="auto"/>
        </w:rPr>
      </w:pPr>
      <w:r>
        <w:rPr>
          <w:rFonts w:ascii="Arial" w:cs="Arial" w:eastAsia="Arial" w:hAnsi="Arial"/>
          <w:sz w:val="17"/>
          <w:szCs w:val="17"/>
          <w:color w:val="auto"/>
        </w:rPr>
        <w:t>the first quarter of 2017 primarily as a result of an 8.2% increase in our average staff size and modest increases in base salaries at the beginning of 2018. Our interim accrual for annual variable compensation increased $18.3 million from the 2017 quarter. We recognize the interim accrual ratably over the year using the ratio of recognized quarterly net revenues to forecasted annual net revenues. Our non-cash stock-based compensation expense has increased $8.8 million over the prior quarter, as we shifted our annual grant in 2017 from twice a year to a single grant in December. We employed 6,878 associates at March 31, 2018, an increase of 404 associates from the 6,474 associates employed at March 31, 2017.</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increases in compensation and related costs were offset in part by lower compensation expense related to the supplemental savings plan of $2.4 million in the first quarter of 2018 compared with $7.3 million in the comparable 2017 quarter as markets were not as strong in the 2018 period. We began economically hedging the exposure to these market movements at the end of the second quarter of 2018 and show the effectiveness of these hedges in our non-GAAP measures’ reconciliation at the end of the management discussion and analysis. Higher labor capitalization related to internally developed software of $3.8 million also impacted the compensation and related costs increase from the 2017 quarter.</w:t>
      </w:r>
    </w:p>
    <w:p>
      <w:pPr>
        <w:spacing w:after="0" w:line="1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Distribution and servicing includes those costs incurred to distribute the T. Rowe Price products as well as client or shareholder servicing, recordkeeping, and administrative services. These costs were $70.3 million for the first quarter of 2018, an increase of 17.6% over the $59.8 million recognized in the first quarter of 2017. The increase is primarily driven by strong markets and net cash flows over the last twelve months, which has resulted in higher assets under management in these products. These costs include those distribution and servicing costs paid to third-party intermediaries that source the assets of certain shares classes of our U.S. mutual funds and is offset entirely by the 12b-1 revenue we earn and report in administrative fee and other income.</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Product-related costs is a new financial statement line item that consists of non-advisory costs of certain T. Rowe Price products that the firm incurs. Product-related costs were $42.1 million in the first quarter of 2018, an increase of $3.5 million, or 9.1%, compared to the first quarter of 2017. The increase is primarily due to higher operating costs of our collective investment trusts as the number of trusts and their net assets have increased since the end of the first quarter of 2017. The servicing costs we incur that are reimbursed by our U.S. mutual funds and recognized in administrative, distribution and servicing fees have also increased over prior year.</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Technology, occupancy, and facility costs is a new financial statement line item that consists of depreciation expense, technology-related equipment and maintenance, software, and costs related to our facilities. These costs were $94.1 million in the current quarter, an increase of 13.6% compared to the $82.8 million recognized in the first quarter of 2017. The increase is due primarily to incremental costs to update and enhance technology capabilities, including related maintenance programs, as well as expanded office facilities.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administrative, and other consists of costs associated with the overall management of the firm, including information services, professional services, travel and entertainment, research costs, and other general operating expenses. These costs were $71.7 million in the current quarter, an increase of 26.7% compared to the $56.6 million recognized in the first quarter of 2017. The increase was a result of our continued investment in our strategic initiatives and other growing operational and regulatory business demands.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00"/>
          </w:cols>
          <w:pgMar w:left="240" w:top="58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Non-operating income</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Non-operating income in the first quarter of 2018 was $16.1 million, a decrease of $98.9 million from the 2017 quarter. The following table details the components of non-operating income during the first quarter of 2017 and 2018 and the related dollar change.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2360" w:type="dxa"/>
            <w:vAlign w:val="bottom"/>
            <w:tcBorders>
              <w:bottom w:val="single" w:sz="8" w:color="auto"/>
            </w:tcBorders>
            <w:gridSpan w:val="3"/>
            <w:shd w:val="clear" w:color="auto" w:fill="CCEEFF"/>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3/31/2017</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7"/>
              </w:rPr>
              <w:t>Dollar change</w:t>
            </w:r>
            <w:r>
              <w:rPr>
                <w:rFonts w:ascii="Arial" w:cs="Arial" w:eastAsia="Arial" w:hAnsi="Arial"/>
                <w:sz w:val="8"/>
                <w:szCs w:val="8"/>
                <w:b w:val="1"/>
                <w:bCs w:val="1"/>
                <w:color w:val="auto"/>
                <w:w w:val="97"/>
              </w:rPr>
              <w:t>(1)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 from non-consolidated T. Rowe Price investment products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Ordinary and capital gain dividend distributions</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 gains on equity method and other investments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gain recognized upon deconsolidation</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Dividends and market gains on investment products used to hedge the supplemental</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savings plan liability</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w w:val="96"/>
              </w:rPr>
              <w:t>Total net investment income from non-consolidated T. Rowe Price investment products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1"/>
              </w:rPr>
              <w:t>11.0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investment income</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earned from investments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1"/>
              </w:rPr>
              <w:t>14.4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 (loss) on consolidated sponsored investment portfolios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including foreign currency gains and losses</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r>
    </w:tbl>
    <w:p>
      <w:pPr>
        <w:spacing w:after="0" w:line="8"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in non-operating income is not meaningful (n/m).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-98425</wp:posOffset>
            </wp:positionV>
            <wp:extent cx="29673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decrease in market gains on equity method and other investments at fair value is driven primarily by realized gains of $47.6 million from the sale of certain available-for-sale investments recognized in the first quarter of 2017 that did not reoccur in the 2018 quarter. On January 1, 2018, we implemented new accounting guidance that eliminated the available-for-sale investment category for equity securities, which recognized unrealized holding gains in accumulated other comprehensive income until the investment was sold and the related gain was reclassified to the income statement. Under the new guidance, substantially all equity investments are measured at fair value with changes recognized in earnings, except for those accounted for using the equity method of accounting. For more information on the impact of this new accounting guidance, see Note 1, The Company and Basis of Preparation, in the condensed consolidated financial statements contained in Part I, Item 1 of this filing.</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$48.1 million decrease from the 2017 quarter in net investment income of consolidated T. Rowe Price investment products is primarily a result of larger unrealized losses recognized during 2018 compared with 2017.</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impact of consolidating certain T. Rowe Price investment products on the individual lines of our condensed consolidated statements of income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9"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66675</wp:posOffset>
            </wp:positionV>
            <wp:extent cx="1663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3/31/2017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3/31/2018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our interest in the consolidated T. Rowe Price investment products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third-party investors)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effective tax rate for the first quarter of 2018 was 24.1%, compared with 37.1% in the first quarter of 2017 as U.S. tax reform reduced the U.S. federal corporate tax rate from 35% to 21% on January 1, 2018. The following table provides the components of our effective income tax rate for the first quarter of 2018:</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U.S. federal income tax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70"/>
        </w:trPr>
        <w:tc>
          <w:tcPr>
            <w:tcW w:w="10060" w:type="dxa"/>
            <w:vAlign w:val="bottom"/>
          </w:tcPr>
          <w:p>
            <w:pPr>
              <w:ind w:left="40"/>
              <w:spacing w:after="0" w:line="27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5"/>
                <w:szCs w:val="25"/>
                <w:color w:val="auto"/>
                <w:vertAlign w:val="superscript"/>
              </w:rPr>
              <w:t>(1)</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5.1</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redeemable non-controlling interests</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items</w:t>
            </w: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24.1 %</w:t>
            </w:r>
          </w:p>
        </w:tc>
      </w:tr>
      <w:tr>
        <w:trPr>
          <w:trHeight w:val="20"/>
        </w:trPr>
        <w:tc>
          <w:tcPr>
            <w:tcW w:w="10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(1) State income benefits are reflected in the total benefits for net income attributable to redeemable non-controlling interests and stock-based compensation plans activity</w:t>
      </w:r>
      <w:r>
        <w:rPr>
          <w:rFonts w:ascii="Arial" w:cs="Arial" w:eastAsia="Arial" w:hAnsi="Arial"/>
          <w:sz w:val="7"/>
          <w:szCs w:val="7"/>
          <w:i w:val="1"/>
          <w:iCs w:val="1"/>
          <w:color w:val="auto"/>
        </w:rPr>
        <w:t>.</w:t>
      </w: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currently estimate our effective tax rate for the full-year 2018 will be in the range of 24% to 27%. Our effective tax rate will continue to experience volatility in future periods as the tax benefits recognized from stock based compensation are impacted by market fluctuations in our stock price and timing of option exercises. The rate will also be impacted by changes in our consolidated investment products that are driven by market fluctuations and changes in the proportion of their net income that is attributable to non-controlling interests.</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not made any significant changes to the estimates we made at December 31, 2017, related to the enactment of U.S. tax reform, including the recognition of the $52.2 million tax liability for the mandatory deemed repatriation of foreign sourced net earnings. We continue to evaluate the impact of the U.S. tax reform on our estimates and expectations due to changes in our interpretations of the law, assumptions used in applying the law, and additional guidance concerning the law that may be issued.</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On April 24, 2018, the Governor of the State of Maryland signed legislation to adopt the single sales factor method of apportionment for calculating income tax for multi-state companies doing business in Maryland. This legislation is effective for years beginning in 2018 and will be phased in over a five year period. We are assessing the full impact the change in law will have on our effective tax rate, but expect it will result in a net benefit in future years.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 The following schedule reconciles U.S. GAAP financial measures to non-GAAP financial measures for the first quarter of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8"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23495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 except per-share data)</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3/31/2017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3/31/2018</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 GAAP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Expenses of consolidated T. Rowe Price investment products, net of elimination of its related management fee and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902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administrative fees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9020" w:type="dxa"/>
            <w:vAlign w:val="bottom"/>
          </w:tcPr>
          <w:p>
            <w:pPr>
              <w:ind w:left="120"/>
              <w:spacing w:after="0" w:line="270" w:lineRule="exact"/>
              <w:rPr>
                <w:sz w:val="20"/>
                <w:szCs w:val="20"/>
                <w:color w:val="auto"/>
              </w:rPr>
            </w:pPr>
            <w:r>
              <w:rPr>
                <w:rFonts w:ascii="Arial" w:cs="Arial" w:eastAsia="Arial" w:hAnsi="Arial"/>
                <w:sz w:val="18"/>
                <w:szCs w:val="18"/>
                <w:color w:val="auto"/>
              </w:rPr>
              <w:t>Compensation expense related to market valuation changes in the supplemental savings plan liability</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90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Insurance recoveries related to Dell appraisal rights matter</w:t>
            </w:r>
            <w:r>
              <w:rPr>
                <w:rFonts w:ascii="Arial" w:cs="Arial" w:eastAsia="Arial" w:hAnsi="Arial"/>
                <w:sz w:val="25"/>
                <w:szCs w:val="25"/>
                <w:color w:val="auto"/>
                <w:vertAlign w:val="superscript"/>
              </w:rPr>
              <w:t>(4)</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9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Adjusted operating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659.1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741.0</w:t>
            </w:r>
          </w:p>
        </w:tc>
      </w:tr>
      <w:tr>
        <w:trPr>
          <w:trHeight w:val="311"/>
        </w:trPr>
        <w:tc>
          <w:tcPr>
            <w:tcW w:w="9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T. Rowe Price Group, GAAP basis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453.7</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9020" w:type="dxa"/>
            <w:vAlign w:val="bottom"/>
          </w:tcPr>
          <w:p>
            <w:pPr>
              <w:ind w:left="120"/>
              <w:spacing w:after="0" w:line="270" w:lineRule="exact"/>
              <w:rPr>
                <w:sz w:val="20"/>
                <w:szCs w:val="20"/>
                <w:color w:val="auto"/>
              </w:rPr>
            </w:pPr>
            <w:r>
              <w:rPr>
                <w:rFonts w:ascii="Arial" w:cs="Arial" w:eastAsia="Arial" w:hAnsi="Arial"/>
                <w:sz w:val="18"/>
                <w:szCs w:val="18"/>
                <w:color w:val="auto"/>
              </w:rPr>
              <w:t>Net income of consolidated T. Rowe Price investment products, net of redeemable non-controlling interests</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29"/>
        </w:trPr>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Non-operating income of investments designated as an economic hedge of the supplemental savings plan liability less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902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related compensation expense</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9020" w:type="dxa"/>
            <w:vAlign w:val="bottom"/>
          </w:tcPr>
          <w:p>
            <w:pPr>
              <w:ind w:left="120"/>
              <w:spacing w:after="0"/>
              <w:rPr>
                <w:sz w:val="20"/>
                <w:szCs w:val="20"/>
                <w:color w:val="auto"/>
              </w:rPr>
            </w:pPr>
            <w:r>
              <w:rPr>
                <w:rFonts w:ascii="Arial" w:cs="Arial" w:eastAsia="Arial" w:hAnsi="Arial"/>
                <w:sz w:val="18"/>
                <w:szCs w:val="18"/>
                <w:color w:val="auto"/>
                <w:w w:val="91"/>
              </w:rPr>
              <w:t>Non-operating income, excluding impacts of consolidated T. Rowe Price investment products and investments designated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7"/>
        </w:trPr>
        <w:tc>
          <w:tcPr>
            <w:tcW w:w="9020" w:type="dxa"/>
            <w:vAlign w:val="bottom"/>
          </w:tcPr>
          <w:p>
            <w:pPr>
              <w:ind w:left="120"/>
              <w:spacing w:after="0" w:line="257" w:lineRule="exact"/>
              <w:rPr>
                <w:sz w:val="20"/>
                <w:szCs w:val="20"/>
                <w:color w:val="auto"/>
              </w:rPr>
            </w:pPr>
            <w:r>
              <w:rPr>
                <w:rFonts w:ascii="Arial" w:cs="Arial" w:eastAsia="Arial" w:hAnsi="Arial"/>
                <w:sz w:val="18"/>
                <w:szCs w:val="18"/>
                <w:color w:val="auto"/>
              </w:rPr>
              <w:t>as an economic hedge of supplemental savings plan liability</w:t>
            </w:r>
            <w:r>
              <w:rPr>
                <w:rFonts w:ascii="Arial" w:cs="Arial" w:eastAsia="Arial" w:hAnsi="Arial"/>
                <w:sz w:val="25"/>
                <w:szCs w:val="25"/>
                <w:color w:val="auto"/>
                <w:vertAlign w:val="superscript"/>
              </w:rPr>
              <w:t>(3)</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0"/>
        </w:trPr>
        <w:tc>
          <w:tcPr>
            <w:tcW w:w="9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Insurance recoveries related to Dell appraisal rights matter</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9020" w:type="dxa"/>
            <w:vAlign w:val="bottom"/>
            <w:tcBorders>
              <w:bottom w:val="single" w:sz="8" w:color="CCEEFF"/>
            </w:tcBorders>
          </w:tcPr>
          <w:p>
            <w:pPr>
              <w:ind w:left="120"/>
              <w:spacing w:after="0" w:line="270" w:lineRule="exact"/>
              <w:rPr>
                <w:sz w:val="20"/>
                <w:szCs w:val="20"/>
                <w:color w:val="auto"/>
              </w:rPr>
            </w:pPr>
            <w:r>
              <w:rPr>
                <w:rFonts w:ascii="Arial" w:cs="Arial" w:eastAsia="Arial" w:hAnsi="Arial"/>
                <w:sz w:val="18"/>
                <w:szCs w:val="18"/>
                <w:color w:val="auto"/>
              </w:rPr>
              <w:t>Income tax impacts of non-GAAP adjustments</w:t>
            </w:r>
            <w:r>
              <w:rPr>
                <w:rFonts w:ascii="Arial" w:cs="Arial" w:eastAsia="Arial" w:hAnsi="Arial"/>
                <w:sz w:val="25"/>
                <w:szCs w:val="25"/>
                <w:color w:val="auto"/>
                <w:vertAlign w:val="superscript"/>
              </w:rPr>
              <w:t>(5)</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attributable to T. Rowe Price Group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445.6</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9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common share, GAAP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Consolidated T. Rowe Price investment products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29"/>
        </w:trPr>
        <w:tc>
          <w:tcPr>
            <w:tcW w:w="9020" w:type="dxa"/>
            <w:vAlign w:val="bottom"/>
          </w:tcPr>
          <w:p>
            <w:pPr>
              <w:ind w:left="120"/>
              <w:spacing w:after="0"/>
              <w:rPr>
                <w:sz w:val="20"/>
                <w:szCs w:val="20"/>
                <w:color w:val="auto"/>
              </w:rPr>
            </w:pPr>
            <w:r>
              <w:rPr>
                <w:rFonts w:ascii="Arial" w:cs="Arial" w:eastAsia="Arial" w:hAnsi="Arial"/>
                <w:sz w:val="18"/>
                <w:szCs w:val="18"/>
                <w:color w:val="auto"/>
                <w:w w:val="91"/>
              </w:rPr>
              <w:t>Non-operating income, excluding impacts of consolidated T. Rowe Price investment products and investments designated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7"/>
        </w:trPr>
        <w:tc>
          <w:tcPr>
            <w:tcW w:w="9020" w:type="dxa"/>
            <w:vAlign w:val="bottom"/>
          </w:tcPr>
          <w:p>
            <w:pPr>
              <w:ind w:left="120"/>
              <w:spacing w:after="0" w:line="257" w:lineRule="exact"/>
              <w:rPr>
                <w:sz w:val="20"/>
                <w:szCs w:val="20"/>
                <w:color w:val="auto"/>
              </w:rPr>
            </w:pPr>
            <w:r>
              <w:rPr>
                <w:rFonts w:ascii="Arial" w:cs="Arial" w:eastAsia="Arial" w:hAnsi="Arial"/>
                <w:sz w:val="18"/>
                <w:szCs w:val="18"/>
                <w:color w:val="auto"/>
              </w:rPr>
              <w:t>as an economic hedge of supplemental savings plan liability</w:t>
            </w:r>
            <w:r>
              <w:rPr>
                <w:rFonts w:ascii="Arial" w:cs="Arial" w:eastAsia="Arial" w:hAnsi="Arial"/>
                <w:sz w:val="25"/>
                <w:szCs w:val="25"/>
                <w:color w:val="auto"/>
                <w:vertAlign w:val="superscript"/>
              </w:rPr>
              <w:t>(3)</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90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Nonrecurring charge (insurance recoveries) related to Dell appraisal rights matter</w:t>
            </w:r>
            <w:r>
              <w:rPr>
                <w:rFonts w:ascii="Arial" w:cs="Arial" w:eastAsia="Arial" w:hAnsi="Arial"/>
                <w:sz w:val="25"/>
                <w:szCs w:val="25"/>
                <w:color w:val="auto"/>
                <w:vertAlign w:val="superscript"/>
              </w:rPr>
              <w:t>(4)</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902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Adjusted diluted earnings per common share</w:t>
            </w:r>
            <w:r>
              <w:rPr>
                <w:rFonts w:ascii="Arial" w:cs="Arial" w:eastAsia="Arial" w:hAnsi="Arial"/>
                <w:sz w:val="25"/>
                <w:szCs w:val="25"/>
                <w:b w:val="1"/>
                <w:bCs w:val="1"/>
                <w:color w:val="auto"/>
                <w:vertAlign w:val="superscript"/>
              </w:rPr>
              <w:t>(6)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right="160" w:hanging="172"/>
        <w:spacing w:after="0" w:line="262" w:lineRule="auto"/>
        <w:tabs>
          <w:tab w:leader="none" w:pos="21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non-GAAP adjustments add back the management and administrative fees we earn from the consolidated T. Rowe Price investment products and remove the investment income and operating expenses of these products that have been included in our U.S. GAAP condensed consolidated statements of income. We believe the consolidated T. Rowe Price investment products may impact the reader's ability to understand our core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76200</wp:posOffset>
            </wp:positionV>
            <wp:extent cx="701484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72"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23495</wp:posOffset>
            </wp:positionV>
            <wp:extent cx="14751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03"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8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3/31/2017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3/31/2018</w:t>
            </w: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1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1.8</w:t>
            </w:r>
          </w:p>
        </w:tc>
      </w:tr>
      <w:tr>
        <w:trPr>
          <w:trHeight w:val="27"/>
        </w:trPr>
        <w:tc>
          <w:tcPr>
            <w:tcW w:w="8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Group's portion of 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38"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31</w:t>
      </w:r>
    </w:p>
    <w:p>
      <w:pPr>
        <w:sectPr>
          <w:pgSz w:w="11900" w:h="16838" w:orient="portrait"/>
          <w:cols w:equalWidth="0" w:num="1">
            <w:col w:w="11420"/>
          </w:cols>
          <w:pgMar w:left="240" w:top="638" w:right="239" w:bottom="1440" w:gutter="0" w:footer="0" w:header="0"/>
          <w:type w:val="continuous"/>
        </w:sectPr>
      </w:pPr>
    </w:p>
    <w:bookmarkStart w:id="31" w:name="page32"/>
    <w:bookmarkEnd w:id="31"/>
    <w:p>
      <w:pPr>
        <w:ind w:left="180" w:right="20" w:hanging="172"/>
        <w:spacing w:after="0" w:line="268" w:lineRule="auto"/>
        <w:tabs>
          <w:tab w:leader="none" w:pos="196"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impact of market movements on the supplemental savings plan liability and related investments designated as economic hedges of the liability beginning July 1, 2017. Amounts deferred under the supplemental savings plan are adjusted for appreciation (depreciation) of hypothetical investments chosen by the employee. Since we economically hedged the exposure to these market movements, we believe it is useful to offset the non-operating investment income earned on the hedges against the related compensation expense to increase comparability period to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73025</wp:posOffset>
            </wp:positionV>
            <wp:extent cx="701484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67"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23495</wp:posOffset>
            </wp:positionV>
            <wp:extent cx="14751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8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8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3/31/2017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3/31/2018</w:t>
            </w:r>
          </w:p>
        </w:tc>
        <w:tc>
          <w:tcPr>
            <w:tcW w:w="0" w:type="dxa"/>
            <w:vAlign w:val="bottom"/>
          </w:tcPr>
          <w:p>
            <w:pPr>
              <w:spacing w:after="0"/>
              <w:rPr>
                <w:sz w:val="1"/>
                <w:szCs w:val="1"/>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Non-operating income of investments designated as an economic hedge of supplemental savings plan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Compensation expense from market valuation changes in supplemental savings plan liability</w:t>
            </w:r>
          </w:p>
        </w:tc>
        <w:tc>
          <w:tcPr>
            <w:tcW w:w="180" w:type="dxa"/>
            <w:vAlign w:val="bottom"/>
          </w:tcPr>
          <w:p>
            <w:pPr>
              <w:spacing w:after="0"/>
              <w:rPr>
                <w:sz w:val="21"/>
                <w:szCs w:val="21"/>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8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Non-operating income of investments designated as an economic hedge of supplemental savings plan liability less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18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100" w:hanging="172"/>
        <w:spacing w:after="0" w:line="250" w:lineRule="auto"/>
        <w:tabs>
          <w:tab w:leader="none" w:pos="196"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This non-GAAP adjustment removes the non-operating income that remains after backing out the portion related to the consolidated T. Rowe Price investment products and investments designated as an economic hedge of our supplemental savings plan liability. We believe excluding non-operating income helps the reader's ability to understand our core operating results and increases comparability to prior years. Additionally, we do not emphasize the impact of non-operating income when managing and evaluating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80645</wp:posOffset>
            </wp:positionV>
            <wp:extent cx="701484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4845" cy="171450"/>
                    </a:xfrm>
                    <a:prstGeom prst="rect">
                      <a:avLst/>
                    </a:prstGeom>
                    <a:noFill/>
                  </pic:spPr>
                </pic:pic>
              </a:graphicData>
            </a:graphic>
          </wp:anchor>
        </w:drawing>
      </w:r>
    </w:p>
    <w:p>
      <w:pPr>
        <w:spacing w:after="0" w:line="179"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23495</wp:posOffset>
            </wp:positionV>
            <wp:extent cx="14751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03"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8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3/31/2017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3/31/2018</w:t>
            </w: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Less: net investment income of consolidated T. Rowe Price investment products</w:t>
            </w: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w:t>
            </w: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Less: non-operating income from investments designated as an economic hedge of supplemental savings plan liability</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r>
      <w:tr>
        <w:trPr>
          <w:trHeight w:val="257"/>
        </w:trPr>
        <w:tc>
          <w:tcPr>
            <w:tcW w:w="8720" w:type="dxa"/>
            <w:vAlign w:val="bottom"/>
          </w:tcPr>
          <w:p>
            <w:pPr>
              <w:ind w:left="20"/>
              <w:spacing w:after="0"/>
              <w:rPr>
                <w:sz w:val="20"/>
                <w:szCs w:val="20"/>
                <w:color w:val="auto"/>
              </w:rPr>
            </w:pPr>
            <w:r>
              <w:rPr>
                <w:rFonts w:ascii="Arial" w:cs="Arial" w:eastAsia="Arial" w:hAnsi="Arial"/>
                <w:sz w:val="18"/>
                <w:szCs w:val="18"/>
                <w:color w:val="auto"/>
              </w:rPr>
              <w:t>Total other non-operating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12.4</w:t>
            </w:r>
          </w:p>
        </w:tc>
      </w:tr>
      <w:tr>
        <w:trPr>
          <w:trHeight w:val="20"/>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hanging="172"/>
        <w:spacing w:after="0" w:line="245" w:lineRule="auto"/>
        <w:tabs>
          <w:tab w:leader="none" w:pos="21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In the first quarter of 2017, we recognized additional insurance recoveries of $50 million as a reduction in operating expenses from claims that were filed in relation to the Dell appraisal rights matter. We believe it is useful to readers of our consolidated statements of income to adjust for these charges and non-recurring insurance recoveries in arriving at adjusted operating expenses and net income attributable to T. Rowe Price Group, Inc. and diluted earnings per share.</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(5</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These were calculated in order to achieve an overall quarterly non-GAAP effective tax rate of 37.3% for 2017 and 24.3% for 2018.</w:t>
      </w:r>
    </w:p>
    <w:p>
      <w:pPr>
        <w:spacing w:after="0" w:line="145" w:lineRule="exact"/>
        <w:rPr>
          <w:sz w:val="20"/>
          <w:szCs w:val="20"/>
          <w:color w:val="auto"/>
        </w:rPr>
      </w:pPr>
    </w:p>
    <w:p>
      <w:pPr>
        <w:ind w:left="180" w:right="60" w:hanging="172"/>
        <w:spacing w:after="0" w:line="227" w:lineRule="auto"/>
        <w:tabs>
          <w:tab w:leader="none" w:pos="21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This non-GAAP measure was calculated by applying the two-class method to adjusted net income attributable to T. Rowe Price Group, Inc. divided by the weighted-average common shares outstanding assuming dilution.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increased our quarterly recurring dividend per share in March 2018 by 22.8% to $.70 per share. In the first quarter of 2018, we expended $313.5 million to repurchase 2.9 million shares, or 1.2%, of our outstanding common stock at an average price of $106.84 per share. These dividends and repurchases were expended using existing cash balances and cash generated from operations. We will generally repurchase our common stock over time to offset the dilution created by our equity-based compensation plans.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00"/>
          </w:cols>
          <w:pgMar w:left="240" w:top="584"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Since the end of 2015, we have returned $2.7 billion to stockholders through stock repurchases and our regular quarterly dividends,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7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6"/>
              </w:rPr>
              <w:t>Recurring</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3"/>
            <w:vMerge w:val="restart"/>
            <w:shd w:val="clear" w:color="auto" w:fill="CCEEFF"/>
          </w:tcPr>
          <w:p>
            <w:pPr>
              <w:ind w:left="220"/>
              <w:spacing w:after="0"/>
              <w:rPr>
                <w:sz w:val="20"/>
                <w:szCs w:val="20"/>
                <w:color w:val="auto"/>
              </w:rPr>
            </w:pPr>
            <w:r>
              <w:rPr>
                <w:rFonts w:ascii="Arial" w:cs="Arial" w:eastAsia="Arial" w:hAnsi="Arial"/>
                <w:sz w:val="14"/>
                <w:szCs w:val="14"/>
                <w:b w:val="1"/>
                <w:bCs w:val="1"/>
                <w:color w:val="auto"/>
              </w:rPr>
              <w:t>Stock</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center"/>
              <w:ind w:right="95"/>
              <w:spacing w:after="0"/>
              <w:rPr>
                <w:sz w:val="20"/>
                <w:szCs w:val="20"/>
                <w:color w:val="auto"/>
              </w:rPr>
            </w:pPr>
            <w:r>
              <w:rPr>
                <w:rFonts w:ascii="Arial" w:cs="Arial" w:eastAsia="Arial" w:hAnsi="Arial"/>
                <w:sz w:val="14"/>
                <w:szCs w:val="14"/>
                <w:b w:val="1"/>
                <w:bCs w:val="1"/>
                <w:color w:val="auto"/>
                <w:w w:val="89"/>
              </w:rPr>
              <w:t>Total cash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7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returned to</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0"/>
              </w:rPr>
              <w:t>dividend</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b w:val="1"/>
                <w:bCs w:val="1"/>
                <w:color w:val="auto"/>
                <w:w w:val="88"/>
              </w:rPr>
              <w:t>repurchases</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center"/>
              <w:ind w:right="95"/>
              <w:spacing w:after="0"/>
              <w:rPr>
                <w:sz w:val="20"/>
                <w:szCs w:val="20"/>
                <w:color w:val="auto"/>
              </w:rPr>
            </w:pPr>
            <w:r>
              <w:rPr>
                <w:rFonts w:ascii="Arial" w:cs="Arial" w:eastAsia="Arial" w:hAnsi="Arial"/>
                <w:sz w:val="14"/>
                <w:szCs w:val="14"/>
                <w:b w:val="1"/>
                <w:bCs w:val="1"/>
                <w:color w:val="auto"/>
                <w:w w:val="89"/>
              </w:rPr>
              <w:t>stockholders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8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21"/>
                <w:szCs w:val="21"/>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676.9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1,218.1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562.6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458.1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Three months ended 3/31/2018</w:t>
            </w: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313.5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488.4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1,278.7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1,448.5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2,727.2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6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9000" w:type="dxa"/>
            <w:vAlign w:val="bottom"/>
            <w:gridSpan w:val="5"/>
          </w:tcPr>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12/31/2017</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4"/>
                <w:szCs w:val="14"/>
                <w:b w:val="1"/>
                <w:bCs w:val="1"/>
                <w:color w:val="auto"/>
              </w:rPr>
              <w:t>3/31/2018</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Discretionary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Total cash and discretionary investments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3,015.4</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Redeemable seed capital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cash and investments in T. Rowe Price products</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cash and discretionary investments in T. Rowe Price products held by our subsidiaries outside the U.S. were $424.5 million and $429.0 million, at December 31, 2017, and March 31, 2018, respectively.</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cash and investment presentation on the condensed consolidated balance sheet is based on how we account for the cash or investment. The following table details how T. Rowe Price Group’s interests in cash and investments relate to where they are presented in the condensed consolidated balance sheet as of March 31, 2018.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87"/>
              </w:rPr>
              <w:t>Net assets of</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consolidated 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1"/>
              </w:rPr>
              <w:t>Cash and cash</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Rowe Price</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2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3/31/2018</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0"/>
              </w:rPr>
              <w:t>equivalents</w:t>
            </w:r>
          </w:p>
        </w:tc>
        <w:tc>
          <w:tcPr>
            <w:tcW w:w="16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0"/>
              </w:rPr>
              <w:t>products</w:t>
            </w:r>
          </w:p>
        </w:tc>
        <w:tc>
          <w:tcPr>
            <w:tcW w:w="2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1,681.4</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1,308.3</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3,015.4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Seed capital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1,124.9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Investment products used to hedge supplemental savings plan</w:t>
            </w: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Total cash and investments in T. Rowe Price products attributable to T. Rowe Price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4,423.6</w:t>
            </w:r>
          </w:p>
        </w:tc>
        <w:tc>
          <w:tcPr>
            <w:tcW w:w="0" w:type="dxa"/>
            <w:vAlign w:val="bottom"/>
          </w:tcPr>
          <w:p>
            <w:pPr>
              <w:spacing w:after="0"/>
              <w:rPr>
                <w:sz w:val="1"/>
                <w:szCs w:val="1"/>
                <w:color w:val="auto"/>
              </w:rPr>
            </w:pPr>
          </w:p>
        </w:tc>
      </w:tr>
      <w:tr>
        <w:trPr>
          <w:trHeight w:val="243"/>
        </w:trPr>
        <w:tc>
          <w:tcPr>
            <w:tcW w:w="6400" w:type="dxa"/>
            <w:vAlign w:val="bottom"/>
          </w:tcPr>
          <w:p>
            <w:pPr>
              <w:ind w:left="80"/>
              <w:spacing w:after="0"/>
              <w:rPr>
                <w:sz w:val="20"/>
                <w:szCs w:val="20"/>
                <w:color w:val="auto"/>
              </w:rPr>
            </w:pPr>
            <w:r>
              <w:rPr>
                <w:rFonts w:ascii="Arial" w:cs="Arial" w:eastAsia="Arial" w:hAnsi="Arial"/>
                <w:sz w:val="18"/>
                <w:szCs w:val="18"/>
                <w:color w:val="auto"/>
              </w:rPr>
              <w:t>Investment in UTI and other investments</w:t>
            </w: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investments attributable to T. Rowe Price Group</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4,687.6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reported on consolidated balance sheet 3/31/2018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1,681.4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2,095.1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1,457.6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5,234.1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condensed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 party investors. Although we can redeem our net interest in these T. Rowe Price investment products at any time, we cannot directly access or sell the assets held by the products to obtain cash for general operations. Additionally, the assets of these T. Rowe Price investment products are not available to our general creditors. Our interest in these T. Rowe Price investment products was used as initial seed capital and is recategorized as discretionary when it is determined by management that the seed capital is no longer needed. We assess the discretionary investment products and seek to liquidate our interest, if decided, in a way as to not impact the product and ultimately, the unrelated third party investors.</w:t>
      </w:r>
    </w:p>
    <w:p>
      <w:pPr>
        <w:spacing w:after="0" w:line="16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We anticipate property and equipment expenditures for the full-year 2018 to be about $180 million, of which about two-thirds is planned for technology initiatives. Given the availability of our financial resources, we expect to fund our anticipated capital expenditures with operating resources, and do not maintain an available external source of additional liquidity.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584" w:right="239" w:bottom="1440" w:gutter="0" w:footer="0" w:header="0"/>
        </w:sectPr>
      </w:pPr>
    </w:p>
    <w:bookmarkStart w:id="33" w:name="page34"/>
    <w:bookmarkEnd w:id="33"/>
    <w:p>
      <w:pPr>
        <w:ind w:right="560"/>
        <w:spacing w:after="0" w:line="277" w:lineRule="auto"/>
        <w:rPr>
          <w:sz w:val="20"/>
          <w:szCs w:val="20"/>
          <w:color w:val="auto"/>
        </w:rPr>
      </w:pPr>
      <w:r>
        <w:rPr>
          <w:rFonts w:ascii="Arial" w:cs="Arial" w:eastAsia="Arial" w:hAnsi="Arial"/>
          <w:sz w:val="18"/>
          <w:szCs w:val="18"/>
          <w:color w:val="auto"/>
        </w:rPr>
        <w:t>The following table summarizes the cash flows for the three months ended March 31, 2017 and 2018, that are attributable to T. Rowe Price Group, our consolidated T. Rowe Price investment products, and the related eliminations required in preparing the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8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gridSpan w:val="5"/>
            <w:shd w:val="clear" w:color="auto" w:fill="CCEEFF"/>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3/31/2017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3/31/2018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Cash flow</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Cash flow</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Cash flow</w:t>
            </w:r>
          </w:p>
        </w:tc>
        <w:tc>
          <w:tcPr>
            <w:tcW w:w="10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0"/>
              </w:rPr>
              <w:t>Cash flow</w:t>
            </w:r>
          </w:p>
        </w:tc>
        <w:tc>
          <w:tcPr>
            <w:tcW w:w="10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 Rowe</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 Rowe</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w w:val="89"/>
              </w:rPr>
              <w:t>As</w:t>
            </w:r>
          </w:p>
        </w:tc>
        <w:tc>
          <w:tcPr>
            <w:tcW w:w="10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Price</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to T. Rowe</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investment</w:t>
            </w:r>
          </w:p>
        </w:tc>
        <w:tc>
          <w:tcPr>
            <w:tcW w:w="96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to T. Rowe</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investment</w:t>
            </w:r>
          </w:p>
        </w:tc>
        <w:tc>
          <w:tcPr>
            <w:tcW w:w="9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4"/>
              </w:rPr>
              <w:t>Price Group</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0"/>
              </w:rPr>
              <w:t>products</w:t>
            </w:r>
          </w:p>
        </w:tc>
        <w:tc>
          <w:tcPr>
            <w:tcW w:w="96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5"/>
              </w:rPr>
              <w:t>reported</w:t>
            </w: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4"/>
              </w:rPr>
              <w:t>Price Group</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0"/>
              </w:rPr>
              <w:t>products</w:t>
            </w:r>
          </w:p>
        </w:tc>
        <w:tc>
          <w:tcPr>
            <w:tcW w:w="96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91"/>
              </w:rPr>
              <w:t>reported</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29"/>
        </w:trPr>
        <w:tc>
          <w:tcPr>
            <w:tcW w:w="3800" w:type="dxa"/>
            <w:vAlign w:val="bottom"/>
          </w:tcPr>
          <w:p>
            <w:pPr>
              <w:ind w:left="180"/>
              <w:spacing w:after="0"/>
              <w:rPr>
                <w:sz w:val="20"/>
                <w:szCs w:val="20"/>
                <w:color w:val="auto"/>
              </w:rPr>
            </w:pPr>
            <w:r>
              <w:rPr>
                <w:rFonts w:ascii="Arial" w:cs="Arial" w:eastAsia="Arial" w:hAnsi="Arial"/>
                <w:sz w:val="18"/>
                <w:szCs w:val="18"/>
                <w:color w:val="auto"/>
                <w:w w:val="94"/>
              </w:rPr>
              <w:t>Adjustments to reconcile net income to net cash</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provided by (used in) operating activities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Depreciation and amortization of property and</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equipment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gains recognized on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800" w:type="dxa"/>
            <w:vAlign w:val="bottom"/>
          </w:tcPr>
          <w:p>
            <w:pPr>
              <w:ind w:left="280"/>
              <w:spacing w:after="0"/>
              <w:rPr>
                <w:sz w:val="20"/>
                <w:szCs w:val="20"/>
                <w:color w:val="auto"/>
              </w:rPr>
            </w:pPr>
            <w:r>
              <w:rPr>
                <w:rFonts w:ascii="Arial" w:cs="Arial" w:eastAsia="Arial" w:hAnsi="Arial"/>
                <w:sz w:val="18"/>
                <w:szCs w:val="18"/>
                <w:color w:val="auto"/>
              </w:rPr>
              <w:t>Investments in U.S. mutual funds held as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80"/>
              <w:spacing w:after="0"/>
              <w:rPr>
                <w:sz w:val="20"/>
                <w:szCs w:val="20"/>
                <w:color w:val="auto"/>
              </w:rPr>
            </w:pPr>
            <w:r>
              <w:rPr>
                <w:rFonts w:ascii="Arial" w:cs="Arial" w:eastAsia="Arial" w:hAnsi="Arial"/>
                <w:sz w:val="18"/>
                <w:szCs w:val="18"/>
                <w:color w:val="auto"/>
                <w:w w:val="99"/>
              </w:rPr>
              <w:t>trading to economically hedge supplemental</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80"/>
              <w:spacing w:after="0"/>
              <w:rPr>
                <w:sz w:val="20"/>
                <w:szCs w:val="20"/>
                <w:color w:val="auto"/>
              </w:rPr>
            </w:pPr>
            <w:r>
              <w:rPr>
                <w:rFonts w:ascii="Arial" w:cs="Arial" w:eastAsia="Arial" w:hAnsi="Arial"/>
                <w:sz w:val="18"/>
                <w:szCs w:val="18"/>
                <w:color w:val="auto"/>
              </w:rPr>
              <w:t>savings plan liability</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change in trading securities held by</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consolidated T. Rowe Price investment products</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363.6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cash provided by (used in)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w w:val="94"/>
              </w:rPr>
              <w:t>Net cash provided by (used in) investing activities</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cash provided by (used in)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29"/>
        </w:trPr>
        <w:tc>
          <w:tcPr>
            <w:tcW w:w="3800" w:type="dxa"/>
            <w:vAlign w:val="bottom"/>
          </w:tcPr>
          <w:p>
            <w:pPr>
              <w:ind w:left="40"/>
              <w:spacing w:after="0"/>
              <w:rPr>
                <w:sz w:val="20"/>
                <w:szCs w:val="20"/>
                <w:color w:val="auto"/>
              </w:rPr>
            </w:pPr>
            <w:r>
              <w:rPr>
                <w:rFonts w:ascii="Arial" w:cs="Arial" w:eastAsia="Arial" w:hAnsi="Arial"/>
                <w:sz w:val="18"/>
                <w:szCs w:val="18"/>
                <w:color w:val="auto"/>
                <w:w w:val="92"/>
              </w:rPr>
              <w:t>Effect of exchange rate changes on cash and cash</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40"/>
              <w:spacing w:after="0"/>
              <w:rPr>
                <w:sz w:val="20"/>
                <w:szCs w:val="20"/>
                <w:color w:val="auto"/>
              </w:rPr>
            </w:pPr>
            <w:r>
              <w:rPr>
                <w:rFonts w:ascii="Arial" w:cs="Arial" w:eastAsia="Arial" w:hAnsi="Arial"/>
                <w:sz w:val="18"/>
                <w:szCs w:val="18"/>
                <w:color w:val="auto"/>
              </w:rPr>
              <w:t>equivalents of consolidated T. Rowe Price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40"/>
              <w:spacing w:after="0"/>
              <w:rPr>
                <w:sz w:val="20"/>
                <w:szCs w:val="20"/>
                <w:color w:val="auto"/>
              </w:rPr>
            </w:pPr>
            <w:r>
              <w:rPr>
                <w:rFonts w:ascii="Arial" w:cs="Arial" w:eastAsia="Arial" w:hAnsi="Arial"/>
                <w:sz w:val="18"/>
                <w:szCs w:val="18"/>
                <w:color w:val="auto"/>
              </w:rPr>
              <w:t>investment products</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Net change in cash and cash equivalents during</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w w:val="98"/>
              </w:rPr>
              <w:t>Cash and cash equivalents at beginning of year</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1,204.9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w w:val="86"/>
              </w:rPr>
              <w:t>1,270.5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1,902.7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89"/>
              </w:rPr>
              <w:t>2,005.8</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1,580.8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6"/>
              </w:rPr>
              <w:t>1,631.0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1,681.4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1,766.2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584" w:right="239" w:bottom="1440" w:gutter="0" w:footer="0" w:header="0"/>
        </w:sectPr>
      </w:pPr>
    </w:p>
    <w:bookmarkStart w:id="34" w:name="page35"/>
    <w:bookmarkEnd w:id="34"/>
    <w:p>
      <w:pPr>
        <w:spacing w:after="0" w:line="287" w:lineRule="auto"/>
        <w:rPr>
          <w:sz w:val="20"/>
          <w:szCs w:val="20"/>
          <w:color w:val="auto"/>
        </w:rPr>
      </w:pPr>
      <w:r>
        <w:rPr>
          <w:rFonts w:ascii="Arial" w:cs="Arial" w:eastAsia="Arial" w:hAnsi="Arial"/>
          <w:sz w:val="16"/>
          <w:szCs w:val="16"/>
          <w:color w:val="auto"/>
        </w:rPr>
        <w:t>Operating activities attributable to T. Rowe Price Group during the first quarter of 2018 provided cash flows of $722.9 million, a decrease of $5.2 million from the 2017 period. The decrease in operating cash flows is partly attributable to the $140 million of insurance recoveries related to the Dell appraisal rights matter received during the first quarter of 2017 that had no equivalent cash flow during the 2018 quarter. Additionally, the 2018 quarter includes $12.9 million of cash outflows for investments made into certain investment products held as trading in order to manage the economic hedges of our supplemental savings plan liability. We began actively hedging the supplemental savings plan liability at the end of the second quarter of 2017. Timing differences on the cash settlement of our assets and liabilities, excluding the insurance receivables associated with the Dell appraisal rights matter in 2017, decreased cash flows by $74.9 million. Our interim operating cash flows do not include the cash impact of variable compensation that is accrued throughout the year before being substantially paid out in December. These decreases in operating cash flows were offset, in part, by $127.9 million of higher net income (excluding insurance recoveries), non-cash depreciation expense, and non-cash stock-based compensation expense recognized during the first quarter of 2018 compared with the 2017 quarter and a $94.7 million change in the adjustments made for market gains on investments. The remaining change in reported operating cash flows is attributable to the net change in trading securities held in our consolidated investment products’ underlying portfolios.</w:t>
      </w:r>
    </w:p>
    <w:p>
      <w:pPr>
        <w:spacing w:after="0" w:line="11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Net cash used in investing activities that are attributable to T. Rowe Price Group totaled $524.3 million in the first quarter of 2018, compared with $52.9 million of cash provided by investing activities in the 2017 period. During the first quarter of 2018, we added $413.9 million to our T. Rowe Price investment product portfolio whereas during the 2017 period we realized $123.1 million of proceeds from sales of these investments. Additionally, the amount of equity method and seed capital investments we provided in the first quarter of 2018 increased by $50.2 million and $3.0 million, respectively. Since we consolidate the seed capital in T. Rowe Price investment products, our seed capital was eliminated in preparing our consolidated condensed statement of cash flows. These investing cash flows were offset by a $10.2 million decrease in property and equipment expenditures and a $25.0 million decrease in net cash removed from our balance sheet from consolidating and deconsolidating investment products during the first quarter of 2018 compared with the 2017 quarter.</w:t>
      </w:r>
    </w:p>
    <w:p>
      <w:pPr>
        <w:spacing w:after="0" w:line="10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Net cash used in financing activities attributable to T. Rowe Price Group were $419.9 million in the first quarter of 2018 compared with $405.1 million in the 2017 period. The increase in cash used in financing activities includes a $33.9 million increase in dividends paid resulting from a nearly 23% increase in our quarterly dividend per share offset by a $14.8 million decrease in cash outflows for common stock repurchases, as more repurchases were unsettled at March 31, 2018, compared to March 31, 2017. Additionally, the higher stock price in 2018 led to a larger number of stock option exercises resulting in a $4.3 million increase in related cash proceeds compared with the 2017 period. The remaining change in reported cash flows from financing activities is primarily attributable to a $373.3 million decrease in net subscriptions received from redeemable non-controlling interests holders of our consolidated investment products during the first quarter of 2018 compared to the 2017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16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adopted Accounting Standards Update No. 2016-01 — Financial Instruments — Overall (Subtopic 825-10): Recognition and Measurement of Financial Assets and Financial Liabilities on January 1, 2018. The guidance eliminated the available-for-sale investment category for equity securities, which required unrealized holding gains to be recognized in accumulated other comprehensive income. As a result, our other-than-temporary impairment policy for available-for-sale investments is no longer considered a critical accounting policy as of January 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in the critical accounting policies previously identified in our 2017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The Company and Basis of Preparation</w:t>
      </w:r>
      <w:r>
        <w:rPr>
          <w:rFonts w:ascii="Arial" w:cs="Arial" w:eastAsia="Arial" w:hAnsi="Arial"/>
          <w:sz w:val="18"/>
          <w:szCs w:val="18"/>
          <w:color w:val="auto"/>
        </w:rPr>
        <w:t xml:space="preserve"> note within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the impact of U.S. tax reform enacted in December 2017, including on our estimated effective income tax rate; and our expectations regarding financial markets, future transactions, dividends,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8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and other investment products, fluctuations in global financial markets that result in appreciation or depreciation of the assets under our management, our introduction of new mutual funds and investment products,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products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or, in the case of our equity method investments, our proportionate share of the investees' net income.</w:t>
      </w:r>
    </w:p>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16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our investment products and investing in general or in particular classes of mutual funds or other investments.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20"/>
          </w:cols>
          <w:pgMar w:left="240" w:top="80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investments in T. Rowe Price investment products expose us to market risk as they are measured at fair value each reporting period based the products’ net asset value per share. Investments in these products generally moderate market risk as they are diversified and invest in a number of different financial instruments. T. Rowe Price further manages its exposure to market risk by diversifying its investments among many domestic and international products as well as diversification among equity and fixed income portfolios. In addition, investment holdings may be altered from time to time in response to changes in market risks and other factors, as management deems appropriate.</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order to quantify the sensitivity of our T. Rowe Price investment products to changes in market valuations, we have chosen to use a variant of each product's net asset value to quantify the equity price risk, as we believe the volatility in each product's net asset value best reflects the underlying risk potential as well as the market trends surrounding each of its investment objectives. The potential future loss of value, before any income tax benefits, of these investments at each reporting period is determined by using the lower of each product’s lowest net asset value per share during the period or its net asset value per share at the end of the reporting period, reduced by 10%. In considering this presentation, it is important to note that: Not all products experienced their lowest net asset value per share on the same day; it is likely that the composition of the investment portfolio would be changed if adverse market conditions persisted; and we could experience future losses in excess of those presented.</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market risk sensitivity analysis on our investments in T. Rowe Price investment products at March 31, 2018, indicates that the total potential loss in value on these investments is materially the same as what we reported in our Form 10-K Annual Report for 2017. However, the implementation of the new financial instrument guidance would result in the total potential loss in value to be recognized in our condensed consolidated statements of income rather than a portion being recognized within accumulated other comprehensive income in our condensed consolidated balance sheets as discussed in the Form 10-K. Other than these changes there has been no other material change in the information provided in Item 7A of the Form 10-K Annual Report for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March 31, 2018. Based on that evaluation, our principal executive and principal financial officers have concluded that our disclosure controls and procedures as of March 31, 2018,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2018, and has concluded that there was no change during the first quarter of 2018 that has materially affected, or is reasonably likely to materially affect, our internal control over financial reporting.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580" w:right="239" w:bottom="1440" w:gutter="0" w:footer="0" w:header="0"/>
        </w:sectPr>
      </w:pPr>
    </w:p>
    <w:bookmarkStart w:id="37" w:name="page38"/>
    <w:bookmarkEnd w:id="37"/>
    <w:p>
      <w:pPr>
        <w:ind w:right="120"/>
        <w:spacing w:after="0" w:line="290" w:lineRule="auto"/>
        <w:rPr>
          <w:sz w:val="20"/>
          <w:szCs w:val="20"/>
          <w:color w:val="auto"/>
        </w:rPr>
      </w:pPr>
      <w:r>
        <w:rPr>
          <w:rFonts w:ascii="Arial" w:cs="Arial" w:eastAsia="Arial" w:hAnsi="Arial"/>
          <w:sz w:val="16"/>
          <w:szCs w:val="16"/>
          <w:color w:val="auto"/>
        </w:rPr>
        <w:t>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12"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Other than the update below, there have been no material changes in the information provided in Item 1A of our Form 10-K Annual Report for 2017.</w:t>
      </w:r>
    </w:p>
    <w:p>
      <w:pPr>
        <w:spacing w:after="0" w:line="2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has been substantial regulatory and legislative activity at federal and state levels regarding standards of care for financial services firms, related to both retirement and taxable accounts. This includes the U.S. Department of Labor’s (DOL) adoption of a fiduciary rule and the SEC’s proposal of a package of related rules and interpretations. The DOL and SEC rulemakings remain uncertain. The ultimate action taken by the DOL, SEC or other applicable regulatory or legislative body may impact our business activities and increase our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2018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6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shd w:val="clear" w:color="auto" w:fill="CCEEFF"/>
          </w:tcPr>
          <w:p>
            <w:pPr>
              <w:spacing w:after="0"/>
              <w:rPr>
                <w:sz w:val="12"/>
                <w:szCs w:val="12"/>
                <w:color w:val="auto"/>
              </w:rPr>
            </w:pPr>
          </w:p>
        </w:tc>
        <w:tc>
          <w:tcPr>
            <w:tcW w:w="166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Average Price</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Month</w:t>
            </w:r>
          </w:p>
        </w:tc>
        <w:tc>
          <w:tcPr>
            <w:tcW w:w="120" w:type="dxa"/>
            <w:vAlign w:val="bottom"/>
            <w:vMerge w:val="restart"/>
            <w:shd w:val="clear" w:color="auto" w:fill="CCEEFF"/>
          </w:tcPr>
          <w:p>
            <w:pPr>
              <w:spacing w:after="0"/>
              <w:rPr>
                <w:sz w:val="12"/>
                <w:szCs w:val="12"/>
                <w:color w:val="auto"/>
              </w:rPr>
            </w:pPr>
          </w:p>
        </w:tc>
        <w:tc>
          <w:tcPr>
            <w:tcW w:w="1960" w:type="dxa"/>
            <w:vAlign w:val="bottom"/>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60" w:type="dxa"/>
            <w:vAlign w:val="bottom"/>
            <w:gridSpan w:val="2"/>
            <w:vMerge w:val="continue"/>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2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43"/>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269,819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113.02</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50,000</w:t>
            </w:r>
          </w:p>
        </w:tc>
        <w:tc>
          <w:tcPr>
            <w:tcW w:w="1920" w:type="dxa"/>
            <w:vAlign w:val="bottom"/>
            <w:gridSpan w:val="2"/>
          </w:tcPr>
          <w:p>
            <w:pPr>
              <w:jc w:val="right"/>
              <w:ind w:right="28"/>
              <w:spacing w:after="0"/>
              <w:rPr>
                <w:sz w:val="20"/>
                <w:szCs w:val="20"/>
                <w:color w:val="auto"/>
              </w:rPr>
            </w:pPr>
            <w:r>
              <w:rPr>
                <w:rFonts w:ascii="Arial" w:cs="Arial" w:eastAsia="Arial" w:hAnsi="Arial"/>
                <w:sz w:val="18"/>
                <w:szCs w:val="18"/>
                <w:color w:val="auto"/>
              </w:rPr>
              <w:t>15,133,779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1,339,863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106.21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1,285,906</w:t>
            </w:r>
          </w:p>
        </w:tc>
        <w:tc>
          <w:tcPr>
            <w:tcW w:w="19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13,847,873</w:t>
            </w:r>
          </w:p>
        </w:tc>
        <w:tc>
          <w:tcPr>
            <w:tcW w:w="0" w:type="dxa"/>
            <w:vAlign w:val="bottom"/>
          </w:tcPr>
          <w:p>
            <w:pPr>
              <w:spacing w:after="0"/>
              <w:rPr>
                <w:sz w:val="1"/>
                <w:szCs w:val="1"/>
                <w:color w:val="auto"/>
              </w:rPr>
            </w:pPr>
          </w:p>
        </w:tc>
      </w:tr>
      <w:tr>
        <w:trPr>
          <w:trHeight w:val="243"/>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March</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1,616,225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107.43</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1,598,433</w:t>
            </w:r>
          </w:p>
        </w:tc>
        <w:tc>
          <w:tcPr>
            <w:tcW w:w="1920" w:type="dxa"/>
            <w:vAlign w:val="bottom"/>
            <w:gridSpan w:val="2"/>
          </w:tcPr>
          <w:p>
            <w:pPr>
              <w:jc w:val="right"/>
              <w:ind w:right="28"/>
              <w:spacing w:after="0"/>
              <w:rPr>
                <w:sz w:val="20"/>
                <w:szCs w:val="20"/>
                <w:color w:val="auto"/>
              </w:rPr>
            </w:pPr>
            <w:r>
              <w:rPr>
                <w:rFonts w:ascii="Arial" w:cs="Arial" w:eastAsia="Arial" w:hAnsi="Arial"/>
                <w:sz w:val="18"/>
                <w:szCs w:val="18"/>
                <w:color w:val="auto"/>
              </w:rPr>
              <w:t>12,249,440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3,225,907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107.39</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2,934,339</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first quarter of 2018, 291,111 were related to shares surrendered in connection with employee stock option exercises and 457 were related to shares withheld to cover tax withholdings associated with the vesting of restricted stock awards.</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2,934,339 shares of our common stock were repurchased pursuant to the Board of Directors’ December 10, 2015, publicly announced authorization. The maximum number of shares that may yet be purchased as of March 31, 2018, under the Board of Directors’ December 10, 2015, and December 6, 2016, publicly announced authorizations is 12,249,440.</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April 25, 2018, we issued an earnings release reporting our results of operations for the first quarter of 2018. A copy of that earnings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make available free of charge through our website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 To obtain any of this information, access our website at troweprice.com. We use our website as a channel of distribution for material company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3(i)</w:t>
            </w:r>
          </w:p>
        </w:tc>
        <w:tc>
          <w:tcPr>
            <w:tcW w:w="10160" w:type="dxa"/>
            <w:vAlign w:val="bottom"/>
          </w:tcPr>
          <w:p>
            <w:pPr>
              <w:ind w:left="600"/>
              <w:spacing w:after="0"/>
              <w:rPr>
                <w:rFonts w:ascii="Arial" w:cs="Arial" w:eastAsia="Arial" w:hAnsi="Arial"/>
                <w:sz w:val="18"/>
                <w:szCs w:val="18"/>
                <w:color w:val="auto"/>
                <w:w w:val="91"/>
              </w:rPr>
            </w:pPr>
            <w:hyperlink r:id="rId59">
              <w:r>
                <w:rPr>
                  <w:rFonts w:ascii="Arial" w:cs="Arial" w:eastAsia="Arial" w:hAnsi="Arial"/>
                  <w:sz w:val="18"/>
                  <w:szCs w:val="18"/>
                  <w:color w:val="auto"/>
                  <w:w w:val="91"/>
                </w:rPr>
                <w:t>Charter of T. Rowe Price Group, Inc., as Amended by Articles of Amendment dated April 10, 2008. (Incorporated by reference from</w:t>
              </w:r>
            </w:hyperlink>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rFonts w:ascii="Arial" w:cs="Arial" w:eastAsia="Arial" w:hAnsi="Arial"/>
                <w:sz w:val="18"/>
                <w:szCs w:val="18"/>
                <w:color w:val="auto"/>
              </w:rPr>
            </w:pPr>
            <w:hyperlink r:id="rId59">
              <w:r>
                <w:rPr>
                  <w:rFonts w:ascii="Arial" w:cs="Arial" w:eastAsia="Arial" w:hAnsi="Arial"/>
                  <w:sz w:val="18"/>
                  <w:szCs w:val="18"/>
                  <w:color w:val="auto"/>
                </w:rPr>
                <w:t>Form 10-Q Report for the quarterly period ended March 31, 2008 filed on April 24, 2008.)</w:t>
              </w:r>
            </w:hyperlink>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3(ii)</w:t>
            </w:r>
          </w:p>
        </w:tc>
        <w:tc>
          <w:tcPr>
            <w:tcW w:w="10160" w:type="dxa"/>
            <w:vAlign w:val="bottom"/>
          </w:tcPr>
          <w:p>
            <w:pPr>
              <w:ind w:left="600"/>
              <w:spacing w:after="0"/>
              <w:rPr>
                <w:rFonts w:ascii="Arial" w:cs="Arial" w:eastAsia="Arial" w:hAnsi="Arial"/>
                <w:sz w:val="18"/>
                <w:szCs w:val="18"/>
                <w:color w:val="auto"/>
                <w:w w:val="91"/>
              </w:rPr>
            </w:pPr>
            <w:hyperlink r:id="rId60">
              <w:r>
                <w:rPr>
                  <w:rFonts w:ascii="Arial" w:cs="Arial" w:eastAsia="Arial" w:hAnsi="Arial"/>
                  <w:sz w:val="18"/>
                  <w:szCs w:val="18"/>
                  <w:color w:val="auto"/>
                  <w:w w:val="91"/>
                </w:rPr>
                <w:t>Amended and Restated By-Laws of T. Rowe Price Group, Inc. as of December 10, 2015. (Incorporated by reference from Form 8-K</w:t>
              </w:r>
            </w:hyperlink>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rFonts w:ascii="Arial" w:cs="Arial" w:eastAsia="Arial" w:hAnsi="Arial"/>
                <w:sz w:val="18"/>
                <w:szCs w:val="18"/>
                <w:color w:val="auto"/>
              </w:rPr>
            </w:pPr>
            <w:hyperlink r:id="rId60">
              <w:r>
                <w:rPr>
                  <w:rFonts w:ascii="Arial" w:cs="Arial" w:eastAsia="Arial" w:hAnsi="Arial"/>
                  <w:sz w:val="18"/>
                  <w:szCs w:val="18"/>
                  <w:color w:val="auto"/>
                </w:rPr>
                <w:t>Current Report filed on December 10, 2015.)</w:t>
              </w:r>
            </w:hyperlink>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10.16.1</w:t>
            </w:r>
          </w:p>
        </w:tc>
        <w:tc>
          <w:tcPr>
            <w:tcW w:w="10160" w:type="dxa"/>
            <w:vAlign w:val="bottom"/>
          </w:tcPr>
          <w:p>
            <w:pPr>
              <w:ind w:left="600"/>
              <w:spacing w:after="0"/>
              <w:rPr>
                <w:rFonts w:ascii="Arial" w:cs="Arial" w:eastAsia="Arial" w:hAnsi="Arial"/>
                <w:sz w:val="18"/>
                <w:szCs w:val="18"/>
                <w:color w:val="auto"/>
                <w:w w:val="91"/>
              </w:rPr>
            </w:pPr>
            <w:hyperlink r:id="rId61">
              <w:r>
                <w:rPr>
                  <w:rFonts w:ascii="Arial" w:cs="Arial" w:eastAsia="Arial" w:hAnsi="Arial"/>
                  <w:sz w:val="18"/>
                  <w:szCs w:val="18"/>
                  <w:color w:val="auto"/>
                  <w:w w:val="91"/>
                </w:rPr>
                <w:t>T. Rowe Price Group, Inc. 2018 Annual Incentive Compensation Pool for Executive Officers. (Incorporated by reference from Form</w:t>
              </w:r>
            </w:hyperlink>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rFonts w:ascii="Arial" w:cs="Arial" w:eastAsia="Arial" w:hAnsi="Arial"/>
                <w:sz w:val="18"/>
                <w:szCs w:val="18"/>
                <w:color w:val="auto"/>
              </w:rPr>
            </w:pPr>
            <w:hyperlink r:id="rId61">
              <w:r>
                <w:rPr>
                  <w:rFonts w:ascii="Arial" w:cs="Arial" w:eastAsia="Arial" w:hAnsi="Arial"/>
                  <w:sz w:val="18"/>
                  <w:szCs w:val="18"/>
                  <w:color w:val="auto"/>
                </w:rPr>
                <w:t>8-K Current Report filed on February 16, 2018).</w:t>
              </w:r>
            </w:hyperlink>
          </w:p>
        </w:tc>
      </w:tr>
      <w:tr>
        <w:trPr>
          <w:trHeight w:val="621"/>
        </w:trPr>
        <w:tc>
          <w:tcPr>
            <w:tcW w:w="1120" w:type="dxa"/>
            <w:vAlign w:val="bottom"/>
          </w:tcPr>
          <w:p>
            <w:pPr>
              <w:spacing w:after="0"/>
              <w:rPr>
                <w:sz w:val="20"/>
                <w:szCs w:val="20"/>
                <w:color w:val="auto"/>
              </w:rPr>
            </w:pPr>
            <w:r>
              <w:rPr>
                <w:rFonts w:ascii="Arial" w:cs="Arial" w:eastAsia="Arial" w:hAnsi="Arial"/>
                <w:sz w:val="18"/>
                <w:szCs w:val="18"/>
                <w:color w:val="auto"/>
              </w:rPr>
              <w:t>15</w:t>
            </w:r>
          </w:p>
        </w:tc>
        <w:tc>
          <w:tcPr>
            <w:tcW w:w="10160" w:type="dxa"/>
            <w:vAlign w:val="bottom"/>
          </w:tcPr>
          <w:p>
            <w:pPr>
              <w:ind w:left="600"/>
              <w:spacing w:after="0"/>
              <w:rPr>
                <w:rFonts w:ascii="Arial" w:cs="Arial" w:eastAsia="Arial" w:hAnsi="Arial"/>
                <w:sz w:val="18"/>
                <w:szCs w:val="18"/>
                <w:color w:val="auto"/>
              </w:rPr>
            </w:pPr>
            <w:hyperlink w:anchor="page40">
              <w:r>
                <w:rPr>
                  <w:rFonts w:ascii="Arial" w:cs="Arial" w:eastAsia="Arial" w:hAnsi="Arial"/>
                  <w:sz w:val="18"/>
                  <w:szCs w:val="18"/>
                  <w:color w:val="auto"/>
                </w:rPr>
                <w:t>Letter from KPMG LLP, independent registered public accounting firm, re unaudited interim financial information.</w:t>
              </w:r>
            </w:hyperlink>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31(i).1</w:t>
            </w:r>
          </w:p>
        </w:tc>
        <w:tc>
          <w:tcPr>
            <w:tcW w:w="10160" w:type="dxa"/>
            <w:vAlign w:val="bottom"/>
          </w:tcPr>
          <w:p>
            <w:pPr>
              <w:ind w:left="600"/>
              <w:spacing w:after="0"/>
              <w:rPr>
                <w:rFonts w:ascii="Arial" w:cs="Arial" w:eastAsia="Arial" w:hAnsi="Arial"/>
                <w:sz w:val="18"/>
                <w:szCs w:val="18"/>
                <w:color w:val="auto"/>
              </w:rPr>
            </w:pPr>
            <w:hyperlink w:anchor="page41">
              <w:r>
                <w:rPr>
                  <w:rFonts w:ascii="Arial" w:cs="Arial" w:eastAsia="Arial" w:hAnsi="Arial"/>
                  <w:sz w:val="18"/>
                  <w:szCs w:val="18"/>
                  <w:color w:val="auto"/>
                </w:rPr>
                <w:t>Rule 13a-14(a) Certification of Principal Executive Officer.</w:t>
              </w:r>
            </w:hyperlink>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31(i).2</w:t>
            </w:r>
          </w:p>
        </w:tc>
        <w:tc>
          <w:tcPr>
            <w:tcW w:w="10160" w:type="dxa"/>
            <w:vAlign w:val="bottom"/>
          </w:tcPr>
          <w:p>
            <w:pPr>
              <w:ind w:left="600"/>
              <w:spacing w:after="0"/>
              <w:rPr>
                <w:rFonts w:ascii="Arial" w:cs="Arial" w:eastAsia="Arial" w:hAnsi="Arial"/>
                <w:sz w:val="18"/>
                <w:szCs w:val="18"/>
                <w:color w:val="auto"/>
              </w:rPr>
            </w:pPr>
            <w:hyperlink w:anchor="page42">
              <w:r>
                <w:rPr>
                  <w:rFonts w:ascii="Arial" w:cs="Arial" w:eastAsia="Arial" w:hAnsi="Arial"/>
                  <w:sz w:val="18"/>
                  <w:szCs w:val="18"/>
                  <w:color w:val="auto"/>
                </w:rPr>
                <w:t>Rule 13a-14(a) Certification of Principal Financial Officer.</w:t>
              </w:r>
            </w:hyperlink>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10160" w:type="dxa"/>
            <w:vAlign w:val="bottom"/>
          </w:tcPr>
          <w:p>
            <w:pPr>
              <w:ind w:left="600"/>
              <w:spacing w:after="0"/>
              <w:rPr>
                <w:rFonts w:ascii="Arial" w:cs="Arial" w:eastAsia="Arial" w:hAnsi="Arial"/>
                <w:sz w:val="18"/>
                <w:szCs w:val="18"/>
                <w:color w:val="auto"/>
              </w:rPr>
            </w:pPr>
            <w:hyperlink w:anchor="page43">
              <w:r>
                <w:rPr>
                  <w:rFonts w:ascii="Arial" w:cs="Arial" w:eastAsia="Arial" w:hAnsi="Arial"/>
                  <w:sz w:val="18"/>
                  <w:szCs w:val="18"/>
                  <w:color w:val="auto"/>
                </w:rPr>
                <w:t>Section 1350 Certifications.</w:t>
              </w:r>
            </w:hyperlink>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tcPr>
          <w:p>
            <w:pPr>
              <w:ind w:left="600"/>
              <w:spacing w:after="0"/>
              <w:rPr>
                <w:rFonts w:ascii="Arial" w:cs="Arial" w:eastAsia="Arial" w:hAnsi="Arial"/>
                <w:sz w:val="18"/>
                <w:szCs w:val="18"/>
                <w:color w:val="auto"/>
              </w:rPr>
            </w:pPr>
            <w:hyperlink w:anchor="page44">
              <w:r>
                <w:rPr>
                  <w:rFonts w:ascii="Arial" w:cs="Arial" w:eastAsia="Arial" w:hAnsi="Arial"/>
                  <w:sz w:val="18"/>
                  <w:szCs w:val="18"/>
                  <w:color w:val="auto"/>
                </w:rPr>
                <w:t>Earnings release issued April 25, 2018, reporting our results of operations for the first quarter of 2018.</w:t>
              </w:r>
            </w:hyperlink>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10160" w:type="dxa"/>
            <w:vAlign w:val="bottom"/>
          </w:tcPr>
          <w:p>
            <w:pPr>
              <w:ind w:left="600"/>
              <w:spacing w:after="0"/>
              <w:rPr>
                <w:sz w:val="20"/>
                <w:szCs w:val="20"/>
                <w:color w:val="auto"/>
              </w:rPr>
            </w:pPr>
            <w:r>
              <w:rPr>
                <w:rFonts w:ascii="Arial" w:cs="Arial" w:eastAsia="Arial" w:hAnsi="Arial"/>
                <w:sz w:val="18"/>
                <w:szCs w:val="18"/>
                <w:color w:val="auto"/>
                <w:w w:val="96"/>
              </w:rPr>
              <w:t>The following series of unaudited XBRL-formatted documents are collectively included herewith as Exhibit 101. The financial</w:t>
            </w:r>
          </w:p>
        </w:tc>
      </w:tr>
    </w:tbl>
    <w:p>
      <w:pPr>
        <w:ind w:left="1760" w:right="240"/>
        <w:spacing w:after="0" w:line="261" w:lineRule="auto"/>
        <w:rPr>
          <w:sz w:val="20"/>
          <w:szCs w:val="20"/>
          <w:color w:val="auto"/>
        </w:rPr>
      </w:pPr>
      <w:r>
        <w:rPr>
          <w:rFonts w:ascii="Arial" w:cs="Arial" w:eastAsia="Arial" w:hAnsi="Arial"/>
          <w:sz w:val="18"/>
          <w:szCs w:val="18"/>
          <w:color w:val="auto"/>
        </w:rPr>
        <w:t>information is extracted from T. Rowe Price Group’s unaudited condensed consolidated interim financial statements and notes that are included in this Form 10-Q Report.</w:t>
      </w:r>
    </w:p>
    <w:p>
      <w:pPr>
        <w:spacing w:after="0" w:line="1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101.INS XBRL Instance Document (File name: trow-20180331.xml).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101.SCH XBRL Taxonomy Extension Schema Document (File name: trow-20180331.xsd).</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101.CAL XBRL Taxonomy Calculation Linkbase Document (File name: trow-20180331_cal.xml).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101.LAB XBRL Taxonomy Label Linkbase Document (File name: trow-20180331_lab.xml).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101.PRE XBRL Taxonomy Presentation Linkbase Document (File name: trow-20180331_pre.xml).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101.DEF XBRL Taxonomy Definition Linkbase Document (File name: trow-20180331_def.xml).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25,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Céline S. Dufétel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39</w:t>
      </w:r>
    </w:p>
    <w:p>
      <w:pPr>
        <w:sectPr>
          <w:pgSz w:w="11900" w:h="16838" w:orient="portrait"/>
          <w:cols w:equalWidth="0" w:num="1">
            <w:col w:w="11400"/>
          </w:cols>
          <w:pgMar w:left="240" w:top="580" w:right="259" w:bottom="1440" w:gutter="0" w:footer="0" w:header="0"/>
          <w:type w:val="continuous"/>
        </w:sectPr>
      </w:pPr>
    </w:p>
    <w:bookmarkStart w:id="39" w:name="page40"/>
    <w:bookmarkEnd w:id="39"/>
    <w:p>
      <w:pPr>
        <w:ind w:left="4340"/>
        <w:spacing w:after="0"/>
        <w:rPr>
          <w:sz w:val="20"/>
          <w:szCs w:val="20"/>
          <w:color w:val="auto"/>
        </w:rPr>
      </w:pPr>
      <w:r>
        <w:rPr>
          <w:rFonts w:ascii="Arial" w:cs="Arial" w:eastAsia="Arial" w:hAnsi="Arial"/>
          <w:sz w:val="17"/>
          <w:szCs w:val="17"/>
          <w:color w:val="auto"/>
        </w:rPr>
        <w:t>EXHIBIT 15</w:t>
      </w:r>
    </w:p>
    <w:p>
      <w:pPr>
        <w:spacing w:after="0" w:line="20" w:lineRule="exact"/>
        <w:rPr>
          <w:sz w:val="20"/>
          <w:szCs w:val="20"/>
          <w:color w:val="auto"/>
        </w:rPr>
      </w:pPr>
      <w:r>
        <w:rPr>
          <w:sz w:val="20"/>
          <w:szCs w:val="20"/>
          <w:color w:val="auto"/>
        </w:rPr>
        <w:br w:type="column"/>
      </w:r>
    </w:p>
    <w:p>
      <w:pPr>
        <w:jc w:val="right"/>
        <w:spacing w:after="0" w:line="27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520" w:space="720"/>
            <w:col w:w="5180"/>
          </w:cols>
          <w:pgMar w:left="240" w:top="58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00" w:lineRule="exact"/>
        <w:rPr>
          <w:sz w:val="20"/>
          <w:szCs w:val="20"/>
          <w:color w:val="auto"/>
        </w:rPr>
      </w:pPr>
    </w:p>
    <w:p>
      <w:pPr>
        <w:spacing w:after="0" w:line="22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 xml:space="preserve">Re: Registration Statements on Form S-8: No. </w:t>
      </w:r>
      <w:r>
        <w:rPr>
          <w:rFonts w:ascii="Arial" w:cs="Arial" w:eastAsia="Arial" w:hAnsi="Arial"/>
          <w:sz w:val="18"/>
          <w:szCs w:val="18"/>
          <w:b w:val="1"/>
          <w:bCs w:val="1"/>
          <w:color w:val="auto"/>
        </w:rPr>
        <w:t>33-7012</w:t>
      </w:r>
      <w:r>
        <w:rPr>
          <w:rFonts w:ascii="Arial" w:cs="Arial" w:eastAsia="Arial" w:hAnsi="Arial"/>
          <w:sz w:val="18"/>
          <w:szCs w:val="18"/>
          <w:color w:val="auto"/>
        </w:rPr>
        <w:t xml:space="preserve">, No. </w:t>
      </w:r>
      <w:r>
        <w:rPr>
          <w:rFonts w:ascii="Arial" w:cs="Arial" w:eastAsia="Arial" w:hAnsi="Arial"/>
          <w:sz w:val="18"/>
          <w:szCs w:val="18"/>
          <w:b w:val="1"/>
          <w:bCs w:val="1"/>
          <w:color w:val="auto"/>
        </w:rPr>
        <w:t>333-59714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333-120883</w:t>
      </w:r>
      <w:r>
        <w:rPr>
          <w:rFonts w:ascii="Arial" w:cs="Arial" w:eastAsia="Arial" w:hAnsi="Arial"/>
          <w:sz w:val="18"/>
          <w:szCs w:val="18"/>
          <w:color w:val="auto"/>
        </w:rPr>
        <w:t xml:space="preserve">, No. </w:t>
      </w:r>
      <w:r>
        <w:rPr>
          <w:rFonts w:ascii="Arial" w:cs="Arial" w:eastAsia="Arial" w:hAnsi="Arial"/>
          <w:sz w:val="18"/>
          <w:szCs w:val="18"/>
          <w:b w:val="1"/>
          <w:bCs w:val="1"/>
          <w:color w:val="auto"/>
        </w:rPr>
        <w:t>333-142092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333-167317</w:t>
      </w:r>
      <w:r>
        <w:rPr>
          <w:rFonts w:ascii="Arial" w:cs="Arial" w:eastAsia="Arial" w:hAnsi="Arial"/>
          <w:sz w:val="18"/>
          <w:szCs w:val="18"/>
          <w:color w:val="auto"/>
        </w:rPr>
        <w:t xml:space="preserve">, No. </w:t>
      </w:r>
      <w:r>
        <w:rPr>
          <w:rFonts w:ascii="Arial" w:cs="Arial" w:eastAsia="Arial" w:hAnsi="Arial"/>
          <w:sz w:val="18"/>
          <w:szCs w:val="18"/>
          <w:b w:val="1"/>
          <w:bCs w:val="1"/>
          <w:color w:val="auto"/>
        </w:rPr>
        <w:t>333-180904</w:t>
      </w:r>
      <w:r>
        <w:rPr>
          <w:rFonts w:ascii="Arial" w:cs="Arial" w:eastAsia="Arial" w:hAnsi="Arial"/>
          <w:sz w:val="18"/>
          <w:szCs w:val="18"/>
          <w:color w:val="auto"/>
        </w:rPr>
        <w:t>, No.</w:t>
      </w:r>
      <w:r>
        <w:rPr>
          <w:rFonts w:ascii="Arial" w:cs="Arial" w:eastAsia="Arial" w:hAnsi="Arial"/>
          <w:sz w:val="18"/>
          <w:szCs w:val="18"/>
          <w:b w:val="1"/>
          <w:bCs w:val="1"/>
          <w:color w:val="auto"/>
        </w:rPr>
        <w:t xml:space="preserve"> 333-199560</w:t>
      </w:r>
      <w:r>
        <w:rPr>
          <w:rFonts w:ascii="Arial" w:cs="Arial" w:eastAsia="Arial" w:hAnsi="Arial"/>
          <w:sz w:val="18"/>
          <w:szCs w:val="18"/>
          <w:color w:val="auto"/>
        </w:rPr>
        <w:t>, No.</w:t>
      </w:r>
      <w:r>
        <w:rPr>
          <w:rFonts w:ascii="Arial" w:cs="Arial" w:eastAsia="Arial" w:hAnsi="Arial"/>
          <w:sz w:val="18"/>
          <w:szCs w:val="18"/>
          <w:b w:val="1"/>
          <w:bCs w:val="1"/>
          <w:color w:val="auto"/>
        </w:rPr>
        <w:t xml:space="preserve"> 333-212705 </w:t>
      </w:r>
      <w:r>
        <w:rPr>
          <w:rFonts w:ascii="Arial" w:cs="Arial" w:eastAsia="Arial" w:hAnsi="Arial"/>
          <w:sz w:val="18"/>
          <w:szCs w:val="18"/>
          <w:color w:val="auto"/>
        </w:rPr>
        <w:t>, and</w:t>
      </w:r>
      <w:r>
        <w:rPr>
          <w:rFonts w:ascii="Arial" w:cs="Arial" w:eastAsia="Arial" w:hAnsi="Arial"/>
          <w:sz w:val="18"/>
          <w:szCs w:val="18"/>
          <w:b w:val="1"/>
          <w:bCs w:val="1"/>
          <w:color w:val="auto"/>
        </w:rPr>
        <w:t xml:space="preserve"> 333-217483</w:t>
      </w:r>
      <w:r>
        <w:rPr>
          <w:rFonts w:ascii="Arial" w:cs="Arial" w:eastAsia="Arial" w:hAnsi="Arial"/>
          <w:sz w:val="18"/>
          <w:szCs w:val="18"/>
          <w:color w:val="auto"/>
        </w:rPr>
        <w:t>.</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25, 2018 related to our review of interim financial information.</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25, 2018</w:t>
      </w:r>
    </w:p>
    <w:p>
      <w:pPr>
        <w:sectPr>
          <w:pgSz w:w="11900" w:h="16838" w:orient="portrait"/>
          <w:cols w:equalWidth="0" w:num="1">
            <w:col w:w="11420"/>
          </w:cols>
          <w:pgMar w:left="240" w:top="584" w:right="239" w:bottom="1440" w:gutter="0" w:footer="0" w:header="0"/>
          <w:type w:val="continuous"/>
        </w:sectPr>
      </w:pPr>
    </w:p>
    <w:bookmarkStart w:id="40" w:name="page41"/>
    <w:bookmarkEnd w:id="40"/>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2018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April 25,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65" w:right="279" w:bottom="1440" w:gutter="0" w:footer="0" w:header="0"/>
        </w:sectPr>
      </w:pPr>
    </w:p>
    <w:bookmarkStart w:id="41" w:name="page42"/>
    <w:bookmarkEnd w:id="41"/>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Céline S. Dufétel, certify that:</w:t>
      </w:r>
    </w:p>
    <w:p>
      <w:pPr>
        <w:spacing w:after="0" w:line="17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2018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April 25,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42" w:name="page43"/>
    <w:bookmarkEnd w:id="42"/>
    <w:p>
      <w:pPr>
        <w:spacing w:after="0"/>
        <w:tabs>
          <w:tab w:leader="none" w:pos="27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2018, of T. Rowe Price Group, Inc., that:</w:t>
      </w:r>
    </w:p>
    <w:p>
      <w:pPr>
        <w:spacing w:after="0" w:line="116"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April 25, 2018</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5" w:right="299" w:bottom="1440" w:gutter="0" w:footer="0" w:header="0"/>
        </w:sectPr>
      </w:pPr>
    </w:p>
    <w:bookmarkStart w:id="43" w:name="page44"/>
    <w:bookmarkEnd w:id="4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9528810</wp:posOffset>
            </wp:positionV>
            <wp:extent cx="685609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8560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1)"/>
      <w:numFmt w:val="decimal"/>
      <w:start w:val="4"/>
    </w:lvl>
  </w:abstractNum>
  <w:abstractNum w:abstractNumId="17">
    <w:nsid w:val="257130A3"/>
    <w:multiLevelType w:val="hybridMultilevel"/>
    <w:lvl w:ilvl="0">
      <w:lvlJc w:val="left"/>
      <w:lvlText w:val="(%1)"/>
      <w:numFmt w:val="decimal"/>
      <w:start w:val="6"/>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59" Type="http://schemas.openxmlformats.org/officeDocument/2006/relationships/hyperlink" Target="http://www.sec.gov/Archives/edgar/data/1113169/000095013308001597/w55353exv3wxiyw1.htm" TargetMode="External"/><Relationship Id="rId60" Type="http://schemas.openxmlformats.org/officeDocument/2006/relationships/hyperlink" Target="http://www.sec.gov/Archives/edgar/data/1113169/000111316915000029/trow-amendedandrestatedbyl.htm" TargetMode="External"/><Relationship Id="rId61" Type="http://schemas.openxmlformats.org/officeDocument/2006/relationships/hyperlink" Target="http://www.sec.gov/Archives/edgar/data/1113169/000111316918000010/a2018aicppool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2019-12-28T22:48:26Z</dcterms:created>
  <dcterms:modified xsi:type="dcterms:W3CDTF">2019-12-28T22:48:26Z</dcterms:modified>
</cp:coreProperties>
</file>