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1017"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1017"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1017"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017"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22, 2016, is 248,552,147.</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17"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12/31/2015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6/30/2016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1,122.2</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Assets of consolidated sponsored investment portfolios ($0 and $1,894.0 million, respectively, related to</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2,143.2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327.2</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5,106.9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6,581.7</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Liabilities of consolidated sponsored investment portfolios ($0 and $63.2 million, respectively, related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to variable interest entities)</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610.4</w:t>
            </w: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1,110.4</w:t>
            </w:r>
          </w:p>
        </w:tc>
      </w:tr>
      <w:tr>
        <w:trPr>
          <w:trHeight w:val="318"/>
        </w:trPr>
        <w:tc>
          <w:tcPr>
            <w:tcW w:w="85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$.20 par value - authorized 750,000,000; issued 250,469,000 shares at December 31,</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 and 248,502,000 at June 30, 2016</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4,081.2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26.3</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4,860.9</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redeemable non-controlling interests,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5,106.9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6,581.7</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4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6/30/2015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6/30/2016</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942.2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1,791.4</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69.5</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2,038.8</w:t>
            </w:r>
          </w:p>
        </w:tc>
      </w:tr>
      <w:tr>
        <w:trPr>
          <w:trHeight w:val="318"/>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726.2</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Distribution and servicing costs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69.5</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Occupancy and facility costs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82.2</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Nonrecurring charge related to Dell appraisal rights matter</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166.2</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1,344.4</w:t>
            </w:r>
          </w:p>
        </w:tc>
      </w:tr>
      <w:tr>
        <w:trPr>
          <w:trHeight w:val="318"/>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694.4</w:t>
            </w:r>
          </w:p>
        </w:tc>
      </w:tr>
      <w:tr>
        <w:trPr>
          <w:trHeight w:val="324"/>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Net investment income on investments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76.6</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Net investment income on consolidated sponsored investment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Other income (expenses)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r>
      <w:tr>
        <w:trPr>
          <w:trHeight w:val="318"/>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313.4</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507.6</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w w:val="95"/>
              </w:rPr>
              <w:t>Less: net income attributable to redeemable non-controlling interests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490.5</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w:t>
            </w:r>
          </w:p>
        </w:tc>
      </w:tr>
      <w:tr>
        <w:trPr>
          <w:trHeight w:val="251"/>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8580" w:type="dxa"/>
            <w:vAlign w:val="bottom"/>
            <w:gridSpan w:val="8"/>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4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1"/>
              </w:rPr>
              <w:t>Page 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00" w:type="dxa"/>
            <w:vAlign w:val="bottom"/>
            <w:gridSpan w:val="5"/>
            <w:shd w:val="clear" w:color="auto" w:fill="CCEEFF"/>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6/30/2015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6/30/2015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6/30/2016</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Net unrealized holding gains (losses) on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620" w:type="dxa"/>
            <w:vAlign w:val="bottom"/>
          </w:tcPr>
          <w:p>
            <w:pPr>
              <w:ind w:left="260"/>
              <w:spacing w:after="0"/>
              <w:rPr>
                <w:sz w:val="20"/>
                <w:szCs w:val="20"/>
                <w:color w:val="auto"/>
              </w:rPr>
            </w:pPr>
            <w:r>
              <w:rPr>
                <w:rFonts w:ascii="Arial" w:cs="Arial" w:eastAsia="Arial" w:hAnsi="Arial"/>
                <w:sz w:val="18"/>
                <w:szCs w:val="18"/>
                <w:color w:val="auto"/>
              </w:rPr>
              <w:t>Reclassification adjustments recognized in non-operating income:</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09"/>
        </w:trPr>
        <w:tc>
          <w:tcPr>
            <w:tcW w:w="5620" w:type="dxa"/>
            <w:vAlign w:val="bottom"/>
          </w:tcPr>
          <w:p>
            <w:pPr>
              <w:ind w:left="180"/>
              <w:spacing w:after="0"/>
              <w:rPr>
                <w:sz w:val="20"/>
                <w:szCs w:val="20"/>
                <w:color w:val="auto"/>
              </w:rPr>
            </w:pPr>
            <w:r>
              <w:rPr>
                <w:rFonts w:ascii="Arial" w:cs="Arial" w:eastAsia="Arial" w:hAnsi="Arial"/>
                <w:sz w:val="18"/>
                <w:szCs w:val="18"/>
                <w:color w:val="auto"/>
              </w:rPr>
              <w:t>Total net unrealized holding gains (losses) recognized in other</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40"/>
              <w:spacing w:after="0"/>
              <w:rPr>
                <w:sz w:val="20"/>
                <w:szCs w:val="20"/>
                <w:color w:val="auto"/>
              </w:rPr>
            </w:pPr>
            <w:r>
              <w:rPr>
                <w:rFonts w:ascii="Arial" w:cs="Arial" w:eastAsia="Arial" w:hAnsi="Arial"/>
                <w:sz w:val="18"/>
                <w:szCs w:val="18"/>
                <w:color w:val="auto"/>
                <w:w w:val="92"/>
              </w:rPr>
              <w:t>Consolidated sponsored investment portfolios - variable interest entities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deferred tax benefits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redeemable non-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192.5</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632.1</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462.7</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CONDENSED CONSOLIDATED STATEMENTS OF CASH FLOWS (See Note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6/30/2016</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Realized gains on dispositions of available-for-sale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sponsored fund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Dispositions of available-for-sale sponsored fund investments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of sponsored investment portfolios on consolidation (deconsolidation)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w w:val="95"/>
              </w:rPr>
              <w:t>Effect of exchange rate changes on cash and cash equivalents of consolidated sponsored investment portfolios</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09"/>
        </w:trPr>
        <w:tc>
          <w:tcPr>
            <w:tcW w:w="8560" w:type="dxa"/>
            <w:vAlign w:val="bottom"/>
          </w:tcPr>
          <w:p>
            <w:pPr>
              <w:ind w:left="40"/>
              <w:spacing w:after="0"/>
              <w:rPr>
                <w:sz w:val="20"/>
                <w:szCs w:val="20"/>
                <w:color w:val="auto"/>
              </w:rPr>
            </w:pPr>
            <w:r>
              <w:rPr>
                <w:rFonts w:ascii="Arial" w:cs="Arial" w:eastAsia="Arial" w:hAnsi="Arial"/>
                <w:sz w:val="18"/>
                <w:szCs w:val="18"/>
                <w:color w:val="auto"/>
                <w:w w:val="95"/>
              </w:rPr>
              <w:t>Cash and cash equivalents at end of period, including $107.4 million held by consolidated sponsored investment</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1,382.6</w:t>
            </w:r>
          </w:p>
        </w:tc>
        <w:tc>
          <w:tcPr>
            <w:tcW w:w="0" w:type="dxa"/>
            <w:vAlign w:val="bottom"/>
          </w:tcPr>
          <w:p>
            <w:pPr>
              <w:spacing w:after="0"/>
              <w:rPr>
                <w:sz w:val="1"/>
                <w:szCs w:val="1"/>
                <w:color w:val="auto"/>
              </w:rPr>
            </w:pPr>
          </w:p>
        </w:tc>
      </w:tr>
      <w:tr>
        <w:trPr>
          <w:trHeight w:val="277"/>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portfolios at June 30, 2016</w:t>
            </w:r>
          </w:p>
        </w:tc>
        <w:tc>
          <w:tcPr>
            <w:tcW w:w="26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80"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35"/>
        </w:trPr>
        <w:tc>
          <w:tcPr>
            <w:tcW w:w="3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Common</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capital in</w:t>
            </w: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Total</w:t>
            </w: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35"/>
        </w:trPr>
        <w:tc>
          <w:tcPr>
            <w:tcW w:w="3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shares</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Common</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b w:val="1"/>
                <w:bCs w:val="1"/>
                <w:color w:val="auto"/>
                <w:w w:val="77"/>
              </w:rPr>
              <w:t>excess of</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stockholders’</w:t>
            </w:r>
          </w:p>
        </w:tc>
        <w:tc>
          <w:tcPr>
            <w:tcW w:w="1140" w:type="dxa"/>
            <w:vAlign w:val="bottom"/>
            <w:gridSpan w:val="2"/>
            <w:shd w:val="clear" w:color="auto" w:fill="CCEEFF"/>
          </w:tcPr>
          <w:p>
            <w:pPr>
              <w:jc w:val="right"/>
              <w:ind w:right="10"/>
              <w:spacing w:after="0" w:line="135" w:lineRule="exact"/>
              <w:rPr>
                <w:sz w:val="20"/>
                <w:szCs w:val="20"/>
                <w:color w:val="auto"/>
              </w:rPr>
            </w:pPr>
            <w:r>
              <w:rPr>
                <w:rFonts w:ascii="Arial" w:cs="Arial" w:eastAsia="Arial" w:hAnsi="Arial"/>
                <w:sz w:val="13"/>
                <w:szCs w:val="13"/>
                <w:b w:val="1"/>
                <w:bCs w:val="1"/>
                <w:color w:val="auto"/>
                <w:w w:val="94"/>
              </w:rPr>
              <w:t>Redeemable non-</w:t>
            </w:r>
          </w:p>
        </w:tc>
      </w:tr>
      <w:tr>
        <w:trPr>
          <w:trHeight w:val="174"/>
        </w:trPr>
        <w:tc>
          <w:tcPr>
            <w:tcW w:w="3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1"/>
              </w:rPr>
              <w:t>par value</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earnings</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3"/>
              </w:rPr>
              <w:t>income</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w w:val="86"/>
              </w:rPr>
              <w:t>controlling interests</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Balances at December 31, 2015</w:t>
            </w: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250,469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3,970.7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4,762.0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Reclassification of sponsored investment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portfolios upon adoption of new</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accounting guidance on January 1, 2016</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(loss), net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stock-based compensation plans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activity</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w w:val="98"/>
              </w:rPr>
              <w:t>Shares issued upon option exercises</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Restricted shares issued, net of shares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withheld for taxes</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tcPr>
          <w:p>
            <w:pPr>
              <w:ind w:left="180"/>
              <w:spacing w:after="0"/>
              <w:rPr>
                <w:sz w:val="20"/>
                <w:szCs w:val="20"/>
                <w:color w:val="auto"/>
              </w:rPr>
            </w:pPr>
            <w:r>
              <w:rPr>
                <w:rFonts w:ascii="Arial" w:cs="Arial" w:eastAsia="Arial" w:hAnsi="Arial"/>
                <w:sz w:val="18"/>
                <w:szCs w:val="18"/>
                <w:color w:val="auto"/>
                <w:w w:val="90"/>
              </w:rPr>
              <w:t>Shares issued upon vesting of restricted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w w:val="97"/>
              </w:rPr>
              <w:t>stock units, net of shares withheld for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taxes</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Forfeiture of restricted awards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Net tax benefits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subscriptions into sponsored</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575.9</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Net deconsolidations of sponsored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investment portfolios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7"/>
        </w:trPr>
        <w:tc>
          <w:tcPr>
            <w:tcW w:w="3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June 30, 2016</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248,502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703.7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4,081.2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4,860.9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1,110.4</w:t>
            </w:r>
          </w:p>
        </w:tc>
      </w:tr>
      <w:tr>
        <w:trPr>
          <w:trHeight w:val="20"/>
        </w:trPr>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 Rowe Price Group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amounts have been reclassified to conform to the 2016 presentation.</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2015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GUIDANCE.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implemented Accounting Standards Update No. 2015-02 - Consolidation (Topic 810): Amendments to the Consolidation Analysis on January 1, 2016, which did not require the restatement of prior year periods. In connection with the adoption of this guidance, we reevaluated all of our investments for consolidation, including our investments in sponsored investment portfolios. The adoption of the guidance resulted in sponsored investment products regulated outside the U.S. previously accounted for as voting interest entities (VOE) to be evaluated as variable interest entities (VIE) and led to the consolidation of an additional 24 portfolios that were previously accounted for as available-for-sale securities. The adoption also resulted in the consolidation of an additional eight U.S. sponsored investment portfolios that were previously accounted for as available-for sale-securities. The impact to the condensed consolidated balance sheet upon adoption was the consolidation of $1.6 billion of assets, $21.3 million of liabilities, and $672.7 million of non-controlling interests. We also reclassified $32.5 million in accumulated comprehensive income to retained earnings. The consolidation guidance provides a scope exception for reporting entities with interests in legal entities that are required to comply with or operate in accordance with requirements similar to those in Rule 2a-7 of the Investment Company Act of 1940 for registered money market funds. Additional disclosures relating to consolidated voting interest entities and variable interest entities, and the impact the new accounting guidance has had on the quarter and year to date period are included in Note 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condensed consolidated financial statements include the accounts of all subsidiaries and sponsored investment portfolios in which we have a controlling interest. We are generally deemed to have a controlling interest when we own the majority of the voting interest of an entity or are deemed to be the primary beneficiary of a VIE. We perform an analysis of our investments to determine if the investment entity is a VOE or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All material accounts and transactions between consolidated entities are eliminated in consolidation.</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Upon consolidation of sponsored investment portfolios, the Company retains the specialized investment company accounting principles of the underlying funds. All of the underlying investments held by these portfolios are carried at fair value with corresponding changes in the investments’ fair values reflected in non-operating income (expense)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Variable interest entities</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VIEs are entities that, by design (i</w:t>
      </w:r>
      <w:r>
        <w:rPr>
          <w:rFonts w:ascii="Arial" w:cs="Arial" w:eastAsia="Arial" w:hAnsi="Arial"/>
          <w:sz w:val="17"/>
          <w:szCs w:val="17"/>
          <w:b w:val="1"/>
          <w:bCs w:val="1"/>
          <w:color w:val="auto"/>
        </w:rPr>
        <w:t>)</w:t>
      </w:r>
      <w:r>
        <w:rPr>
          <w:rFonts w:ascii="Arial" w:cs="Arial" w:eastAsia="Arial" w:hAnsi="Arial"/>
          <w:sz w:val="17"/>
          <w:szCs w:val="17"/>
          <w:color w:val="auto"/>
        </w:rPr>
        <w:t xml:space="preserve">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 Our Luxembourg-based SICAV (Société d'Investissement à Capital Variable) funds and other sponsored investment portfolios regulated outside the U.S. are determined to be VIEs.</w:t>
      </w:r>
    </w:p>
    <w:p>
      <w:pPr>
        <w:spacing w:after="0" w:line="1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Along with VIEs that we consolidate, we also hold variable interests in other VIEs, including several investment partnerships, that are not consolidated because we are not the primary beneficiary.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sponsored investment portfolios held by unrelated third party investors as their interest is convertible to cash and other assets at their option. As such, we reflect redeemable non-controlling interests as temporary equity in our condensed consolidated balance sheet.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Accounts receivable from our sponsored U.S. mutual funds for advisory fees and advisory-related administrative services aggregate $252.8 million at December 31, 2015, and $246.7 million at June 30,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U.S.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6/30/2015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6/30/2016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1,118.7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1,070.6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230.6</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1,301.2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408.2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1,838.7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1,791.4</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voluntarily waived $12.5 million and $3.3 million in money market related fees, including advisory fees and fund expenses, in the second quarter of 2015 and 2016, respectively, in order to maintain a positive yield for fund investors. Fees waived during the six months ended June 30, 2015 and 2016 total $26.2 million and $7.3 million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Average during</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Average during</w:t>
            </w:r>
          </w:p>
        </w:tc>
        <w:tc>
          <w:tcPr>
            <w:tcW w:w="1020" w:type="dxa"/>
            <w:vAlign w:val="bottom"/>
            <w:shd w:val="clear" w:color="auto" w:fill="CCEEFF"/>
          </w:tcPr>
          <w:p>
            <w:pPr>
              <w:spacing w:after="0"/>
              <w:rPr>
                <w:sz w:val="23"/>
                <w:szCs w:val="23"/>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second quarter of</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the first half of</w:t>
            </w:r>
          </w:p>
        </w:tc>
        <w:tc>
          <w:tcPr>
            <w:tcW w:w="1020" w:type="dxa"/>
            <w:vAlign w:val="bottom"/>
            <w:tcBorders>
              <w:bottom w:val="single" w:sz="8" w:color="auto"/>
            </w:tcBorders>
          </w:tcPr>
          <w:p>
            <w:pPr>
              <w:spacing w:after="0"/>
              <w:rPr>
                <w:sz w:val="22"/>
                <w:szCs w:val="22"/>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106.4</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478.8</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68.4</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277.4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271.6</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783.6</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772.7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771.4</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750.4</w:t>
            </w:r>
          </w:p>
        </w:tc>
      </w:tr>
      <w:tr>
        <w:trPr>
          <w:trHeight w:val="311"/>
        </w:trPr>
        <w:tc>
          <w:tcPr>
            <w:tcW w:w="5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91"/>
              </w:rPr>
              <w:t>As of</w:t>
            </w:r>
          </w:p>
        </w:tc>
        <w:tc>
          <w:tcPr>
            <w:tcW w:w="1020" w:type="dxa"/>
            <w:vAlign w:val="bottom"/>
            <w:tcBorders>
              <w:bottom w:val="single" w:sz="8" w:color="auto"/>
            </w:tcBorders>
          </w:tcPr>
          <w:p>
            <w:pPr>
              <w:spacing w:after="0"/>
              <w:rPr>
                <w:sz w:val="22"/>
                <w:szCs w:val="22"/>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w w:val="89"/>
              </w:rPr>
              <w:t>6/30/2016</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109.6</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494.4</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72.4</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282.2</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776.6</w:t>
            </w:r>
          </w:p>
        </w:tc>
      </w:tr>
      <w:tr>
        <w:trPr>
          <w:trHeight w:val="20"/>
        </w:trPr>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4.9% and 4.8% of our assets under management at December 31, 2015, and June 30,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660" w:type="dxa"/>
            <w:vAlign w:val="bottom"/>
            <w:tcBorders>
              <w:bottom w:val="single" w:sz="8" w:color="auto"/>
            </w:tcBorders>
            <w:gridSpan w:val="4"/>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87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6/30/2015</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6/30/2016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38.6</w:t>
            </w:r>
          </w:p>
        </w:tc>
        <w:tc>
          <w:tcPr>
            <w:tcW w:w="12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69.5</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investments (in millions) we do not consolidate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12/31/2015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6/30/2016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1,612.3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579.1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Sponsored investment portfolios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296.1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partnerships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Sponsored investment portfolios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1,961.2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1,122.2</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adoption of the new consolidation accounting guidance on January 1, 2016, we reevaluated all of our investments for consolidation, including our investments in sponsored investment portfolios. We determined that our interests in a number of our available-for-sale holdings held at December 31, 2015, were deemed controlling interests under the new accounting standard and resulted in these sponsored investment portfolios being consolidated on January 1, 2016.</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first six months of 2016, certain sponsored investment portfolios were deconsolidated, in which we provided initial seed capital at the time of formation, as we no longer had a controlling interest. Additionally, a sponsored investment portfolio that was being accounted for as an equity method investment was consolidated as we regained a controlling interest. The net impact on our condensed consolidated balance sheet was a net reduction of portfolio assets of $363.2 million, liabilities of $2.2 million and redeemable non-controlling interests of $161.3 million, which were the carrying values on the deconsolidation and consolidation dates. Since our consolidated investment portfolios are carried at fair value, and the investment portfolio's functional currency was U.S. dollars, we did not recognize any gain or loss in our consolidated statement of income upon deconsolidation. Depending on our ownership interest, we are now reporting our residual interests in deconsolidated sponsored investment portfolios as either equity method or available-for-sale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SPONSORED INVESTMENT PORTFOLIOS.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available-for-sale sponsored investment portfolios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Unrealized holding</w:t>
            </w: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8"/>
              </w:rPr>
              <w:t>Aggregate</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88"/>
              </w:rPr>
              <w:t>Aggregate cost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gains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losses</w:t>
            </w: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51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428.6</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599.8</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1,012.5</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1,419.1</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June 30, 2016</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108.0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194.9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w:t>
            </w: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488.3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579.1</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580" w:right="239" w:bottom="1440" w:gutter="0" w:footer="0" w:header="0"/>
        </w:sectPr>
      </w:pPr>
    </w:p>
    <w:bookmarkStart w:id="10" w:name="page11"/>
    <w:bookmarkEnd w:id="10"/>
    <w:p>
      <w:pPr>
        <w:ind w:right="380"/>
        <w:spacing w:after="0" w:line="308" w:lineRule="auto"/>
        <w:rPr>
          <w:sz w:val="20"/>
          <w:szCs w:val="20"/>
          <w:color w:val="auto"/>
        </w:rPr>
      </w:pPr>
      <w:r>
        <w:rPr>
          <w:rFonts w:ascii="Arial" w:cs="Arial" w:eastAsia="Arial" w:hAnsi="Arial"/>
          <w:sz w:val="17"/>
          <w:szCs w:val="17"/>
          <w:color w:val="auto"/>
        </w:rPr>
        <w:t>The following table details the number of holdings, the unrealized holding losses, and the aggregate fair value of available-for-sale sponsored investment portfolios with unrealized losses categorized by the length of time they have been in a continuous unrealized loss position: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8"/>
              </w:rPr>
              <w:t>Aggregate</w:t>
            </w: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85"/>
              </w:rPr>
              <w:t>holdings</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4"/>
              </w:rPr>
              <w:t>holding losses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67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1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5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7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419.6</w:t>
            </w:r>
          </w:p>
        </w:tc>
      </w:tr>
      <w:tr>
        <w:trPr>
          <w:trHeight w:val="243"/>
        </w:trPr>
        <w:tc>
          <w:tcPr>
            <w:tcW w:w="7980" w:type="dxa"/>
            <w:vAlign w:val="bottom"/>
            <w:gridSpan w:val="5"/>
          </w:tcPr>
          <w:p>
            <w:pPr>
              <w:ind w:left="40"/>
              <w:spacing w:after="0"/>
              <w:rPr>
                <w:sz w:val="20"/>
                <w:szCs w:val="20"/>
                <w:color w:val="auto"/>
              </w:rPr>
            </w:pPr>
            <w:r>
              <w:rPr>
                <w:rFonts w:ascii="Arial" w:cs="Arial" w:eastAsia="Arial" w:hAnsi="Arial"/>
                <w:sz w:val="18"/>
                <w:szCs w:val="18"/>
                <w:color w:val="auto"/>
              </w:rPr>
              <w:t>12 months or more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298.6</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79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June 30, 2016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7980" w:type="dxa"/>
            <w:vAlign w:val="bottom"/>
            <w:gridSpan w:val="5"/>
          </w:tcPr>
          <w:p>
            <w:pPr>
              <w:ind w:left="40"/>
              <w:spacing w:after="0"/>
              <w:rPr>
                <w:sz w:val="20"/>
                <w:szCs w:val="20"/>
                <w:color w:val="auto"/>
              </w:rPr>
            </w:pPr>
            <w:r>
              <w:rPr>
                <w:rFonts w:ascii="Arial" w:cs="Arial" w:eastAsia="Arial" w:hAnsi="Arial"/>
                <w:sz w:val="18"/>
                <w:szCs w:val="18"/>
                <w:color w:val="auto"/>
              </w:rPr>
              <w:t>Less than 12 months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12 months or more</w:t>
            </w:r>
          </w:p>
        </w:tc>
        <w:tc>
          <w:tcPr>
            <w:tcW w:w="1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w:t>
            </w:r>
          </w:p>
        </w:tc>
      </w:tr>
      <w:tr>
        <w:trPr>
          <w:trHeight w:val="25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duration of the impairments, we reviewed the severity of the impairment as well as our intent and ability to hold the investments for a period of time sufficient for an anticipated recovery in fair value. Accordingly, impairment of these investment holdings is considered temporary at December 31, 2015, and June 30,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investments at June 30, 2016, include $83.6 million of investments in variable interest entities that we do not consolidate as we are not deemed the primary beneficiary. Our maximum risk of loss related to our involvement with these entities at June 30, 2016, is $140.7 million, which includes our carrying value, any unfunded capital commitments, and uncollected investment advisory and administrative fees.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340" w:right="60" w:hanging="323"/>
        <w:spacing w:after="0" w:line="281" w:lineRule="auto"/>
        <w:rPr>
          <w:sz w:val="20"/>
          <w:szCs w:val="20"/>
          <w:color w:val="auto"/>
        </w:rPr>
      </w:pPr>
      <w:r>
        <w:rPr>
          <w:rFonts w:ascii="Arial" w:cs="Arial" w:eastAsia="Arial" w:hAnsi="Arial"/>
          <w:sz w:val="16"/>
          <w:szCs w:val="16"/>
          <w:color w:val="auto"/>
        </w:rPr>
        <w:t>Level 2 – observable inputs other than Level 1 quoted prices including, but not limited to, quoted prices for similar securities, interest rates, prepayment speeds, and credit risk. These inputs are based on market data obtained from independent sources. We do not value any investments using Level 2 inputs.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reflecting our own assumptions based on the best information available. We do not value any investments using Level 3 inputs.</w:t>
      </w:r>
    </w:p>
    <w:p>
      <w:pPr>
        <w:spacing w:after="0" w:line="18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between the levels. The following table summarizes our investments (in millions) that are recognized in our condensed consolidated balance sheets using fair value measurements determined based on the differing levels of inputs.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58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Level 1</w:t>
            </w:r>
          </w:p>
        </w:tc>
      </w:tr>
      <w:tr>
        <w:trPr>
          <w:trHeight w:val="196"/>
        </w:trPr>
        <w:tc>
          <w:tcPr>
            <w:tcW w:w="98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8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9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997.5</w:t>
            </w:r>
          </w:p>
        </w:tc>
      </w:tr>
      <w:tr>
        <w:trPr>
          <w:trHeight w:val="243"/>
        </w:trPr>
        <w:tc>
          <w:tcPr>
            <w:tcW w:w="986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1,612.3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r>
      <w:tr>
        <w:trPr>
          <w:trHeight w:val="297"/>
        </w:trPr>
        <w:tc>
          <w:tcPr>
            <w:tcW w:w="986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2,635.6</w:t>
            </w:r>
          </w:p>
        </w:tc>
      </w:tr>
      <w:tr>
        <w:trPr>
          <w:trHeight w:val="284"/>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3"/>
        </w:trPr>
        <w:tc>
          <w:tcPr>
            <w:tcW w:w="98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June 30, 2016</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9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1,085.5</w:t>
            </w:r>
          </w:p>
        </w:tc>
      </w:tr>
      <w:tr>
        <w:trPr>
          <w:trHeight w:val="243"/>
        </w:trPr>
        <w:tc>
          <w:tcPr>
            <w:tcW w:w="986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579.1</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243"/>
        </w:trPr>
        <w:tc>
          <w:tcPr>
            <w:tcW w:w="9860" w:type="dxa"/>
            <w:vAlign w:val="bottom"/>
            <w:gridSpan w:val="4"/>
          </w:tcPr>
          <w:p>
            <w:pPr>
              <w:ind w:left="40"/>
              <w:spacing w:after="0"/>
              <w:rPr>
                <w:sz w:val="20"/>
                <w:szCs w:val="20"/>
                <w:color w:val="auto"/>
              </w:rPr>
            </w:pPr>
            <w:r>
              <w:rPr>
                <w:rFonts w:ascii="Arial" w:cs="Arial" w:eastAsia="Arial" w:hAnsi="Arial"/>
                <w:sz w:val="18"/>
                <w:szCs w:val="18"/>
                <w:color w:val="auto"/>
              </w:rPr>
              <w:t>Other trading investments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1,697.7</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above excludes investments held by consolidated sponsored investment portfolios which are presented separately on our condensed consolidated balance sheets and are detailed in Note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SPONSORED INVESTMENT PORTFOLIOS.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sponsored investment portfolios that we consolidate in our condensed consolidated financial statements are generally those products we provided initial seed capital at the time of their formation and have a controlling interest. Our U.S. sponsored investment portfolios are considered voting interest entities while those regulated outside the United States are considered variable interest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consolidated sponsored investment portfolios at June 30,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6"/>
              </w:rPr>
              <w:t>Voting</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3"/>
              </w:rPr>
              <w:t>Variable interest</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0"/>
              </w:rPr>
              <w:t>interest entities</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entities</w:t>
            </w: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2,143.2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2,065.3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793.7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2,065.3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third party investors in these investment funds have no recourse to our credit, our overall risk related to the net assets of consolidated sponsored investment portfolios is limited to valuation changes associated with our net interest. We, however, are required to recognize the valuation changes associated with all underlying investments held by these portfolios in our condensed consolidated statements of income, and disclose the portion attributable to third party investors as net income attributable to redeemable non-controlling interests.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734" w:right="259" w:bottom="1440" w:gutter="0" w:footer="0" w:header="0"/>
        </w:sectPr>
      </w:pPr>
    </w:p>
    <w:bookmarkStart w:id="12" w:name="page13"/>
    <w:bookmarkEnd w:id="12"/>
    <w:p>
      <w:pPr>
        <w:ind w:right="60"/>
        <w:spacing w:after="0" w:line="277" w:lineRule="auto"/>
        <w:rPr>
          <w:sz w:val="20"/>
          <w:szCs w:val="20"/>
          <w:color w:val="auto"/>
        </w:rPr>
      </w:pPr>
      <w:r>
        <w:rPr>
          <w:rFonts w:ascii="Arial" w:cs="Arial" w:eastAsia="Arial" w:hAnsi="Arial"/>
          <w:sz w:val="18"/>
          <w:szCs w:val="18"/>
          <w:color w:val="auto"/>
        </w:rPr>
        <w:t>The operating results (in millions) of the consolidated sponsored investment portfolios for the three- and six-months ended June 30, 2016, are reflected in our condensed consolidated statement of income as follows: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9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6/30/2016</w:t>
            </w: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Six months ended 6/30/2016</w:t>
            </w:r>
          </w:p>
        </w:tc>
        <w:tc>
          <w:tcPr>
            <w:tcW w:w="6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9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3"/>
                <w:szCs w:val="13"/>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Attributable to T. Rowe Price Group</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operating expenses of these consolidated portfolios are reflected in other operating expenses. For the three- and six-months ended June 30, 2016, we eliminated $1.8 million and $3.1 million, respectively, of these expenses against our investment advisory and administrative fees earned in preparing our condensed consolidated financial statements. The net investment income reflected in non-operating income includes dividend and interest income, and realized and unrealized gains and losses on the underlying securities held by the consolidated sponsored investment portfolios.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details the impact of these consolidated investment portfolios on the individual lines of our condensed consolidated statement of cash flows (in millions) for the 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117475</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37"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Six months ended 6/30/2016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Voting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Variable interest</w:t>
            </w:r>
          </w:p>
        </w:tc>
        <w:tc>
          <w:tcPr>
            <w:tcW w:w="260" w:type="dxa"/>
            <w:vAlign w:val="bottom"/>
          </w:tcPr>
          <w:p>
            <w:pPr>
              <w:spacing w:after="0"/>
              <w:rPr>
                <w:sz w:val="13"/>
                <w:szCs w:val="13"/>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interest entities</w:t>
            </w: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entities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w w:val="95"/>
              </w:rPr>
              <w:t>Effect of exchange rate changes on cash and cash equivalents of consolidated sponsored investment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portfolios</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cash provided by (used in) financing activities during the first half of 2016 includes $193.7 million of net subscriptions we made into the consolidated sponsored investment portfolios, net of dividends received. These cash flows were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determine the fair value of investments held by consolidated sponsored investment portfolios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50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84" w:right="239" w:bottom="1440" w:gutter="0" w:footer="0" w:header="0"/>
        </w:sectPr>
      </w:pPr>
    </w:p>
    <w:bookmarkStart w:id="13" w:name="page14"/>
    <w:bookmarkEnd w:id="13"/>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There have been no material transfers between the levels. The following table summarizes the investment holdings held by our consolidated sponsored investment portfolios (in millions)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902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2015</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r>
      <w:tr>
        <w:trPr>
          <w:trHeight w:val="243"/>
        </w:trPr>
        <w:tc>
          <w:tcPr>
            <w:tcW w:w="40" w:type="dxa"/>
            <w:vAlign w:val="bottom"/>
          </w:tcPr>
          <w:p>
            <w:pPr>
              <w:spacing w:after="0"/>
              <w:rPr>
                <w:sz w:val="21"/>
                <w:szCs w:val="21"/>
                <w:color w:val="auto"/>
              </w:rPr>
            </w:pP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90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June 30, 2016</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43"/>
        </w:trPr>
        <w:tc>
          <w:tcPr>
            <w:tcW w:w="9020" w:type="dxa"/>
            <w:vAlign w:val="bottom"/>
            <w:gridSpan w:val="4"/>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8980" w:type="dxa"/>
            <w:vAlign w:val="bottom"/>
            <w:gridSpan w:val="3"/>
          </w:tcPr>
          <w:p>
            <w:pPr>
              <w:ind w:left="8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326.6</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1,370.6</w:t>
            </w:r>
          </w:p>
        </w:tc>
      </w:tr>
      <w:tr>
        <w:trPr>
          <w:trHeight w:val="243"/>
        </w:trPr>
        <w:tc>
          <w:tcPr>
            <w:tcW w:w="40" w:type="dxa"/>
            <w:vAlign w:val="bottom"/>
          </w:tcPr>
          <w:p>
            <w:pPr>
              <w:spacing w:after="0"/>
              <w:rPr>
                <w:sz w:val="21"/>
                <w:szCs w:val="21"/>
                <w:color w:val="auto"/>
              </w:rPr>
            </w:pPr>
          </w:p>
        </w:tc>
        <w:tc>
          <w:tcPr>
            <w:tcW w:w="8980" w:type="dxa"/>
            <w:vAlign w:val="bottom"/>
            <w:gridSpan w:val="3"/>
          </w:tcPr>
          <w:p>
            <w:pPr>
              <w:ind w:left="8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Regular cash dividends declared per share during the first six months of 2015 and 2016 were $1.04 and $1.08, respectively. A $2.00 per share special dividend was also declared and paid in the first six months of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first half of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7"/>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7"/>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30,818,229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13,050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(2,254,311)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(259,173)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(16,107)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28,301,688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Exercisable at June 30, 2016</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17,625,997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half of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December 31, 2015</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1,470,827</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2,216,431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1,498,275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Performance-based grants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200,223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(31,547)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(47,491)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2016</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1,424,420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3,851,162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nonvested at June 30, 2016, includes 21,600 performance-based restricted shares and 394,834 performance-based restricted stock units. These performance-based restricted shares and units include 21,600 restricted shares and 134,385 restricted stock units for which the performance period has lapsed and the performance threshold has been met.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June 30, 2016. Estimated future compensation expense will change to reflect future option grants; future awards of unrestricted shares and restricted stock units; changes in estimated forfeitures;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2016</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2018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35.6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102.5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101.6</w:t>
      </w:r>
    </w:p>
    <w:p>
      <w:pPr>
        <w:spacing w:after="0" w:line="77" w:lineRule="exact"/>
        <w:rPr>
          <w:sz w:val="20"/>
          <w:szCs w:val="20"/>
          <w:color w:val="auto"/>
        </w:rPr>
      </w:pPr>
    </w:p>
    <w:p>
      <w:pPr>
        <w:ind w:left="925" w:hanging="925"/>
        <w:spacing w:after="0"/>
        <w:tabs>
          <w:tab w:leader="none" w:pos="925" w:val="left"/>
        </w:tabs>
        <w:numPr>
          <w:ilvl w:val="0"/>
          <w:numId w:val="1"/>
        </w:numPr>
        <w:rPr>
          <w:rFonts w:ascii="Arial" w:cs="Arial" w:eastAsia="Arial" w:hAnsi="Arial"/>
          <w:sz w:val="16"/>
          <w:szCs w:val="16"/>
          <w:color w:val="auto"/>
        </w:rPr>
      </w:pPr>
      <w:r>
        <w:rPr>
          <w:rFonts w:ascii="Arial" w:cs="Arial" w:eastAsia="Arial" w:hAnsi="Arial"/>
          <w:sz w:val="16"/>
          <w:szCs w:val="16"/>
          <w:color w:val="auto"/>
        </w:rPr>
        <w:t>279.0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255" w:space="720"/>
            <w:col w:w="1445"/>
          </w:cols>
          <w:pgMar w:left="240" w:top="584"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the reconciliation (in millions) of net income attributable to T. Rowe Price Group to net income allocated to our common stockholders and the weighted-average shares (in millions)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6/30/2015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490.5</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Less: net income allocated to outstanding restricted stock and stock</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unit holders</w:t>
            </w:r>
          </w:p>
        </w:tc>
        <w:tc>
          <w:tcPr>
            <w:tcW w:w="2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481.1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257.7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246.8</w:t>
            </w: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251.8</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584" w:right="239" w:bottom="1440" w:gutter="0" w:footer="0" w:header="0"/>
          <w:type w:val="continuous"/>
        </w:sectPr>
      </w:pPr>
    </w:p>
    <w:bookmarkStart w:id="15" w:name="page16"/>
    <w:bookmarkEnd w:id="15"/>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700" w:type="dxa"/>
            <w:vAlign w:val="bottom"/>
            <w:tcBorders>
              <w:bottom w:val="single" w:sz="8" w:color="auto"/>
            </w:tcBorders>
            <w:gridSpan w:val="4"/>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60" w:type="dxa"/>
            <w:vAlign w:val="bottom"/>
            <w:tcBorders>
              <w:bottom w:val="single" w:sz="8" w:color="auto"/>
            </w:tcBorders>
            <w:gridSpan w:val="3"/>
            <w:shd w:val="clear" w:color="auto" w:fill="CCEEFF"/>
          </w:tcPr>
          <w:p>
            <w:pPr>
              <w:jc w:val="right"/>
              <w:ind w:right="87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6/30/2015</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6/30/2016</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6/30/2016</w:t>
            </w:r>
          </w:p>
        </w:tc>
      </w:tr>
      <w:tr>
        <w:trPr>
          <w:trHeight w:val="263"/>
        </w:trPr>
        <w:tc>
          <w:tcPr>
            <w:tcW w:w="6260" w:type="dxa"/>
            <w:vAlign w:val="bottom"/>
            <w:gridSpan w:val="2"/>
            <w:shd w:val="clear" w:color="auto" w:fill="CCEEFF"/>
          </w:tcPr>
          <w:p>
            <w:pPr>
              <w:jc w:val="right"/>
              <w:ind w:right="2268"/>
              <w:spacing w:after="0"/>
              <w:rPr>
                <w:sz w:val="20"/>
                <w:szCs w:val="20"/>
                <w:color w:val="auto"/>
              </w:rPr>
            </w:pPr>
            <w:r>
              <w:rPr>
                <w:rFonts w:ascii="Arial" w:cs="Arial" w:eastAsia="Arial" w:hAnsi="Arial"/>
                <w:sz w:val="18"/>
                <w:szCs w:val="18"/>
                <w:color w:val="auto"/>
                <w:w w:val="90"/>
              </w:rPr>
              <w:t>Weighted-average outstanding stock options excluded</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or loss on deferred tax benefits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680" w:type="dxa"/>
            <w:vAlign w:val="bottom"/>
            <w:tcBorders>
              <w:bottom w:val="single" w:sz="8" w:color="auto"/>
            </w:tcBorders>
            <w:gridSpan w:val="4"/>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8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6/30/2015</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6/30/2015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6/30/2016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on:</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(2.4)</w:t>
            </w:r>
          </w:p>
        </w:tc>
        <w:tc>
          <w:tcPr>
            <w:tcW w:w="12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Reclassification adjustments recognized in the provision for income</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Net gains realized on dispositions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20.6</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deferred tax benefits on net unrealized holding gains or losses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8"/>
              </w:rPr>
              <w:t>Total deferred tax benefits (income taxes) on currency translation</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08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benefits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18.2</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including reclassification adjustments for the first half of 2016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23495</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Total currency</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Net unrealized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Equity method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portfolios -</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variable interest</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entities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w w:val="92"/>
              </w:rPr>
              <w:t>Reclassification of accumulated other comprehensive income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w w:val="94"/>
              </w:rPr>
              <w:t>to retained earnings upon adoption of the new consolidation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accounting guidance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before reclassifications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adjustments recognized in non-operating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June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 DELL APPRAISAL RIGHTS MATTER.</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second quarter of 2016, we recognized a nonrecurring operating charge of $166.2 million to compensate certain T. Rowe Price mutual funds, trusts, separately managed accounts, and subadvised clients (collectively, “Clients”) for the difference in valuation plus statutory interest, resulting from the denial of their appraisal rights by the Delaware Chancery Court (Court) in connection with the 2013 leveraged buyout of Dell, Inc. (Dell).</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SUPPLEMENTARY CONSOLIDATING CASH FLOW STATEMENT.</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following table summarizes the cash flows (in millions) that are attributable to Price Group and our consolidated sponsored investment portfolios for the six months ended June 30, 2016. The table also reflects the eliminations required in preparing our condensed consolidated statement of cash flow for the six months ended June 30, 2016 and a condensed consolidated statement of cash flow for the six months ended June 30,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For six months ended 6/30/2016</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Cash flow</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As reported for</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Cash flow</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As reported on</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the six months</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statement of cash</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ended 6/30/2015</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Price Group</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investment portfolios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flows</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income to net cash provided by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and equipment</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3"/>
              </w:rPr>
              <w:t>Realized gains on dispositions of available-for-sale sponsored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w w:val="90"/>
              </w:rPr>
              <w:t>Net change in trading securities held by consolidated sponsored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investment portfolios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Effect of exchange rate changes on cash and cash equivalents of</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sponsored investment portfolios</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1,275.2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1,382.6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2016, the related condensed consolidated statements of income and comprehensive income for the three- and six- month periods ended June 30, 2016 and 2015, the related condensed consolidated statements of cash flows for the six-month periods ended June 30, 2016 and 2015, and the related condensed consolidated statement of stockholders’ equity for the six-month period ended June 30, 2016. These condensed consolidated financial statements are the responsibility of the Company’s management.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2015, and the related consolidated statements of income, comprehensive income, stockholders’ equity, and cash flows for the year then ended (not presented herein); and in our report dated February 5, 2016, we expressed an unqualified opinion on those consolidated financial statements. In our opinion, the information set forth in the accompanying condensed consolidated balance sheet as of December 31, 2015,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 the U.S. Investment advisory clients domiciled outside the U.S. account for nearly 5% of our assets under management at June 30, 2016.</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 We expect to increase our pace of spending in existing and new long-term initiatives to sustain and deepen our investment talent, add investment capabilities both in terms of new strategies and new investment vehicles, expand capabilities through enhanced technology, and broaden our distribution reach globally. We expect that our spending to support these initiatives will cause our operating expense growth in 2017 to exceed operating expense growth experienced in 2016.</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Most major U.S. stock indexes rose in the second quarter of 2016. Although economic growth has been sluggish and corporate profits have been declining for several quarters, domestic equities advanced steadily with help from recent central bank actions in the eurozone and Japan, and reduced expectations for Federal Reserve interest rate increases in 2016. Rebounding oil prices benefited energy companies in particular. Near the end of June, global equities briefly plunged in response to a referendum in which U.K. citizens voted in favor of leaving the European Union. As the quarter ended, world markets rallied amid hopes for new stimulus measures from central banks in the U.K. and elsewhere.</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Stocks in developed non-U.S. markets underperformed U.S. shares, as the dollar strengthened versus many other currencies. In Europe, bank stocks were among the hardest hit after the U.K. referendum. The U.K. equities market fell less than 1% in dollar terms, as the British pound sterling dropped 7% versus the U.S. dollar. Eurozone markets also declined, as the euro dropped 2.5% versus the U.S. dollar. Developed Asian markets rose slightly; Japanese stocks rose 1% in dollar terms, helped by the yen’s nearly 10% gain versus the dollar. In the emerging markets universe, the Latin American region performed best in dollar terms. Asian markets were mostly higher, but most emerging European markets fell.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three- and six-month periods ended June 30, 2016,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6/30/2016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6/30/2016</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r>
      <w:tr>
        <w:trPr>
          <w:trHeight w:val="270"/>
        </w:trPr>
        <w:tc>
          <w:tcPr>
            <w:tcW w:w="79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(3.3)%</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6.6%</w:t>
            </w:r>
          </w:p>
        </w:tc>
      </w:tr>
      <w:tr>
        <w:trPr>
          <w:trHeight w:val="329"/>
        </w:trPr>
        <w:tc>
          <w:tcPr>
            <w:tcW w:w="79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Global bond returns in the second quarter of 2016 were generally strong in dollar terms. In the U.S., the Fed refrained from raising short-term interest rates. Longer-term Treasury yields declined and bond prices rose; the 10-year Treasury yield slid from 1.8% to 1.5%, helped by a late-quarter flight to safety. Nevertheless, U.S. Treasury yields remain higher than sovereign debt yields in many developed countries. In the domestic investment-grade universe, long-term Treasuries and corporate bonds did best. Other segments lagged with more modest gains. Tax-free bonds fared slightly better than the taxable bond market.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High yield corporate bonds surpassed high-quality securities, as credit spreads narrowed and energy, metals and mining issues rallied with commodity prices.</w:t>
      </w:r>
    </w:p>
    <w:p>
      <w:pPr>
        <w:spacing w:after="0" w:line="24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Despite a stronger dollar versus most major currencies, government bonds in developed non-U.S. markets produced good returns in dollar terms, as global slowdown concerns, falling inflation expectations, and hopes for more central bank stimulus fueled a rally. Emerging markets bonds appreciated, with dollar-denominated issues faring better than local currency bonds, whose returns were hurt by weaker currencies versus the U.S. dollar.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six-month periods ended June 30, 2016,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6/30/2016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6/30/2016</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U.S. Aggregate Bond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6.0%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9.5%</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Municipal Bond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3.4%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11.9%</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Assets under management ended the second quarter of 2016 at $776.6 billion, an increase of $12.0 billion from March 31, 2016. The following table presents our assets under management (in billions) at December 31, 2015, and June 30, 2016, by investment portfolio and investment objective.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6/30/2016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282.2</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776.6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6/30/2016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income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182.0</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776.6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changes in our assets under management (in billions) during the three- and six-month periods ended June 30,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gridSpan w:val="6"/>
            <w:shd w:val="clear" w:color="auto" w:fill="CCEEFF"/>
          </w:tcPr>
          <w:p>
            <w:pPr>
              <w:jc w:val="center"/>
              <w:ind w:left="514"/>
              <w:spacing w:after="0"/>
              <w:rPr>
                <w:sz w:val="20"/>
                <w:szCs w:val="20"/>
                <w:color w:val="auto"/>
              </w:rPr>
            </w:pPr>
            <w:r>
              <w:rPr>
                <w:rFonts w:ascii="Arial" w:cs="Arial" w:eastAsia="Arial" w:hAnsi="Arial"/>
                <w:sz w:val="14"/>
                <w:szCs w:val="14"/>
                <w:b w:val="1"/>
                <w:bCs w:val="1"/>
                <w:color w:val="auto"/>
                <w:w w:val="92"/>
              </w:rPr>
              <w:t>Three months ended 6/30/2016</w:t>
            </w:r>
          </w:p>
        </w:tc>
        <w:tc>
          <w:tcPr>
            <w:tcW w:w="6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6"/>
            <w:shd w:val="clear" w:color="auto" w:fill="CCEEFF"/>
          </w:tcPr>
          <w:p>
            <w:pPr>
              <w:jc w:val="center"/>
              <w:ind w:left="352"/>
              <w:spacing w:after="0"/>
              <w:rPr>
                <w:sz w:val="20"/>
                <w:szCs w:val="20"/>
                <w:color w:val="auto"/>
              </w:rPr>
            </w:pPr>
            <w:r>
              <w:rPr>
                <w:rFonts w:ascii="Arial" w:cs="Arial" w:eastAsia="Arial" w:hAnsi="Arial"/>
                <w:sz w:val="14"/>
                <w:szCs w:val="14"/>
                <w:b w:val="1"/>
                <w:bCs w:val="1"/>
                <w:color w:val="auto"/>
                <w:w w:val="91"/>
              </w:rPr>
              <w:t>Six months ended 6/30/2016</w:t>
            </w:r>
          </w:p>
        </w:tc>
        <w:tc>
          <w:tcPr>
            <w:tcW w:w="720" w:type="dxa"/>
            <w:vAlign w:val="bottom"/>
            <w:tcBorders>
              <w:bottom w:val="single" w:sz="8" w:color="auto"/>
            </w:tcBorders>
            <w:shd w:val="clear" w:color="auto" w:fill="CCEEFF"/>
          </w:tcPr>
          <w:p>
            <w:pPr>
              <w:spacing w:after="0"/>
              <w:rPr>
                <w:sz w:val="22"/>
                <w:szCs w:val="22"/>
                <w:color w:val="auto"/>
              </w:rPr>
            </w:pPr>
          </w:p>
        </w:tc>
      </w:tr>
      <w:tr>
        <w:trPr>
          <w:trHeight w:val="155"/>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48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90"/>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mutual funds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portfolios</w:t>
            </w:r>
          </w:p>
        </w:tc>
        <w:tc>
          <w:tcPr>
            <w:tcW w:w="340" w:type="dxa"/>
            <w:vAlign w:val="bottom"/>
          </w:tcPr>
          <w:p>
            <w:pPr>
              <w:spacing w:after="0"/>
              <w:rPr>
                <w:sz w:val="16"/>
                <w:szCs w:val="16"/>
                <w:color w:val="auto"/>
              </w:rPr>
            </w:pPr>
          </w:p>
        </w:tc>
        <w:tc>
          <w:tcPr>
            <w:tcW w:w="680" w:type="dxa"/>
            <w:vAlign w:val="bottom"/>
          </w:tcPr>
          <w:p>
            <w:pPr>
              <w:jc w:val="right"/>
              <w:ind w:right="272"/>
              <w:spacing w:after="0"/>
              <w:rPr>
                <w:sz w:val="20"/>
                <w:szCs w:val="20"/>
                <w:color w:val="auto"/>
              </w:rPr>
            </w:pPr>
            <w:r>
              <w:rPr>
                <w:rFonts w:ascii="Arial" w:cs="Arial" w:eastAsia="Arial" w:hAnsi="Arial"/>
                <w:sz w:val="14"/>
                <w:szCs w:val="14"/>
                <w:b w:val="1"/>
                <w:bCs w:val="1"/>
                <w:color w:val="auto"/>
                <w:w w:val="89"/>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300" w:type="dxa"/>
            <w:vAlign w:val="bottom"/>
          </w:tcPr>
          <w:p>
            <w:pPr>
              <w:spacing w:after="0"/>
              <w:rPr>
                <w:sz w:val="16"/>
                <w:szCs w:val="16"/>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277.9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764.6</w:t>
            </w:r>
          </w:p>
        </w:tc>
        <w:tc>
          <w:tcPr>
            <w:tcW w:w="320" w:type="dxa"/>
            <w:vAlign w:val="bottom"/>
            <w:tcBorders>
              <w:top w:val="single" w:sz="8" w:color="auto"/>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763.1</w:t>
            </w:r>
          </w:p>
        </w:tc>
      </w:tr>
      <w:tr>
        <w:trPr>
          <w:trHeight w:val="277"/>
        </w:trPr>
        <w:tc>
          <w:tcPr>
            <w:tcW w:w="48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market appreciation and income</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77"/>
        </w:trPr>
        <w:tc>
          <w:tcPr>
            <w:tcW w:w="48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June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776.6</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776.6</w:t>
            </w: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client transfers from mutual funds to other investment portfolios noted in the table above were primarily transfers from mutual funds to collective investment trusts, including our retirement date trusts.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20</w:t>
      </w:r>
    </w:p>
    <w:p>
      <w:pPr>
        <w:sectPr>
          <w:pgSz w:w="11900" w:h="16838" w:orient="portrait"/>
          <w:cols w:equalWidth="0" w:num="1">
            <w:col w:w="11420"/>
          </w:cols>
          <w:pgMar w:left="240" w:top="584"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The net cash flows after client transfers (in billions) during the three- and six-month periods ended June 30, 2016,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14"/>
              <w:spacing w:after="0"/>
              <w:rPr>
                <w:sz w:val="20"/>
                <w:szCs w:val="20"/>
                <w:color w:val="auto"/>
              </w:rPr>
            </w:pPr>
            <w:r>
              <w:rPr>
                <w:rFonts w:ascii="Arial" w:cs="Arial" w:eastAsia="Arial" w:hAnsi="Arial"/>
                <w:sz w:val="14"/>
                <w:szCs w:val="14"/>
                <w:b w:val="1"/>
                <w:bCs w:val="1"/>
                <w:color w:val="auto"/>
                <w:w w:val="96"/>
              </w:rPr>
              <w:t>Six months ended</w:t>
            </w:r>
          </w:p>
        </w:tc>
      </w:tr>
      <w:tr>
        <w:trPr>
          <w:trHeight w:val="198"/>
        </w:trPr>
        <w:tc>
          <w:tcPr>
            <w:tcW w:w="7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6/30/2016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6/30/2016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900" w:type="dxa"/>
            <w:vAlign w:val="bottom"/>
          </w:tcPr>
          <w:p>
            <w:pPr>
              <w:ind w:left="8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80"/>
              <w:spacing w:after="0"/>
              <w:rPr>
                <w:sz w:val="20"/>
                <w:szCs w:val="20"/>
                <w:color w:val="auto"/>
              </w:rPr>
            </w:pPr>
            <w:r>
              <w:rPr>
                <w:rFonts w:ascii="Arial" w:cs="Arial" w:eastAsia="Arial" w:hAnsi="Arial"/>
                <w:sz w:val="18"/>
                <w:szCs w:val="18"/>
                <w:color w:val="auto"/>
              </w:rPr>
              <w:t>Stock and blended assets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Fixed income, money market, and stable value</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37"/>
        </w:trPr>
        <w:tc>
          <w:tcPr>
            <w:tcW w:w="7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cash flows after client transfers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target-date retirement portfolios invest in a broadly diversified portfolio of other T. Rowe Price funds or T. Rowe Price collective investment trusts, and automatically rebalance to maintain their specific asset allocation weightings. Total net cash flows for the three and six-month period ended June 30, 2016, include $2.1 billion and $6.3 billion, respectively, that originated in our target-date retirement portfolios. Assets under management in these portfolios at June 30, 2016, totaled $177.9 billion, including $142.4 billion in target-date retirement funds and $35.5 billion in target-date retirement trusts.</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often involve costs that precede any future revenues that we may recognize from an increase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034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23495</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392"/>
              <w:spacing w:after="0"/>
              <w:rPr>
                <w:sz w:val="20"/>
                <w:szCs w:val="20"/>
                <w:color w:val="auto"/>
              </w:rPr>
            </w:pPr>
            <w:r>
              <w:rPr>
                <w:rFonts w:ascii="Arial" w:cs="Arial" w:eastAsia="Arial" w:hAnsi="Arial"/>
                <w:sz w:val="14"/>
                <w:szCs w:val="14"/>
                <w:b w:val="1"/>
                <w:bCs w:val="1"/>
                <w:color w:val="auto"/>
              </w:rPr>
              <w:t>6/30/2015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12"/>
              <w:spacing w:after="0"/>
              <w:rPr>
                <w:sz w:val="20"/>
                <w:szCs w:val="20"/>
                <w:color w:val="auto"/>
              </w:rPr>
            </w:pPr>
            <w:r>
              <w:rPr>
                <w:rFonts w:ascii="Arial" w:cs="Arial" w:eastAsia="Arial" w:hAnsi="Arial"/>
                <w:sz w:val="14"/>
                <w:szCs w:val="14"/>
                <w:b w:val="1"/>
                <w:bCs w:val="1"/>
                <w:color w:val="auto"/>
              </w:rPr>
              <w:t>6/30/2016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 change</w:t>
            </w:r>
          </w:p>
        </w:tc>
        <w:tc>
          <w:tcPr>
            <w:tcW w:w="1720" w:type="dxa"/>
            <w:vAlign w:val="bottom"/>
          </w:tcPr>
          <w:p>
            <w:pPr>
              <w:jc w:val="right"/>
              <w:ind w:right="212"/>
              <w:spacing w:after="0"/>
              <w:rPr>
                <w:sz w:val="20"/>
                <w:szCs w:val="20"/>
                <w:color w:val="auto"/>
              </w:rPr>
            </w:pPr>
            <w:r>
              <w:rPr>
                <w:rFonts w:ascii="Arial" w:cs="Arial" w:eastAsia="Arial" w:hAnsi="Arial"/>
                <w:sz w:val="14"/>
                <w:szCs w:val="14"/>
                <w:b w:val="1"/>
                <w:bCs w:val="1"/>
                <w:color w:val="auto"/>
              </w:rPr>
              <w:t>Percentage change</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 except per-share data)</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Investment advisory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942.2</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920.6</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1,044.7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564.6</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761.2</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196.6</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34.8 %</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25.8 %</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324"/>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Rowe Price Group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324"/>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 (in billions)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783.6</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772.7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Investment advisory fees earned in the second quarter of 2016 decreased over the comparable 2015 quarter as average assets under our management decreased $10.9 billion, or 1.4%, to $772.7 billion. The average annualized effective fee rate earned on our assets under management during the second quarter of 2016 was 47.9 basis points compared with 48.2 basis points earned during the second quarter of 2015. We voluntarily waived a portion of our money market advisory fees and fund expenses in the second quarter of 2016 in order to maintain a positive yield for fund investors. These fees were waived from certain of our money market mutual funds and trusts and totaled $3.3 million, or less than 1% of total investment advisory fees earned during the second quarter of 2016, as compared to $12.5 million in the comparable 2015 quarter. Combined net assets at June 30, 2016, of the funds and trusts in which we waived fees in the second quarter of 2016 was $15.4 billion. We expect that these fee waivers will continue for the remainder of 2016.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800" w:right="239" w:bottom="1440" w:gutter="0" w:footer="0" w:header="0"/>
        </w:sectPr>
      </w:pPr>
    </w:p>
    <w:bookmarkStart w:id="21" w:name="page22"/>
    <w:bookmarkEnd w:id="21"/>
    <w:p>
      <w:pPr>
        <w:ind w:right="100"/>
        <w:spacing w:after="0" w:line="308" w:lineRule="auto"/>
        <w:rPr>
          <w:sz w:val="20"/>
          <w:szCs w:val="20"/>
          <w:color w:val="auto"/>
        </w:rPr>
      </w:pPr>
      <w:r>
        <w:rPr>
          <w:rFonts w:ascii="Arial" w:cs="Arial" w:eastAsia="Arial" w:hAnsi="Arial"/>
          <w:sz w:val="17"/>
          <w:szCs w:val="17"/>
          <w:color w:val="auto"/>
        </w:rPr>
        <w:t>During the second quarter of 2016, we recognized a nonrecurring operating charge of $166.2 million, which reduced net income by $100.7 million or $.39 in diluted earnings per common share, related to our decision to compensate certain clients in regard to the Dell appraisal rights matter.</w:t>
      </w:r>
    </w:p>
    <w:p>
      <w:pPr>
        <w:spacing w:after="0" w:line="14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operating margin in the second quarter of 2016 was 27.1%, compared to 47.4% in the 2015 quarter, as the nonrecurring operating charge related to the Dell appraisal rights matter recognized in the second quarter of 2016 reduced our operating margin by nearly 16%. The additional decline in our operating margin from the second quarter of 2015 is attributable to our continued investments to broaden and deepen our investment management, distribution, and service capabilities around the world despite the impact recent market volatility has had on our net revenues.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second quarter of 2016 results were impacted by greater non-operating income resulting from the implementation of new accounting guidance on January 1, 2016, which required us to consolidate certain sponsored investment portfolios in which we are deemed to have a controlling interest. The consolidation of these portfolios results in the recognition in our consolidated statements of income each portfolio's investment income and operating expenses, including the portion attributable to redeemable non-controlling interests. The portion attributable to redeemable non-controlling interests is removed from our net income to arrive at net income attributable to T. Rowe Price Group, which is used in our calculation of earnings per share. For the second quarter of 2016, the impact (in millions) of consolidating these sponsored investment portfolios on the individual lines of the our condensed consolidated statements of income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9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the firm's interest in the consolidated sponsored investment portfolios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Attributable to redeemable non-controlling interests (unrelated third party investors)</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Investment advisory revenues earned in the second quarter of 2016 from the T. Rowe Price mutual funds distributed in the U.S. were $669.1 million, a decrease of $13.9 million, or 2.0%, from the comparable 2015 quarter. Average mutual fund assets under management in the second quarter of 2016 were $492.1 billion, a decrease of 2.8% from the average in the second quarter of 2015. The decline in advisory revenues from lower average mutual fund assets under management was muted to some degree by the reduction in money market fee waivers made in the second quarter of 2016 compared with the 2015 quarter.</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Investment advisory revenues earned in the second quarter of 2016 from the other investment portfolios were $251.5 million, a decrease of $7.7 million, or 3.0%, from the comparable 2015 quarter. Average assets under management in the second quarter of 2016 were $280.6 billion, a decrease of 1.2% from the average in the second quarter of 2015.</w:t>
      </w:r>
    </w:p>
    <w:p>
      <w:pPr>
        <w:spacing w:after="0" w:line="18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Administrative fee revenues decreased $3.1 million to $88.5 million in the second quarter of 2016. The decrease is primarily resulted from the shift to BNY Mellon of fund accounting and portfolio recordkeeping operations that prior to August 2015 were provided to our sponsored U.S. mutual funds. Changes in administrative fee revenues are generally offset by similar changes in related operating expenses that are incurred to provide services to the funds and their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Compensation and related costs were $371.0 million in the second quarter of 2016, an increase of $10.1 million, or 2.8%, compared to the second quarter of 2015. The largest part of the change is attributable to a $12.3 million increase in base salaries and related benefits which results from a modest increase in salaries at the beginning of 2016 combined with a 2.6% increase in our average staff size from the second quarter of 2015. Our stock-based compensation expense and interim accrual for our annual variable compensation programs have also increased $3.2 million and $2.5 million, respectively, in the second quarter of 2016. Our interim accrual for annual variable compensation program is recognized ratably over the year using the ratio of recognized quarterly net operating income to forecasted annual net operating income. The increase in compensation and related costs and our average staff size from the 2015 quarter were also muted by lower compensation costs resulting from shifting 210 associates in August 2015 for the aforementioned transition of accounting and recordkeeping operations. BNY Mellon's fees for such services are now reflected in other operating expenses. We employed 6,213 associates at June 30, 2016.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800" w:right="239" w:bottom="1440" w:gutter="0" w:footer="0" w:header="0"/>
        </w:sectPr>
      </w:pPr>
    </w:p>
    <w:bookmarkStart w:id="22" w:name="page23"/>
    <w:bookmarkEnd w:id="22"/>
    <w:p>
      <w:pPr>
        <w:ind w:right="60"/>
        <w:spacing w:after="0" w:line="277" w:lineRule="auto"/>
        <w:rPr>
          <w:sz w:val="20"/>
          <w:szCs w:val="20"/>
          <w:color w:val="auto"/>
        </w:rPr>
      </w:pPr>
      <w:r>
        <w:rPr>
          <w:rFonts w:ascii="Arial" w:cs="Arial" w:eastAsia="Arial" w:hAnsi="Arial"/>
          <w:sz w:val="18"/>
          <w:szCs w:val="18"/>
          <w:color w:val="auto"/>
        </w:rPr>
        <w:t>Advertising and promotion costs were $14.9 million in the second quarter of 2016, compared with $14.2 million in the comparable 2015 period. We currently expect advertising and promotion costs for the full-year 2016 to be comparable to 2015 levels.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operating expenses in the second quarter of 2016 were up $20.1 million from the comparable 2015 quarter. More than half of the increase is attributable to costs now being paid to BNY Mellon for the performance of certain administrative services as well as implementation services related to the firm's transition to their technology platform. The remainder of the increase in costs is due to higher business demands and the firm's continued investment in its operating capabilities.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non-operating income in the second quarter of 2016 was $41.5 million, an increase of $8.5 million from the 2015 quarter. The following table details the components of non-operating income (in millions) during the second quarter of 2015 and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7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6/30/2015</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6/30/2016</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Dollar change</w:t>
            </w:r>
          </w:p>
        </w:tc>
      </w:tr>
      <w:tr>
        <w:trPr>
          <w:trHeight w:val="324"/>
        </w:trPr>
        <w:tc>
          <w:tcPr>
            <w:tcW w:w="7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and capital gain dividends on sponsored fund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Investment gains on sponsored equity method and trading investments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on sponsored fund investments not consolidated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 income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investment income on consolidated sponsored investment portfolios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26.3</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20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sold certain available-for-sale holdings during the second quarter of 2015 and used the proceeds to provide seed capital to new and existing sponsored products in support of our distribution efforts outside the United States. The investment income on consolidated sponsored investment portfolios represents each portfolio’s total investment income, including the portion that is attributable to unrelated third party investors. The investment income on consolidated sponsored investment portfolios has increased in the second quarter of 2016 as the number of portfolios we consolidated, as discussed above, increased significantly upon the adoption of the new consolidation accounting guidance. See Note 1, The Company and Basis of Preparation, in the condensed consolidated financial statements contained in Part I, Item 1 of this filing.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effective tax rate for the second quarter of 2016 was 37.5%, as we currently estimate the effective tax rate for the full year 2016 will be 38.3% compared with our estimate at the end of the first quarter of 2016 of 38.7%. The decrease in the estimated effective tax rate for 2016 is largely attributable to a higher forecasted mix of pre-tax income in lower tax jurisdictions. Our effective income tax rate reflects the relative contribution of pre-tax income generated by our non-U.S. subsidiaries that are subject to tax rates that are lower than our U.S. rates. Changes in the relative contribution of pre-tax income from U.S. and non-U.S. subsidiaries or changes in tax rates in the U.S. or relevant non-U.S. jurisdictions may affect our effective income tax rate and overall net income in the future.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First half of 2015 versus first half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23495</wp:posOffset>
            </wp:positionV>
            <wp:extent cx="1869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rPr>
              <w:t>6/30/2015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rPr>
              <w:t>6/30/2016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change</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 except per-share data)</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Investment advisory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1,838.7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1,791.4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1,113.8</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1,344.4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230.6</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20.7 %</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111.7 %</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324"/>
        </w:trPr>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Diluted earnings per share on common stock of T. Rowe Price Group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324"/>
        </w:trPr>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 (in billions)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771.4</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Investment advisory revenues earned in the first half of 2016 decreased over the comparable 2015 period, as average assets under our management decreased $21.0 billion, or 2.7%, to $750.4 billion. The average annualized fee rate earned on our assets under management was 48.0 basis points in the first half of 2016, virtually unchanged from the 48.1 basis points earned in the first half of 2015. We waived $7.3 million in money market related fees, including advisory fees and fund expenses, in the first half of 2016, a decrease of $18.9 million from the $26.2 million waived in the 2015 period. The fee waivers in the first half of 2016 represent less than 1% of total investment advisory revenues earned during the same period.</w:t>
      </w:r>
    </w:p>
    <w:p>
      <w:pPr>
        <w:spacing w:after="0" w:line="17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During the first half of 2016, we recognized a nonrecurring operating charge of $166.2 million, which reduced net income by $100.7 million or $.39 in diluted earnings per common share, related to our decision to compensate certain clients in regard to the Dell appraisal rights matter.</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operating margin in the first half of 2016 was 34.1%, compared to 46.9% in the 2015 period, as the nonrecurring operating charge related to the Dell appraisal rights matter recognized in the 2016 period reduced our operating margin by about 8%. The additional decline in our operating margin from the first half of 2015 is a result of the investments we have been making to broaden and deepen our investment management, distribution, and service capabilities around the world.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first half of 2016 results were also impacted by greater non-operating income resulting from higher realized gains on investments and implementing new accounting guidance on January 1, 2016, as discussed earlier in the Results of Operations, which resulted in the consolidation of an increased number of sponsored investment portfolios. When aggregated, these items added $.09 in diluted earnings per common share in the first half of 2016 when compared to the prior year period.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first half of 2016, the impact (in millions) of our consolidated sponsored investment portfolios on the individual lines of the firm's income statement is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7"/>
        </w:trPr>
        <w:tc>
          <w:tcPr>
            <w:tcW w:w="9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0"/>
        </w:trPr>
        <w:tc>
          <w:tcPr>
            <w:tcW w:w="9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9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Attributable to the firm's interest in the consolidated sponsored investment portfolios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Attributable to redeemable non-controlling interests (unrelated third party investors)</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9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Investment advisory revenues earned from the T. Rowe Price mutual funds distributed in the U.S. decreased 2.1%, or $27.7 million, to $1.3 billion, on lower average mutual fund assets. Average mutual fund assets in the first half of 2016 were $478.8 billion, a decrease of 3.6% from the average for the comparable 2015 period. The decline in advisory revenues from lower average mutual fund assets under management was muted some by the reduction in money market fee waivers made in the second quarter of 2016 compared with the 2015 quarter.</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Investment advisory revenues earned on the other investment portfolios for the first half of 2016 were $490.2 million, a decrease of $19.6 million, or 3.8%, from the $509.8 million earned in the comparable 2015 period. Average assets in these portfolios were $271.6 billion during the first half of 2016, down 1.1% from the comparable 2015 period.</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Administrative fee revenues decreased $6.7 million to $177.9 million in the first half of 2016. The decrease is primarily from the shift to BNY Mellon of fund accounting and portfolio recordkeeping operations that, prior to August 2015, were provided to our sponsored U.S. mutual funds.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Distribution and servicing fee revenues earned from 12b-1 plans of the Advisor, R, and Variable Annuity II class shares of our sponsored portfolios were</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$69.5 million in the first half of 2016, a decrease of $6.6 million from the comparable 2015 period on lower average assets under management in these share classes. The 12b-1 fees earned are offset entirely by the costs paid to third party intermediaries who source these assets. These costs are reported as distribution and servicing costs in the condensed consolidated income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Compensation and related costs were $726.2 million in the first half of 2016, an increase of $18.8 million, or 2.7%, compared to the 2015 period. The largest part of the increase is attributable to a $24.3 million increase in salaries and related benefits which resulted from a modest increase in salaries at the beginning of 2016 combined with an increase of 2.6% in average head count from the 2015 period. Higher non-cash stock-based compensation expense of $9.0 million was offset in part by an increase in the level of labor capitalized in 2016 compared with the 2015 period. Our interim accrual in the first half of 2016 for our annual variable compensation program was in line with the 2015 period. As discussed earlier in this Results of Operations, the overall increase in compensation and related costs and our average staff size from the first half of 2015 were muted by lower compensation costs resulting from shifting 210 associates in August 2015 for the aforementioned transition of operations. BNY Mellon's fees for such services are now reflected in other operating expenses.</w:t>
      </w:r>
    </w:p>
    <w:p>
      <w:pPr>
        <w:spacing w:after="0" w:line="167"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Occupancy and facility costs, together with depreciation expense, increased $8.7 million, or 6.2%, compared to the first half of 2015. The increase is primarily attributable to the added costs to update and enhance technology capabilities, including related maintenance programs.</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Other operating expenses were $196.3 million in the first half of 2016, an increase of $45.0 million from the comparable 2015 period. About half of this increase is attributable to costs being paid to BNY Mellon since August 2015 for the performance of certain administrative services. The increase also includes $3.0 million in operating expenses, net of investment advisory fees paid to us, of those sponsored investment portfolios that we began consolidating at the beginning of 2016. The remaining balance of the change is due to increased business demands and our continued investment in capabilities.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00"/>
          </w:cols>
          <w:pgMar w:left="240" w:top="58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non-operating investment activity during the first half of 2016 resulted in income of $126.6 million compared with $59.8 million in the 2015 period. The following table details the components of non-operating income (in millions) during the first half of 2015 and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600" w:type="dxa"/>
            <w:vAlign w:val="bottom"/>
            <w:gridSpan w:val="5"/>
            <w:shd w:val="clear" w:color="auto" w:fill="CCEEFF"/>
          </w:tcPr>
          <w:p>
            <w:pPr>
              <w:ind w:left="5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6/30/2016</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Dollar change</w:t>
            </w:r>
          </w:p>
        </w:tc>
      </w:tr>
      <w:tr>
        <w:trPr>
          <w:trHeight w:val="324"/>
        </w:trPr>
        <w:tc>
          <w:tcPr>
            <w:tcW w:w="7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13.0</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and capital gain dividends on sponsored fund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Investment gains on sponsored equity method and trading investments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9.6</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on sponsored fund investments not consolidated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 income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investment income on consolidated sponsored investment portfolios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47.8</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57"/>
        </w:trPr>
        <w:tc>
          <w:tcPr>
            <w:tcW w:w="732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66.8</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remain debt-free with ample liquidity, including cash and discretionary sponsored portfolio investment holdings of $2.1 billion at June 30, 2016. We also have seed capital investments in sponsored investment portfolios of $1.0 billion, of which nearly all are interests in sponsored investment portfolios that we consolidate in our financial statements and are discussed in more detail below. We expended $244.0 million to repurchase 3.6 million shares of our common stock in the first half of 2016, and will generally repurchase our common stock over time to offset the dilution created by our equity-based compensation plans. We anticipate property and equipment expenditures for the full year 2016 to be up to $180 million, of which about two-thirds is planned for technology initiatives. Given the availability of our financial resources, we expect to fund our anticipated capital expenditures with operating resources, and do not maintain an available external source of liquidity.</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1, 2016, we implemented new consolidation accounting guidance that resulted in the consolidation of sponsored investment portfolios in which we have a controlling interest in our financial statements. Our condensed consolidated balance sheet now reflects the cash and cash equivalents, investments, other assets and liabilities of the sponsored portfolios as well as redeemable non-controlling interests for the portion of the sponsored portfolios that are held by unrelated third party investors. At June 30, 2016, the net assets of our consolidated sponsored investment portfolios included in our condensed consolidated balance sheet totaled $2.1 billion, of which Price Group’s interest was nearly $1.0 billion and the interests held by unrelated third party investors was $1.1 billion.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 Our interest in these sponsored investment portfolios represents seed capital that is redeemable, although we generally expect to be invested for several years until unrelated third party investors substantially reduce our relative ownership percentage.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584" w:right="239" w:bottom="1440" w:gutter="0" w:footer="0" w:header="0"/>
        </w:sectPr>
      </w:pPr>
    </w:p>
    <w:bookmarkStart w:id="26" w:name="page27"/>
    <w:bookmarkEnd w:id="26"/>
    <w:p>
      <w:pPr>
        <w:ind w:right="60"/>
        <w:spacing w:after="0" w:line="286" w:lineRule="auto"/>
        <w:rPr>
          <w:sz w:val="20"/>
          <w:szCs w:val="20"/>
          <w:color w:val="auto"/>
        </w:rPr>
      </w:pPr>
      <w:r>
        <w:rPr>
          <w:rFonts w:ascii="Arial" w:cs="Arial" w:eastAsia="Arial" w:hAnsi="Arial"/>
          <w:sz w:val="17"/>
          <w:szCs w:val="17"/>
          <w:color w:val="auto"/>
        </w:rPr>
        <w:t>The following table summarizes the cash flows (in millions) for the six months ended June 30, 2016, that are attributable to Price Group and our consolidated sponsored investment portfolios. The table also reflects the eliminations required in preparing our condensed consolidated statement of cash flow for the six months ended June 30, 2016 and our condensed consolidated statement of cash flow for the six months ended June 30,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For six months ended 6/30/2016</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Cash flow</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As reported for</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Cash flow</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the six months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on statement</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ended 6/30/2015</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Price Group</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investment portfolios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of cash flows</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of</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consolidated sponsored investment portfolios</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1,506.1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9"/>
              </w:rPr>
              <w:t>1,172.3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1,382.6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Operating activities attributable to Price Group during the first half of 2016 provided cash flows of $644.9 million, a decrease of $241.8 million from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2015 period. More than half of the decline is related to our decision in the first half of 2016 to compensate certain clients $166.2 million in regard to the Dell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appraisal rights matter, of which $164.4 million was settled in June 2016. Net income attributable to Price Group for the first half of 2016, excluding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$100.7 million related to the Dell appraisal matter, declined $51.5 million from the comparable 2015 period. The remaining decline is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timing differences in the cash settlement of our assets and liabilities compared to the first six months of 2016. Our interim operating cash flows do not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cash impact of variable compensation that is accrued throughout the year before being substantially paid out in December. The net cash provided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 attributable to Price Group were more than offset by the net change in trading securities held in our consolidated sponsored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underlying investment portfolios.</w:t>
      </w:r>
    </w:p>
    <w:p>
      <w:pPr>
        <w:spacing w:after="0" w:line="15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Net cash used in investing activities that are attributable to Price Group totaled $103.1 million in the first half of 2016. During the first half of 2016, we provided $196.8 million in seed capital to new and existing sponsored investment portfolios. Since we consolidate these sponsored investment portfolios, the seed capital that we provided was eliminated in consolidation. We utilized a portion of the $174.2 million in proceeds from the sale of certain available-for-sale investments and equity method investments in the first half of 2016 to fund these seed capital investments. Additionally, our net property and equipment additions were $79.2 million in the first half of 2016 compared to $79.9 million in the 2015 period. Net cash of our consolidated sponsored investment portfolios that we consolidated or deconsolidated added net cash of $68.3 million during the first half of 2016.</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financing activities attributable to Price Group were $438.9 million in the first half of 2016 compared with $1,089.7 million in the 2015 period. The decline in cash used in financing activities is largely related to the $2.00 per share, or $524 million, special dividend we paid in April 2015. We also expended $109.8 million less in common stock purchases in the first half of 2016 compared to the 2015 period. The cash proceeds received from stock options exercises were higher in the first half of 2016 by $17.4 million compared with the 2015 period. The net cash used in financing activities attributable to Price Group was more than offset by $540.0 million in cash provided by consolidated sponsored investment portfolios from the net subscriptions received from redeemable non-controlling interest holders.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Since the end of 2013, we have returned $3.4 billion to stockholders through stock repurchases, our regular quarterly dividends, and one special dividend.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Total cash returned to</w:t>
            </w: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Recurring dividend</w:t>
            </w: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Special dividend</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repurchases</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stockholders</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462.1</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877.6</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Six months ended 6/30/2016</w:t>
            </w:r>
          </w:p>
        </w:tc>
        <w:tc>
          <w:tcPr>
            <w:tcW w:w="2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271.8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244.0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515.8</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1,268.4</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1,647.3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3,440.2</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 Given the impact the implementation of Accounting Standards Update No. 2015-02 - Consolidation (Topic 810): Amendments to the Consolidation Analysis on January 1, 2016, has had on our consolidated financial statements, we now consider our consolidation policy one of the policies that are most critical to the preparation and understanding of our consolidated financial statements. Our consolidation policy is included in Note 1-The Company and Basis for Preparation, in the condensed consolidated financial statements contained in Part I, Item 1 of this filing. There have been no other material changes in the critical accounting policies previously identified in our 2015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May 2014, the FASB issued Accounting Standards Update No. 2014-09 — Revenue from Contracts with Customers and subsequently have issued four related accounting standard updates clarifying several aspect of the ASU 2014-09. The overall objective of the new standard updates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We would be required to adopt the new standard on January 1, 2018. We are currently evaluating the impact these standards will have on our financial position and results of operations.</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January 2016, the FASB issued Accounting Standards Update No. 2016-01 — Financial Instruments—Overall (Subtopic 825-10): Recognition and Measurement of Financial Assets and Financial Liabilities. The amendments in this update address certain aspects of recognition, measurement, presentation, and disclosure of financial instruments. The ASU is effective for fiscal years and interim periods within those years beginning after December 15, 2017, and requires a cumulative-effect adjustment to the balance sheet as of the beginning of the fiscal year of adoption. Early adoption is not permitted. The new guidance will require the change in fair value of equity investments with readily determinable fair values to be recognized through the income statements. We are currently evaluating the full impact of the standard, however, upon adoption the change in the fair value of our available-for-sale investments will be recognized in our consolidated income statement instead of our consolidated statement of comprehensive income.</w:t>
      </w:r>
    </w:p>
    <w:p>
      <w:pPr>
        <w:spacing w:after="0" w:line="16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February 2016, the FASB issued Accounting Standards Update No. 2016-02—Leases (Topic 842). The objective of the update is to increase transparency and comparability among organizations by recognizing lease assets and lease liabilities on the balance sheet and disclosing key information about leasing arrangements. The amendments in this update are effective for fiscal years beginning after December 15, 2018, including interim periods within those fiscal years. Early adoption is permitted. We are currently evaluating the impact this standard will have on our financial position and results of operations.</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2016, the FASB issued Accounting Standards Update No. 2016-09—Compensation—Stock Compensation (Topic 718): Improvements to Employee Share-Based Payment Accounting. This update simplifies several aspects of the accounting for share-based payment transactions, including the income tax consequences, classification of awards as either equity or liabilities, and classification on the statement of cash flows. Early adoption is permitted. The amendments in this update are effective for annual periods beginning after December 15, 2016, and interim periods within those annual periods. We are currently evaluating the full impact of the standard, however, upon adoption, any excess tax benefits that arise upon settlement of an award will be recognized in our provision for income taxes instead of additional capital in excess of par value within our consolidated statement of stockholders’ equity. As such, this change will create volatility in our effective tax rate and net income, as the excess tax benefit will be driven, in part, by our common stock price.</w:t>
      </w:r>
    </w:p>
    <w:p>
      <w:pPr>
        <w:spacing w:after="0" w:line="16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00"/>
          </w:cols>
          <w:pgMar w:left="240" w:top="908"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stock repurchases,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2015.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products, including mutual funds and investment portfolios, and services;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income will also fluctuate as a result of the consolidation of certain of our investment portfolios as well as the size of our investments, changes in their market valuations, and any other-than-temporary impairments that may arise, or in the case of our equity method investments, our proportionate share of the investees net income.</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and other equity grants, other incentive awards,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accounting and other recordkeeping services, facilities, communications, power, and the mutual fund transfer agent and accounting systems.</w:t>
      </w:r>
    </w:p>
    <w:p>
      <w:pPr>
        <w:spacing w:after="0" w:line="1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2016. Based on that evaluation, our principal executive and principal financial officers have concluded that our disclosure controls and procedures as of June 30, 2016,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2016, and has concluded that there was no change during the second quarter of 2016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380"/>
          </w:cols>
          <w:pgMar w:left="240" w:top="580" w:right="2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intends to vigorously defend the action.</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the matter discussed above,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 the exception of the following additions or updates to the Legal and Regulatory Risks discussed in Item 1A of our Form 10-K Annual Report for 2015 there have been no material changes in the risk factors previously provided.</w:t>
      </w:r>
    </w:p>
    <w:p>
      <w:pPr>
        <w:spacing w:after="0" w:line="180"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New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regulations may not directly apply to our business but may impact the capital markets, service providers or have other indirect effects on our ability to provide services to our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part of the debate in Washington, D.C. related to the economy and the U.S. deficit, there has been increasing focus on the framework of the U.S. retirement system. We could incur increased costs if new regulatory requirements are adopted since retirement plans are a significant part of our client base and other types of retirement accounts invest in our mutual funds. In addition, changes to the current framework may impact our business in other ways. For example, proposals to reduce contributions to Individual Retirement Accounts and Defined Contribution plans for certain individuals, as well as potential changes to Defined Benefit plans, may result in increased plan terminations and reduce our opportunity to manage and service retirement assets.</w:t>
      </w:r>
    </w:p>
    <w:p>
      <w:pPr>
        <w:spacing w:after="0" w:line="15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April 2016, the U.S. Department of Labor finalized changes to definitions and rules related to fiduciaries. These changes will require modifications to how we interact with retirement customers and prospects, and may cause us to limit certain types of distribution or other business activities. The Securities and Exchange Commission (SEC) is considering its own fiduciary rule proposal. Any such rule may also have an impact on our business activities.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Federal Reserve Board has adopted final regulations related to non-bank Systemically Important Financial Institutions (SIFIs), and other jurisdictions are contemplating similar regulation. It has been suggested that large mutual funds, particularly money market funds, should be designated as SIFIs. We do not believe that mutual funds should be deemed SIFIs. Further, we do not believe SIFI designation was intended for traditional asset management businesses. If, however, any T. Rowe Price fund or T. Rowe Price affiliate is deemed a SIFI, increased regulatory oversight would apply, which may include enhanced capital, liquidity, leverage, stress testing, resolution planning, and risk management requirements.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364" w:right="239" w:bottom="1440" w:gutter="0" w:footer="0" w:header="0"/>
        </w:sectPr>
      </w:pPr>
    </w:p>
    <w:bookmarkStart w:id="31" w:name="page32"/>
    <w:bookmarkEnd w:id="31"/>
    <w:p>
      <w:pPr>
        <w:ind w:right="80"/>
        <w:spacing w:after="0" w:line="293" w:lineRule="auto"/>
        <w:rPr>
          <w:sz w:val="20"/>
          <w:szCs w:val="20"/>
          <w:color w:val="auto"/>
        </w:rPr>
      </w:pPr>
      <w:r>
        <w:rPr>
          <w:rFonts w:ascii="Arial" w:cs="Arial" w:eastAsia="Arial" w:hAnsi="Arial"/>
          <w:sz w:val="16"/>
          <w:szCs w:val="16"/>
          <w:color w:val="auto"/>
        </w:rPr>
        <w:t>On July 23, 2014, the SEC adopted additional reforms regulating money market funds that will become effective in October 2016. The reforms will require institutional non-government money market funds to operate with a floating net asset value (NAV) and require all non-government money market funds to impose liquidity fees and redemption gates under certain conditions. Government and retail money market funds will continue using current pricing and accounting methods to seek to maintain a stable NAV. The SEC adopted other reforms for money market funds, including additional disclosure and reporting requirements, tightening of diversification requirements, and enhanced stress testing. These reforms could have a negative impact on the attractiveness of such funds to investors and also subject us to additional regulatory requirements and costs to comply with such requirements.</w:t>
      </w:r>
    </w:p>
    <w:p>
      <w:pPr>
        <w:spacing w:after="0" w:line="16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Commodity Futures Trading Commission has adopted certain amendments to its rules that would limit the ability of mutual funds and certain other products we sponsor to use commodities, futures, swaps, and other derivatives without additional registration. If our use of these products on behalf of client accounts increases so as to require registration, we would be subject to additional regulatory requirements and costs associated with registration.</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Global regulations on OTC derivatives are evolving, including new and proposed regulations under The Dodd-Frank Wall Street Reform and Consumer Protection Act and European Market Infrastructure Regulation relating to central clearing counterparties, trade reporting, and repositories. In addition, the SEC has proposed new regulations that will require mutual funds to: (1) adopt liquidity risk management programs with specific requirements for measuring and reporting the liquidity of fund holdings; and (2) comply with new exposure limits and asset coverage requirements for investments in derivatives, as well as adopting derivatives risk management programs. There remains uncertainty related to various requirements under these regulations and the exact manner in which they will impact current trading strategies for our clients.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revised Markets in Financial Instruments Directive (MiFID II Directive) and Regulation (MiFIR) (together “MiFID II”) will apply across the European Union (EU) and member states of the European Economic Area from January 3, 2018, unless extended. Implementation of MiFID II will significantly impact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will increase our costs.</w:t>
      </w:r>
    </w:p>
    <w:p>
      <w:pPr>
        <w:spacing w:after="0" w:line="19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Exit from European Union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 significant locally authorized and regulated presence in the United Kingdom (“UK”) to support our global investment management business. The ultimate impact of the UK exit (“Brexit”) from the European Union (“EU”), as a result of the referendum vote at the end of June 2016, on our business operations in the UK and Europe could vary depending on the details of the separation agreement. We are preparing for multiple scenarios, and remain committed to our clients, associates and business expansion across the region.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00"/>
          </w:cols>
          <w:pgMar w:left="240" w:top="58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2016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20"/>
              <w:spacing w:after="0"/>
              <w:rPr>
                <w:sz w:val="20"/>
                <w:szCs w:val="20"/>
                <w:color w:val="auto"/>
              </w:rPr>
            </w:pPr>
            <w:r>
              <w:rPr>
                <w:rFonts w:ascii="Arial" w:cs="Arial" w:eastAsia="Arial" w:hAnsi="Arial"/>
                <w:sz w:val="18"/>
                <w:szCs w:val="18"/>
                <w:color w:val="auto"/>
              </w:rPr>
              <w:t>April</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124,679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16,681,526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558,231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500,000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16,181,526</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June</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22,032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16,181,526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704,942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75.12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2016, 204,142 were related to shares surrendered in connection with employee stock option exercises and 800 were related to shares withheld to cover tax withholdings associated with the vesting of restricted stock awards.</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500,000 shares of our common stock were repurchased pursuant to the Board of Directors’ December 11, 2014, publicly announced authorization. The maximum number of shares that may yet be purchased as of June 30, 2016, under the Board of Directors’ December 11, 2014 and December 10, 2015 publicly announced authorizations are 16,181,526.</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On July 26, 2016, we issued a press release reporting our results of operations for the second quarter of 2016 and first six months of 2016.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3(i).1</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Form 10-Q Report for the quarterly period ended June 30, 2008 filed on April 10, 2008; File No. 033-07012-99).</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3(ii)</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Amended and Restated By-Laws of T. Rowe Price Group, Inc. as of December 10, 2015. (Incorporated by reference from Form 8-K</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Current Report file on December 10, 2015; File No. 000-32191).</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10.03</w:t>
            </w:r>
          </w:p>
        </w:tc>
        <w:tc>
          <w:tcPr>
            <w:tcW w:w="10180" w:type="dxa"/>
            <w:vAlign w:val="bottom"/>
          </w:tcPr>
          <w:p>
            <w:pPr>
              <w:ind w:left="620"/>
              <w:spacing w:after="0"/>
              <w:rPr>
                <w:sz w:val="20"/>
                <w:szCs w:val="20"/>
                <w:color w:val="auto"/>
              </w:rPr>
            </w:pPr>
            <w:r>
              <w:rPr>
                <w:rFonts w:ascii="Arial" w:cs="Arial" w:eastAsia="Arial" w:hAnsi="Arial"/>
                <w:sz w:val="18"/>
                <w:szCs w:val="18"/>
                <w:color w:val="auto"/>
                <w:w w:val="90"/>
              </w:rPr>
              <w:t>Transfer Agency and Service Agreement as of January 1, 2016, between T. Rowe Price Services, Inc. and the T. Rowe Price Funds.</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(Incorporated by reference from Form 485BPOS filed on April 27, 2016; File No. 033-16567).</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10.04</w:t>
            </w:r>
          </w:p>
        </w:tc>
        <w:tc>
          <w:tcPr>
            <w:tcW w:w="10180" w:type="dxa"/>
            <w:vAlign w:val="bottom"/>
          </w:tcPr>
          <w:p>
            <w:pPr>
              <w:ind w:left="620"/>
              <w:spacing w:after="0"/>
              <w:rPr>
                <w:sz w:val="20"/>
                <w:szCs w:val="20"/>
                <w:color w:val="auto"/>
              </w:rPr>
            </w:pPr>
            <w:r>
              <w:rPr>
                <w:rFonts w:ascii="Arial" w:cs="Arial" w:eastAsia="Arial" w:hAnsi="Arial"/>
                <w:sz w:val="18"/>
                <w:szCs w:val="18"/>
                <w:color w:val="auto"/>
                <w:w w:val="92"/>
              </w:rPr>
              <w:t>Agreement as of January 1, 2016, between T. Rowe Price Retirement Plan Services, Inc. and certain of the T. Rowe Price Funds.</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(Incorporated by reference from Form 485BPOS filed on April 27, 2016; File No. 033-16567).</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10.21</w:t>
            </w:r>
          </w:p>
        </w:tc>
        <w:tc>
          <w:tcPr>
            <w:tcW w:w="10180" w:type="dxa"/>
            <w:vAlign w:val="bottom"/>
          </w:tcPr>
          <w:p>
            <w:pPr>
              <w:ind w:left="620"/>
              <w:spacing w:after="0"/>
              <w:rPr>
                <w:sz w:val="20"/>
                <w:szCs w:val="20"/>
                <w:color w:val="auto"/>
              </w:rPr>
            </w:pPr>
            <w:r>
              <w:rPr>
                <w:rFonts w:ascii="Arial" w:cs="Arial" w:eastAsia="Arial" w:hAnsi="Arial"/>
                <w:sz w:val="18"/>
                <w:szCs w:val="18"/>
                <w:color w:val="auto"/>
              </w:rPr>
              <w:t>Employment Agreement as of March 15, 2016, between T. Rowe Price International Limited and Christopher Alderson.</w:t>
            </w:r>
          </w:p>
        </w:tc>
      </w:tr>
      <w:tr>
        <w:trPr>
          <w:trHeight w:val="230"/>
        </w:trPr>
        <w:tc>
          <w:tcPr>
            <w:tcW w:w="110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(Incorporated by reference from Form 10Q filed on April 26, 2016; File No. 000-32191).</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15</w:t>
            </w:r>
          </w:p>
        </w:tc>
        <w:tc>
          <w:tcPr>
            <w:tcW w:w="10180" w:type="dxa"/>
            <w:vAlign w:val="bottom"/>
          </w:tcPr>
          <w:p>
            <w:pPr>
              <w:ind w:left="62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31(i).1</w:t>
            </w:r>
          </w:p>
        </w:tc>
        <w:tc>
          <w:tcPr>
            <w:tcW w:w="10180" w:type="dxa"/>
            <w:vAlign w:val="bottom"/>
          </w:tcPr>
          <w:p>
            <w:pPr>
              <w:ind w:left="62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31(i).2</w:t>
            </w:r>
          </w:p>
        </w:tc>
        <w:tc>
          <w:tcPr>
            <w:tcW w:w="10180" w:type="dxa"/>
            <w:vAlign w:val="bottom"/>
          </w:tcPr>
          <w:p>
            <w:pPr>
              <w:ind w:left="62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tcPr>
          <w:p>
            <w:pPr>
              <w:ind w:left="62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99</w:t>
            </w:r>
          </w:p>
        </w:tc>
        <w:tc>
          <w:tcPr>
            <w:tcW w:w="10180" w:type="dxa"/>
            <w:vAlign w:val="bottom"/>
          </w:tcPr>
          <w:p>
            <w:pPr>
              <w:ind w:left="620"/>
              <w:spacing w:after="0"/>
              <w:rPr>
                <w:sz w:val="20"/>
                <w:szCs w:val="20"/>
                <w:color w:val="auto"/>
              </w:rPr>
            </w:pPr>
            <w:r>
              <w:rPr>
                <w:rFonts w:ascii="Arial" w:cs="Arial" w:eastAsia="Arial" w:hAnsi="Arial"/>
                <w:sz w:val="18"/>
                <w:szCs w:val="18"/>
                <w:color w:val="auto"/>
              </w:rPr>
              <w:t>Earnings release issued July 26, 2016, reporting our results of operations for the second quarter and first half of 2016.</w:t>
            </w:r>
          </w:p>
        </w:tc>
      </w:tr>
      <w:tr>
        <w:trPr>
          <w:trHeight w:val="405"/>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tcPr>
          <w:p>
            <w:pPr>
              <w:ind w:left="620"/>
              <w:spacing w:after="0"/>
              <w:rPr>
                <w:sz w:val="20"/>
                <w:szCs w:val="20"/>
                <w:color w:val="auto"/>
              </w:rPr>
            </w:pPr>
            <w:r>
              <w:rPr>
                <w:rFonts w:ascii="Arial" w:cs="Arial" w:eastAsia="Arial" w:hAnsi="Arial"/>
                <w:sz w:val="18"/>
                <w:szCs w:val="18"/>
                <w:color w:val="auto"/>
                <w:w w:val="96"/>
              </w:rPr>
              <w:t>The following series of unaudited XBRL-formatted documents are collectively included herewith as Exhibit 101. The financial</w:t>
            </w:r>
          </w:p>
        </w:tc>
      </w:tr>
    </w:tbl>
    <w:p>
      <w:pPr>
        <w:ind w:left="1760" w:right="160"/>
        <w:spacing w:after="0" w:line="261" w:lineRule="auto"/>
        <w:rPr>
          <w:sz w:val="20"/>
          <w:szCs w:val="20"/>
          <w:color w:val="auto"/>
        </w:rPr>
      </w:pPr>
      <w:r>
        <w:rPr>
          <w:rFonts w:ascii="Arial" w:cs="Arial" w:eastAsia="Arial" w:hAnsi="Arial"/>
          <w:sz w:val="18"/>
          <w:szCs w:val="18"/>
          <w:color w:val="auto"/>
        </w:rPr>
        <w:t>information is extracted from T. Rowe Price Group’s unaudited condensed consolidated interim financial statements and notes that are included in this Form 10-Q Report.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trow-20160630.xml).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trow-20160630.xsd).</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 (File name: trow-20160630_cal.xml).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 (File name: trow-20160630_lab.xml).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 (File name: trow-20160630_pre.xml).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 (File name: trow-20160630_def.xml).</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320"/>
          </w:cols>
          <w:pgMar w:left="240" w:top="580" w:right="339" w:bottom="1440" w:gutter="0" w:footer="0" w:header="0"/>
        </w:sectPr>
      </w:pPr>
    </w:p>
    <w:bookmarkStart w:id="34" w:name="page35"/>
    <w:bookmarkEnd w:id="3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26,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220"/>
          </w:cols>
          <w:pgMar w:left="240" w:top="364" w:right="439" w:bottom="1440" w:gutter="0" w:footer="0" w:header="0"/>
        </w:sectPr>
      </w:pPr>
    </w:p>
    <w:bookmarkStart w:id="35" w:name="page36"/>
    <w:bookmarkEnd w:id="35"/>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333-90967</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No.</w:t>
      </w:r>
      <w:r>
        <w:rPr>
          <w:rFonts w:ascii="Arial" w:cs="Arial" w:eastAsia="Arial" w:hAnsi="Arial"/>
          <w:sz w:val="18"/>
          <w:szCs w:val="18"/>
          <w:b w:val="1"/>
          <w:bCs w:val="1"/>
          <w:color w:val="auto"/>
        </w:rPr>
        <w:t xml:space="preserve"> 333-180904</w:t>
      </w:r>
      <w:r>
        <w:rPr>
          <w:rFonts w:ascii="Arial" w:cs="Arial" w:eastAsia="Arial" w:hAnsi="Arial"/>
          <w:sz w:val="18"/>
          <w:szCs w:val="18"/>
          <w:color w:val="auto"/>
        </w:rPr>
        <w:t>, and No.</w:t>
      </w:r>
      <w:r>
        <w:rPr>
          <w:rFonts w:ascii="Arial" w:cs="Arial" w:eastAsia="Arial" w:hAnsi="Arial"/>
          <w:sz w:val="18"/>
          <w:szCs w:val="18"/>
          <w:b w:val="1"/>
          <w:bCs w:val="1"/>
          <w:color w:val="auto"/>
        </w:rPr>
        <w:t xml:space="preserve"> 333-199560</w:t>
      </w:r>
      <w:r>
        <w:rPr>
          <w:rFonts w:ascii="Arial" w:cs="Arial" w:eastAsia="Arial" w:hAnsi="Arial"/>
          <w:sz w:val="18"/>
          <w:szCs w:val="18"/>
          <w:color w:val="auto"/>
        </w:rPr>
        <w:t>.</w:t>
      </w:r>
    </w:p>
    <w:p>
      <w:pPr>
        <w:spacing w:after="0" w:line="3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26, 2016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2016</w:t>
      </w:r>
    </w:p>
    <w:p>
      <w:pPr>
        <w:sectPr>
          <w:pgSz w:w="11900" w:h="16838" w:orient="portrait"/>
          <w:cols w:equalWidth="0" w:num="1">
            <w:col w:w="11420"/>
          </w:cols>
          <w:pgMar w:left="240" w:top="584" w:right="239" w:bottom="1440" w:gutter="0" w:footer="0" w:header="0"/>
          <w:type w:val="continuous"/>
        </w:sectPr>
      </w:pPr>
    </w:p>
    <w:bookmarkStart w:id="36" w:name="page37"/>
    <w:bookmarkEnd w:id="36"/>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2016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July 26,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65" w:right="279" w:bottom="1440" w:gutter="0" w:footer="0" w:header="0"/>
        </w:sectPr>
      </w:pPr>
    </w:p>
    <w:bookmarkStart w:id="37" w:name="page38"/>
    <w:bookmarkEnd w:id="37"/>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2016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July 26, 2016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38" w:name="page39"/>
    <w:bookmarkEnd w:id="38"/>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2016 of T. Rowe Price Group, Inc., that:</w:t>
      </w:r>
    </w:p>
    <w:p>
      <w:pPr>
        <w:spacing w:after="0" w:line="116"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July 26,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39" w:name="page40"/>
    <w:bookmarkEnd w:id="3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2019-12-07T07:50:18Z</dcterms:created>
  <dcterms:modified xsi:type="dcterms:W3CDTF">2019-12-07T07:50:18Z</dcterms:modified>
</cp:coreProperties>
</file>