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OF THE 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033-07012-99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 ROWE PRICE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2180" w:type="dxa"/>
        <w:tblCellMar>
          <w:top w:w="0" w:type="dxa"/>
          <w:left w:w="0" w:type="dxa"/>
          <w:bottom w:w="0" w:type="dxa"/>
          <w:right w:w="0" w:type="dxa"/>
        </w:tblCellMar>
      </w:tblPr>
      <w:tr>
        <w:trPr>
          <w:trHeight w:val="218"/>
        </w:trPr>
        <w:tc>
          <w:tcPr>
            <w:tcW w:w="1520" w:type="dxa"/>
            <w:vAlign w:val="bottom"/>
          </w:tcPr>
          <w:p>
            <w:pPr>
              <w:jc w:val="center"/>
              <w:ind w:right="82"/>
              <w:spacing w:after="0"/>
              <w:rPr>
                <w:sz w:val="20"/>
                <w:szCs w:val="20"/>
                <w:color w:val="auto"/>
              </w:rPr>
            </w:pPr>
            <w:r>
              <w:rPr>
                <w:rFonts w:ascii="Arial" w:cs="Arial" w:eastAsia="Arial" w:hAnsi="Arial"/>
                <w:sz w:val="18"/>
                <w:szCs w:val="18"/>
                <w:b w:val="1"/>
                <w:bCs w:val="1"/>
                <w:color w:val="auto"/>
                <w:w w:val="96"/>
              </w:rPr>
              <w:t>Maryland</w:t>
            </w:r>
          </w:p>
        </w:tc>
        <w:tc>
          <w:tcPr>
            <w:tcW w:w="602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52-2264646</w:t>
            </w:r>
          </w:p>
        </w:tc>
      </w:tr>
      <w:tr>
        <w:trPr>
          <w:trHeight w:val="174"/>
        </w:trPr>
        <w:tc>
          <w:tcPr>
            <w:tcW w:w="1520" w:type="dxa"/>
            <w:vAlign w:val="bottom"/>
          </w:tcPr>
          <w:p>
            <w:pPr>
              <w:jc w:val="center"/>
              <w:ind w:right="82"/>
              <w:spacing w:after="0"/>
              <w:rPr>
                <w:sz w:val="20"/>
                <w:szCs w:val="20"/>
                <w:color w:val="auto"/>
              </w:rPr>
            </w:pPr>
            <w:r>
              <w:rPr>
                <w:rFonts w:ascii="Arial" w:cs="Arial" w:eastAsia="Arial" w:hAnsi="Arial"/>
                <w:sz w:val="14"/>
                <w:szCs w:val="14"/>
                <w:b w:val="1"/>
                <w:bCs w:val="1"/>
                <w:color w:val="auto"/>
                <w:w w:val="87"/>
              </w:rPr>
              <w:t>(State of incorporation)</w:t>
            </w:r>
          </w:p>
        </w:tc>
        <w:tc>
          <w:tcPr>
            <w:tcW w:w="8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20" w:type="dxa"/>
            <w:vAlign w:val="bottom"/>
          </w:tcPr>
          <w:p>
            <w:pPr>
              <w:jc w:val="center"/>
              <w:ind w:left="69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52"/>
        </w:trPr>
        <w:tc>
          <w:tcPr>
            <w:tcW w:w="1520" w:type="dxa"/>
            <w:vAlign w:val="bottom"/>
          </w:tcPr>
          <w:p>
            <w:pPr>
              <w:spacing w:after="0"/>
              <w:rPr>
                <w:sz w:val="24"/>
                <w:szCs w:val="24"/>
                <w:color w:val="auto"/>
              </w:rPr>
            </w:pPr>
          </w:p>
        </w:tc>
        <w:tc>
          <w:tcPr>
            <w:tcW w:w="6020" w:type="dxa"/>
            <w:vAlign w:val="bottom"/>
            <w:gridSpan w:val="3"/>
          </w:tcPr>
          <w:p>
            <w:pPr>
              <w:jc w:val="center"/>
              <w:ind w:right="1912"/>
              <w:spacing w:after="0"/>
              <w:rPr>
                <w:sz w:val="20"/>
                <w:szCs w:val="20"/>
                <w:color w:val="auto"/>
              </w:rPr>
            </w:pPr>
            <w:r>
              <w:rPr>
                <w:rFonts w:ascii="Arial" w:cs="Arial" w:eastAsia="Arial" w:hAnsi="Arial"/>
                <w:sz w:val="18"/>
                <w:szCs w:val="18"/>
                <w:b w:val="1"/>
                <w:bCs w:val="1"/>
                <w:color w:val="auto"/>
                <w:w w:val="90"/>
              </w:rPr>
              <w:t>100 East Pratt Street, Baltimore, Maryland 21202</w:t>
            </w:r>
          </w:p>
        </w:tc>
      </w:tr>
      <w:tr>
        <w:trPr>
          <w:trHeight w:val="174"/>
        </w:trPr>
        <w:tc>
          <w:tcPr>
            <w:tcW w:w="1520" w:type="dxa"/>
            <w:vAlign w:val="bottom"/>
          </w:tcPr>
          <w:p>
            <w:pPr>
              <w:spacing w:after="0"/>
              <w:rPr>
                <w:sz w:val="15"/>
                <w:szCs w:val="15"/>
                <w:color w:val="auto"/>
              </w:rPr>
            </w:pPr>
          </w:p>
        </w:tc>
        <w:tc>
          <w:tcPr>
            <w:tcW w:w="6020" w:type="dxa"/>
            <w:vAlign w:val="bottom"/>
            <w:gridSpan w:val="3"/>
          </w:tcPr>
          <w:p>
            <w:pPr>
              <w:jc w:val="center"/>
              <w:ind w:right="1912"/>
              <w:spacing w:after="0"/>
              <w:rPr>
                <w:sz w:val="20"/>
                <w:szCs w:val="20"/>
                <w:color w:val="auto"/>
              </w:rPr>
            </w:pPr>
            <w:r>
              <w:rPr>
                <w:rFonts w:ascii="Arial" w:cs="Arial" w:eastAsia="Arial" w:hAnsi="Arial"/>
                <w:sz w:val="14"/>
                <w:szCs w:val="14"/>
                <w:b w:val="1"/>
                <w:bCs w:val="1"/>
                <w:color w:val="auto"/>
                <w:w w:val="86"/>
              </w:rPr>
              <w:t>(Address, including Zip Code, of principal executive offices)</w:t>
            </w:r>
          </w:p>
        </w:tc>
      </w:tr>
      <w:tr>
        <w:trPr>
          <w:trHeight w:val="352"/>
        </w:trPr>
        <w:tc>
          <w:tcPr>
            <w:tcW w:w="1520" w:type="dxa"/>
            <w:vAlign w:val="bottom"/>
          </w:tcPr>
          <w:p>
            <w:pPr>
              <w:spacing w:after="0"/>
              <w:rPr>
                <w:sz w:val="24"/>
                <w:szCs w:val="24"/>
                <w:color w:val="auto"/>
              </w:rPr>
            </w:pPr>
          </w:p>
        </w:tc>
        <w:tc>
          <w:tcPr>
            <w:tcW w:w="3200" w:type="dxa"/>
            <w:vAlign w:val="bottom"/>
            <w:gridSpan w:val="2"/>
          </w:tcPr>
          <w:p>
            <w:pPr>
              <w:jc w:val="center"/>
              <w:ind w:left="740"/>
              <w:spacing w:after="0"/>
              <w:rPr>
                <w:sz w:val="20"/>
                <w:szCs w:val="20"/>
                <w:color w:val="auto"/>
              </w:rPr>
            </w:pPr>
            <w:r>
              <w:rPr>
                <w:rFonts w:ascii="Arial" w:cs="Arial" w:eastAsia="Arial" w:hAnsi="Arial"/>
                <w:sz w:val="18"/>
                <w:szCs w:val="18"/>
                <w:b w:val="1"/>
                <w:bCs w:val="1"/>
                <w:color w:val="auto"/>
                <w:w w:val="89"/>
              </w:rPr>
              <w:t>(410) 345-2000</w:t>
            </w:r>
          </w:p>
        </w:tc>
        <w:tc>
          <w:tcPr>
            <w:tcW w:w="2820" w:type="dxa"/>
            <w:vAlign w:val="bottom"/>
          </w:tcPr>
          <w:p>
            <w:pPr>
              <w:spacing w:after="0"/>
              <w:rPr>
                <w:sz w:val="24"/>
                <w:szCs w:val="24"/>
                <w:color w:val="auto"/>
              </w:rPr>
            </w:pPr>
          </w:p>
        </w:tc>
      </w:tr>
      <w:tr>
        <w:trPr>
          <w:trHeight w:val="174"/>
        </w:trPr>
        <w:tc>
          <w:tcPr>
            <w:tcW w:w="1520" w:type="dxa"/>
            <w:vAlign w:val="bottom"/>
          </w:tcPr>
          <w:p>
            <w:pPr>
              <w:spacing w:after="0"/>
              <w:rPr>
                <w:sz w:val="15"/>
                <w:szCs w:val="15"/>
                <w:color w:val="auto"/>
              </w:rPr>
            </w:pPr>
          </w:p>
        </w:tc>
        <w:tc>
          <w:tcPr>
            <w:tcW w:w="6020" w:type="dxa"/>
            <w:vAlign w:val="bottom"/>
            <w:gridSpan w:val="3"/>
          </w:tcPr>
          <w:p>
            <w:pPr>
              <w:jc w:val="center"/>
              <w:ind w:right="193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r>
        <w:trPr>
          <w:trHeight w:val="149"/>
        </w:trPr>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820" w:type="dxa"/>
            <w:vAlign w:val="bottom"/>
          </w:tcPr>
          <w:p>
            <w:pPr>
              <w:spacing w:after="0"/>
              <w:rPr>
                <w:sz w:val="12"/>
                <w:szCs w:val="12"/>
                <w:color w:val="auto"/>
              </w:rPr>
            </w:pPr>
          </w:p>
        </w:tc>
      </w:tr>
    </w:tbl>
    <w:p>
      <w:pPr>
        <w:spacing w:after="0" w:line="262" w:lineRule="exact"/>
        <w:rPr>
          <w:sz w:val="24"/>
          <w:szCs w:val="24"/>
          <w:color w:val="auto"/>
        </w:rPr>
      </w:pPr>
    </w:p>
    <w:p>
      <w:pPr>
        <w:ind w:right="60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7"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7"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4" w:right="239" w:bottom="1440" w:gutter="0" w:footer="0" w:header="0"/>
        </w:sectPr>
      </w:pPr>
    </w:p>
    <w:p>
      <w:pPr>
        <w:spacing w:after="0" w:line="126" w:lineRule="exact"/>
        <w:rPr>
          <w:sz w:val="24"/>
          <w:szCs w:val="24"/>
          <w:color w:val="auto"/>
        </w:rPr>
      </w:pPr>
    </w:p>
    <w:p>
      <w:pPr>
        <w:spacing w:after="0" w:line="370"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0" w:lineRule="exact"/>
        <w:rPr>
          <w:sz w:val="24"/>
          <w:szCs w:val="24"/>
          <w:color w:val="auto"/>
        </w:rPr>
      </w:pPr>
    </w:p>
    <w:p>
      <w:pPr>
        <w:sectPr>
          <w:pgSz w:w="11900" w:h="16838" w:orient="portrait"/>
          <w:cols w:equalWidth="0" w:num="4">
            <w:col w:w="1580" w:space="340"/>
            <w:col w:w="6220" w:space="720"/>
            <w:col w:w="1920" w:space="480"/>
            <w:col w:w="160"/>
          </w:cols>
          <w:pgMar w:left="240" w:top="31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260" w:hanging="252"/>
        <w:spacing w:after="0" w:line="207" w:lineRule="exact"/>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8"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outstanding of the issuer’s common stock ($.20 par value), as of the latest practicable date, April 20, 2012, is 255,094,745</w:t>
      </w:r>
      <w:r>
        <w:rPr>
          <w:rFonts w:ascii="Arial" w:cs="Arial" w:eastAsia="Arial" w:hAnsi="Arial"/>
          <w:sz w:val="15"/>
          <w:szCs w:val="15"/>
          <w:b w:val="1"/>
          <w:bCs w:val="1"/>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1"/>
              </w:rPr>
              <w:t>12/31/2011</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6"/>
              </w:rPr>
              <w:t>3/31/2012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897.9</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764.5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investments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3,770.3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Accrued compensation and related costs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Customer deposits at savings bank subsidiary</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8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Preferred stock, undesignated, $.20 par value—authorized and unissued 20,000,000 shares</w:t>
            </w:r>
          </w:p>
        </w:tc>
        <w:tc>
          <w:tcPr>
            <w:tcW w:w="14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$.20 par value—authorized 750,000,000; issued 253,272,000 shares in 2011 and 254,936,000 in 2012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Additional capital in excess of par value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3,420.7</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3,770.3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STATEMENTS OF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ind w:left="1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6"/>
              </w:rPr>
              <w:t>3/31/2011</w:t>
            </w:r>
          </w:p>
        </w:tc>
        <w:tc>
          <w:tcPr>
            <w:tcW w:w="4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3"/>
              </w:rPr>
              <w:t>3/31/2012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588.8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Distribution and servicing fees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 of savings bank subsidiary</w:t>
            </w:r>
          </w:p>
        </w:tc>
        <w:tc>
          <w:tcPr>
            <w:tcW w:w="2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Net revenues</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682.4</w:t>
            </w: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Compensation and related costs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242.9</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Advertising and promotion</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Distribution and servicing costs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2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370.9</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311.5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020" w:type="dxa"/>
            <w:vAlign w:val="bottom"/>
            <w:gridSpan w:val="2"/>
          </w:tcPr>
          <w:p>
            <w:pPr>
              <w:spacing w:after="0"/>
              <w:rPr>
                <w:sz w:val="20"/>
                <w:szCs w:val="20"/>
                <w:color w:val="auto"/>
              </w:rPr>
            </w:pPr>
            <w:r>
              <w:rPr>
                <w:rFonts w:ascii="Arial" w:cs="Arial" w:eastAsia="Arial" w:hAnsi="Arial"/>
                <w:sz w:val="18"/>
                <w:szCs w:val="18"/>
                <w:color w:val="auto"/>
              </w:rPr>
              <w:t>Non-operating investment income</w:t>
            </w:r>
          </w:p>
        </w:tc>
        <w:tc>
          <w:tcPr>
            <w:tcW w:w="2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315.4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120.8</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194.6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2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vMerge w:val="continue"/>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80" w:right="239" w:bottom="1440" w:gutter="0" w:footer="0" w:header="0"/>
        </w:sectPr>
      </w:pPr>
    </w:p>
    <w:bookmarkStart w:id="3" w:name="page4"/>
    <w:bookmarkEnd w:id="3"/>
    <w:p>
      <w:pPr>
        <w:ind w:right="4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STATEMENTS OF COMPREHENSIVE INCOME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60" w:type="dxa"/>
            <w:vAlign w:val="bottom"/>
            <w:gridSpan w:val="5"/>
          </w:tcPr>
          <w:p>
            <w:pPr>
              <w:jc w:val="right"/>
              <w:ind w:right="340"/>
              <w:spacing w:after="0"/>
              <w:rPr>
                <w:sz w:val="20"/>
                <w:szCs w:val="20"/>
                <w:color w:val="auto"/>
              </w:rPr>
            </w:pPr>
            <w:r>
              <w:rPr>
                <w:rFonts w:ascii="Arial" w:cs="Arial" w:eastAsia="Arial" w:hAnsi="Arial"/>
                <w:sz w:val="14"/>
                <w:szCs w:val="14"/>
                <w:color w:val="auto"/>
              </w:rPr>
              <w:t>Three months ended</w:t>
            </w: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3/31/2011</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3/31/2012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$ 194.6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unrealized holding gains (losses) on</w:t>
            </w:r>
          </w:p>
        </w:tc>
        <w:tc>
          <w:tcPr>
            <w:tcW w:w="1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Investments in sponsored mutual funds</w:t>
            </w:r>
          </w:p>
        </w:tc>
        <w:tc>
          <w:tcPr>
            <w:tcW w:w="2440" w:type="dxa"/>
            <w:vAlign w:val="bottom"/>
            <w:gridSpan w:val="3"/>
          </w:tcPr>
          <w:p>
            <w:pPr>
              <w:jc w:val="right"/>
              <w:ind w:right="240"/>
              <w:spacing w:after="0"/>
              <w:rPr>
                <w:sz w:val="20"/>
                <w:szCs w:val="20"/>
                <w:color w:val="auto"/>
              </w:rPr>
            </w:pPr>
            <w:r>
              <w:rPr>
                <w:rFonts w:ascii="Arial" w:cs="Arial" w:eastAsia="Arial" w:hAnsi="Arial"/>
                <w:sz w:val="18"/>
                <w:szCs w:val="18"/>
                <w:color w:val="auto"/>
              </w:rPr>
              <w:t>26.1</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72.3</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securities held by savings bank subsidiary</w:t>
            </w:r>
          </w:p>
        </w:tc>
        <w:tc>
          <w:tcPr>
            <w:tcW w:w="1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22"/>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Total net unrealized holding gains (losses) recognized in other comprehensive income</w:t>
            </w:r>
          </w:p>
        </w:tc>
        <w:tc>
          <w:tcPr>
            <w:tcW w:w="16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 translation adjustment</w:t>
            </w:r>
          </w:p>
        </w:tc>
        <w:tc>
          <w:tcPr>
            <w:tcW w:w="1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r>
      <w:tr>
        <w:trPr>
          <w:trHeight w:val="221"/>
        </w:trPr>
        <w:tc>
          <w:tcPr>
            <w:tcW w:w="812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 before income taxes</w:t>
            </w:r>
          </w:p>
        </w:tc>
        <w:tc>
          <w:tcPr>
            <w:tcW w:w="16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benefits (income taxes)</w:t>
            </w:r>
          </w:p>
        </w:tc>
        <w:tc>
          <w:tcPr>
            <w:tcW w:w="1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16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$ 209.9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$ 233.8</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80" w:right="239" w:bottom="1440" w:gutter="0" w:footer="0" w:header="0"/>
        </w:sectPr>
      </w:pPr>
    </w:p>
    <w:bookmarkStart w:id="4" w:name="page5"/>
    <w:bookmarkEnd w:id="4"/>
    <w:p>
      <w:pPr>
        <w:ind w:right="5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STATEMENTS OF CASH FLOWS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93"/>
              </w:rPr>
              <w:t>3/31/2011</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w w:val="89"/>
              </w:rPr>
              <w:t>3/31/2012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194.6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Depreciation and amortization of property and equipment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Intangible asset amortization</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changes in assets and liabilities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336.0</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Investments in debt securities held by savings bank subsidiary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debt securities held by savings bank subsidiary</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Additions to property and equipment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investing activity</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 issuances under stock-based compensation plans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 plans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Change in savings bank subsidiary deposits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during period</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At beginning of year</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813.1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end of period</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80" w:right="239" w:bottom="1440" w:gutter="0" w:footer="0" w:header="0"/>
        </w:sectPr>
      </w:pPr>
    </w:p>
    <w:bookmarkStart w:id="5" w:name="page6"/>
    <w:bookmarkEnd w:id="5"/>
    <w:p>
      <w:pPr>
        <w:ind w:right="4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 OF STOCKHOLDERS’ EQUITY (shares in thousands; dollars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Additional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color w:val="auto"/>
                <w:w w:val="88"/>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7"/>
              </w:rPr>
              <w:t>Common</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capital in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7"/>
              </w:rPr>
              <w:t>other</w:t>
            </w:r>
          </w:p>
        </w:tc>
        <w:tc>
          <w:tcPr>
            <w:tcW w:w="18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Total</w:t>
            </w:r>
          </w:p>
        </w:tc>
      </w:tr>
      <w:tr>
        <w:trPr>
          <w:trHeight w:val="149"/>
        </w:trPr>
        <w:tc>
          <w:tcPr>
            <w:tcW w:w="46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0"/>
              </w:rPr>
              <w:t>shares</w:t>
            </w:r>
          </w:p>
        </w:tc>
        <w:tc>
          <w:tcPr>
            <w:tcW w:w="14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7"/>
              </w:rPr>
              <w:t>Common</w:t>
            </w: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4"/>
              </w:rPr>
              <w:t>excess of par</w:t>
            </w:r>
          </w:p>
        </w:tc>
        <w:tc>
          <w:tcPr>
            <w:tcW w:w="14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2"/>
              </w:rPr>
              <w:t>Retained</w:t>
            </w:r>
          </w:p>
        </w:tc>
        <w:tc>
          <w:tcPr>
            <w:tcW w:w="12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6"/>
              </w:rPr>
              <w:t>comprehensive</w:t>
            </w: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7"/>
              </w:rPr>
              <w:t>stockholders’</w:t>
            </w:r>
          </w:p>
        </w:tc>
      </w:tr>
      <w:tr>
        <w:trPr>
          <w:trHeight w:val="159"/>
        </w:trPr>
        <w:tc>
          <w:tcPr>
            <w:tcW w:w="468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85"/>
              </w:rPr>
              <w:t>outstanding</w:t>
            </w:r>
          </w:p>
        </w:tc>
        <w:tc>
          <w:tcPr>
            <w:tcW w:w="140" w:type="dxa"/>
            <w:vAlign w:val="bottom"/>
          </w:tcPr>
          <w:p>
            <w:pPr>
              <w:spacing w:after="0"/>
              <w:rPr>
                <w:sz w:val="13"/>
                <w:szCs w:val="13"/>
                <w:color w:val="auto"/>
              </w:rPr>
            </w:pPr>
          </w:p>
        </w:tc>
        <w:tc>
          <w:tcPr>
            <w:tcW w:w="1000" w:type="dxa"/>
            <w:vAlign w:val="bottom"/>
            <w:gridSpan w:val="2"/>
          </w:tcPr>
          <w:p>
            <w:pPr>
              <w:jc w:val="center"/>
              <w:ind w:right="380"/>
              <w:spacing w:after="0" w:line="159" w:lineRule="exact"/>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3"/>
                <w:szCs w:val="13"/>
                <w:color w:val="auto"/>
              </w:rPr>
            </w:pPr>
          </w:p>
        </w:tc>
        <w:tc>
          <w:tcPr>
            <w:tcW w:w="1080" w:type="dxa"/>
            <w:vAlign w:val="bottom"/>
            <w:gridSpan w:val="2"/>
          </w:tcPr>
          <w:p>
            <w:pPr>
              <w:jc w:val="center"/>
              <w:ind w:right="380"/>
              <w:spacing w:after="0" w:line="159" w:lineRule="exact"/>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3"/>
                <w:szCs w:val="13"/>
                <w:color w:val="auto"/>
              </w:rPr>
            </w:pPr>
          </w:p>
        </w:tc>
        <w:tc>
          <w:tcPr>
            <w:tcW w:w="9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3"/>
              </w:rPr>
              <w:t>earnings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420"/>
              <w:spacing w:after="0" w:line="159" w:lineRule="exact"/>
              <w:rPr>
                <w:sz w:val="20"/>
                <w:szCs w:val="20"/>
                <w:color w:val="auto"/>
              </w:rPr>
            </w:pPr>
            <w:r>
              <w:rPr>
                <w:rFonts w:ascii="Arial" w:cs="Arial" w:eastAsia="Arial" w:hAnsi="Arial"/>
                <w:sz w:val="14"/>
                <w:szCs w:val="14"/>
                <w:color w:val="auto"/>
                <w:w w:val="88"/>
              </w:rPr>
              <w:t>income</w:t>
            </w:r>
          </w:p>
        </w:tc>
        <w:tc>
          <w:tcPr>
            <w:tcW w:w="180" w:type="dxa"/>
            <w:vAlign w:val="bottom"/>
          </w:tcPr>
          <w:p>
            <w:pPr>
              <w:spacing w:after="0"/>
              <w:rPr>
                <w:sz w:val="13"/>
                <w:szCs w:val="13"/>
                <w:color w:val="auto"/>
              </w:rPr>
            </w:pPr>
          </w:p>
        </w:tc>
        <w:tc>
          <w:tcPr>
            <w:tcW w:w="82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equity</w:t>
            </w:r>
          </w:p>
        </w:tc>
      </w:tr>
      <w:tr>
        <w:trPr>
          <w:trHeight w:val="210"/>
        </w:trPr>
        <w:tc>
          <w:tcPr>
            <w:tcW w:w="4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at December 31, 2011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253,272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Dividends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(86.8)</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Common stock-based compensation plans activity</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Shares issued upon option exercises</w:t>
            </w:r>
          </w:p>
        </w:tc>
        <w:tc>
          <w:tcPr>
            <w:tcW w:w="860" w:type="dxa"/>
            <w:vAlign w:val="bottom"/>
          </w:tcPr>
          <w:p>
            <w:pPr>
              <w:jc w:val="right"/>
              <w:spacing w:after="0"/>
              <w:rPr>
                <w:sz w:val="20"/>
                <w:szCs w:val="20"/>
                <w:color w:val="auto"/>
              </w:rPr>
            </w:pPr>
            <w:r>
              <w:rPr>
                <w:rFonts w:ascii="Arial" w:cs="Arial" w:eastAsia="Arial" w:hAnsi="Arial"/>
                <w:sz w:val="18"/>
                <w:szCs w:val="18"/>
                <w:color w:val="auto"/>
              </w:rPr>
              <w:t>1,285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Restricted shares issued, net of shares withheld for taxes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Shares issued upon vesting of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Forfeiture of restricted awards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Net tax benefits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23"/>
        </w:trPr>
        <w:tc>
          <w:tcPr>
            <w:tcW w:w="4680" w:type="dxa"/>
            <w:vAlign w:val="bottom"/>
          </w:tcPr>
          <w:p>
            <w:pPr>
              <w:ind w:left="220"/>
              <w:spacing w:after="0"/>
              <w:rPr>
                <w:sz w:val="20"/>
                <w:szCs w:val="20"/>
                <w:color w:val="auto"/>
              </w:rPr>
            </w:pPr>
            <w:r>
              <w:rPr>
                <w:rFonts w:ascii="Arial" w:cs="Arial" w:eastAsia="Arial" w:hAnsi="Arial"/>
                <w:sz w:val="18"/>
                <w:szCs w:val="18"/>
                <w:color w:val="auto"/>
              </w:rPr>
              <w:t>Common shares repurchased</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Balances at March 31,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2,875.9</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3,630.1</w:t>
            </w:r>
          </w:p>
        </w:tc>
      </w:tr>
      <w:tr>
        <w:trPr>
          <w:trHeight w:val="20"/>
        </w:trPr>
        <w:tc>
          <w:tcPr>
            <w:tcW w:w="4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6" w:name="page7"/>
    <w:bookmarkEnd w:id="6"/>
    <w:p>
      <w:pPr>
        <w:ind w:right="4840"/>
        <w:spacing w:after="0" w:line="3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CONDENSED CONSOLIDATED FINANCIAL STATEMENTS NOTE 1—THE COMPANY AND BASIS OF PREPARATION.</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including separately managed accounts, sub-advised funds, and other sponsored investment products. We also provide our investment advisory clients with related administrative services, including mutual fund transfer agent, accounting and shareholder services; participant recordkeeping and transfer agent services for defined contribution retirement plans; brokerage; and trust services.</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3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2011 Annual Report.</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January 1, 2012, we adopted new financial reporting guidance related to the presentation of comprehensive income in our consolidated financial statements. The new guidance requires net income and other comprehensive income to be presented either in a single-continuous statement or in two separate, but consecutive, statements of income and comprehensive income. We elected to present comprehensive income in a separate statement following our unaudited condensed consolidated statements of income. Additional disclosures required by this new guidance are included in Note 9. We also adopted new financial reporting guidance that clarified how to measure financial instruments at fair value and expanded the required fair value measurement disclosures. The adoption of the new measurement guidance did not have an impact on our consolidated financial statements. However, we now disclose in Note 6 the level of the fair value hierarchy in which the inputs used in determining the disclosed fair value of customer deposits at our savings bank subsidiary can be categorized.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NOTE 2—INFORMATION ABOUT RECEIVABLES, REVENUES, AND SERVICES.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$155.9 million at December 31, 2011, and $174.2 million at March 31, 2012.</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Revenues (in millions) from advisory services provided under agreements with our sponsored mutual funds and other investment clients include: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20" w:type="dxa"/>
            <w:vAlign w:val="bottom"/>
            <w:gridSpan w:val="4"/>
          </w:tcPr>
          <w:p>
            <w:pPr>
              <w:ind w:left="260"/>
              <w:spacing w:after="0"/>
              <w:rPr>
                <w:sz w:val="20"/>
                <w:szCs w:val="20"/>
                <w:color w:val="auto"/>
              </w:rPr>
            </w:pPr>
            <w:r>
              <w:rPr>
                <w:rFonts w:ascii="Arial" w:cs="Arial" w:eastAsia="Arial" w:hAnsi="Arial"/>
                <w:sz w:val="14"/>
                <w:szCs w:val="14"/>
                <w:color w:val="auto"/>
              </w:rPr>
              <w:t>Three months ended</w:t>
            </w:r>
          </w:p>
        </w:tc>
      </w:tr>
      <w:tr>
        <w:trPr>
          <w:trHeight w:val="142"/>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3/31/2011</w:t>
            </w:r>
          </w:p>
        </w:tc>
        <w:tc>
          <w:tcPr>
            <w:tcW w:w="5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3/31/2012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1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Stock and blended asset</w:t>
            </w:r>
          </w:p>
        </w:tc>
        <w:tc>
          <w:tcPr>
            <w:tcW w:w="2980" w:type="dxa"/>
            <w:vAlign w:val="bottom"/>
            <w:gridSpan w:val="3"/>
          </w:tcPr>
          <w:p>
            <w:pPr>
              <w:jc w:val="right"/>
              <w:ind w:right="520"/>
              <w:spacing w:after="0"/>
              <w:rPr>
                <w:sz w:val="20"/>
                <w:szCs w:val="20"/>
                <w:color w:val="auto"/>
              </w:rPr>
            </w:pPr>
            <w:r>
              <w:rPr>
                <w:rFonts w:ascii="Arial" w:cs="Arial" w:eastAsia="Arial" w:hAnsi="Arial"/>
                <w:sz w:val="18"/>
                <w:szCs w:val="18"/>
                <w:color w:val="auto"/>
              </w:rPr>
              <w:t>$ 327.0</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$ 344.1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Bond and money market</w:t>
            </w:r>
          </w:p>
        </w:tc>
        <w:tc>
          <w:tcPr>
            <w:tcW w:w="19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980" w:type="dxa"/>
            <w:vAlign w:val="bottom"/>
            <w:gridSpan w:val="3"/>
          </w:tcPr>
          <w:p>
            <w:pPr>
              <w:jc w:val="right"/>
              <w:ind w:right="520"/>
              <w:spacing w:after="0"/>
              <w:rPr>
                <w:sz w:val="20"/>
                <w:szCs w:val="20"/>
                <w:color w:val="auto"/>
              </w:rPr>
            </w:pPr>
            <w:r>
              <w:rPr>
                <w:rFonts w:ascii="Arial" w:cs="Arial" w:eastAsia="Arial" w:hAnsi="Arial"/>
                <w:sz w:val="18"/>
                <w:szCs w:val="18"/>
                <w:color w:val="auto"/>
              </w:rPr>
              <w:t>400.5</w:t>
            </w:r>
          </w:p>
        </w:tc>
        <w:tc>
          <w:tcPr>
            <w:tcW w:w="540" w:type="dxa"/>
            <w:vAlign w:val="bottom"/>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Stock and blended asset</w:t>
            </w:r>
          </w:p>
        </w:tc>
        <w:tc>
          <w:tcPr>
            <w:tcW w:w="2980" w:type="dxa"/>
            <w:vAlign w:val="bottom"/>
            <w:gridSpan w:val="3"/>
          </w:tcPr>
          <w:p>
            <w:pPr>
              <w:jc w:val="right"/>
              <w:ind w:right="520"/>
              <w:spacing w:after="0"/>
              <w:rPr>
                <w:sz w:val="20"/>
                <w:szCs w:val="20"/>
                <w:color w:val="auto"/>
              </w:rPr>
            </w:pPr>
            <w:r>
              <w:rPr>
                <w:rFonts w:ascii="Arial" w:cs="Arial" w:eastAsia="Arial" w:hAnsi="Arial"/>
                <w:sz w:val="18"/>
                <w:szCs w:val="18"/>
                <w:color w:val="auto"/>
              </w:rPr>
              <w:t>154.8</w:t>
            </w:r>
          </w:p>
        </w:tc>
        <w:tc>
          <w:tcPr>
            <w:tcW w:w="54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Bond, money market, and stable value</w:t>
            </w:r>
          </w:p>
        </w:tc>
        <w:tc>
          <w:tcPr>
            <w:tcW w:w="19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52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$ 588.8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$ 623.0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various investment portfolios and assets under management (in billions) on which we earn advisory fees.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color w:val="auto"/>
              </w:rPr>
              <w:t>Average during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00" w:type="dxa"/>
            <w:vAlign w:val="bottom"/>
            <w:gridSpan w:val="5"/>
          </w:tcPr>
          <w:p>
            <w:pPr>
              <w:jc w:val="right"/>
              <w:ind w:right="560"/>
              <w:spacing w:after="0" w:line="159" w:lineRule="exact"/>
              <w:rPr>
                <w:sz w:val="20"/>
                <w:szCs w:val="20"/>
                <w:color w:val="auto"/>
              </w:rPr>
            </w:pPr>
            <w:r>
              <w:rPr>
                <w:rFonts w:ascii="Arial" w:cs="Arial" w:eastAsia="Arial" w:hAnsi="Arial"/>
                <w:sz w:val="14"/>
                <w:szCs w:val="14"/>
                <w:color w:val="auto"/>
              </w:rPr>
              <w:t>the first quarter</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color w:val="auto"/>
              </w:rPr>
              <w:t>2011</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color w:val="auto"/>
              </w:rPr>
              <w:t>2012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12/31/2011</w:t>
            </w: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3/31/2012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18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Stock and blended asset</w:t>
            </w:r>
          </w:p>
        </w:tc>
        <w:tc>
          <w:tcPr>
            <w:tcW w:w="2580" w:type="dxa"/>
            <w:vAlign w:val="bottom"/>
            <w:gridSpan w:val="3"/>
          </w:tcPr>
          <w:p>
            <w:pPr>
              <w:jc w:val="right"/>
              <w:ind w:right="240"/>
              <w:spacing w:after="0"/>
              <w:rPr>
                <w:sz w:val="20"/>
                <w:szCs w:val="20"/>
                <w:color w:val="auto"/>
              </w:rPr>
            </w:pPr>
            <w:r>
              <w:rPr>
                <w:rFonts w:ascii="Arial" w:cs="Arial" w:eastAsia="Arial" w:hAnsi="Arial"/>
                <w:sz w:val="18"/>
                <w:szCs w:val="18"/>
                <w:color w:val="auto"/>
              </w:rPr>
              <w:t>$220.8</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$232.1</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Bond and money market</w:t>
            </w:r>
          </w:p>
        </w:tc>
        <w:tc>
          <w:tcPr>
            <w:tcW w:w="1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312.4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289.4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8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Stock and blended asset</w:t>
            </w:r>
          </w:p>
        </w:tc>
        <w:tc>
          <w:tcPr>
            <w:tcW w:w="2580" w:type="dxa"/>
            <w:vAlign w:val="bottom"/>
            <w:gridSpan w:val="3"/>
          </w:tcPr>
          <w:p>
            <w:pPr>
              <w:jc w:val="right"/>
              <w:ind w:right="240"/>
              <w:spacing w:after="0"/>
              <w:rPr>
                <w:sz w:val="20"/>
                <w:szCs w:val="20"/>
                <w:color w:val="auto"/>
              </w:rPr>
            </w:pPr>
            <w:r>
              <w:rPr>
                <w:rFonts w:ascii="Arial" w:cs="Arial" w:eastAsia="Arial" w:hAnsi="Arial"/>
                <w:sz w:val="18"/>
                <w:szCs w:val="18"/>
                <w:color w:val="auto"/>
              </w:rPr>
              <w:t>154.6</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156.0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Bond, money market, and stable value</w:t>
            </w:r>
          </w:p>
        </w:tc>
        <w:tc>
          <w:tcPr>
            <w:tcW w:w="1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217.9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498.4</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530.3</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Investors that we serve are primarily domiciled in the United States of America; investment advisory clients outside the United States account for 11% of our assets under management at March 31, 2012.</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Fees for advisory-related administrative and distribution services provided to our sponsored mutual funds during the first quarter were $75.0 million in 2011 and $86.9 million in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3—INVESTMENTS IN SPONSORED MUTUAL FUNDS.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auto"/>
                <w:w w:val="83"/>
              </w:rPr>
              <w:t>Aggregate</w:t>
            </w:r>
          </w:p>
        </w:tc>
        <w:tc>
          <w:tcPr>
            <w:tcW w:w="480" w:type="dxa"/>
            <w:vAlign w:val="bottom"/>
          </w:tcPr>
          <w:p>
            <w:pPr>
              <w:spacing w:after="0"/>
              <w:rPr>
                <w:sz w:val="14"/>
                <w:szCs w:val="14"/>
                <w:color w:val="auto"/>
              </w:rPr>
            </w:pPr>
          </w:p>
        </w:tc>
        <w:tc>
          <w:tcPr>
            <w:tcW w:w="1640" w:type="dxa"/>
            <w:vAlign w:val="bottom"/>
            <w:gridSpan w:val="5"/>
          </w:tcPr>
          <w:p>
            <w:pPr>
              <w:jc w:val="right"/>
              <w:ind w:right="420"/>
              <w:spacing w:after="0"/>
              <w:rPr>
                <w:sz w:val="20"/>
                <w:szCs w:val="20"/>
                <w:color w:val="auto"/>
              </w:rPr>
            </w:pPr>
            <w:r>
              <w:rPr>
                <w:rFonts w:ascii="Arial" w:cs="Arial" w:eastAsia="Arial" w:hAnsi="Arial"/>
                <w:sz w:val="14"/>
                <w:szCs w:val="14"/>
                <w:color w:val="auto"/>
              </w:rPr>
              <w:t>Unrealized holding</w:t>
            </w:r>
          </w:p>
        </w:tc>
        <w:tc>
          <w:tcPr>
            <w:tcW w:w="2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color w:val="auto"/>
                <w:w w:val="99"/>
              </w:rPr>
              <w:t>Aggregate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ind w:left="60"/>
              <w:spacing w:after="0" w:line="159" w:lineRule="exact"/>
              <w:rPr>
                <w:sz w:val="20"/>
                <w:szCs w:val="20"/>
                <w:color w:val="auto"/>
              </w:rPr>
            </w:pPr>
            <w:r>
              <w:rPr>
                <w:rFonts w:ascii="Arial" w:cs="Arial" w:eastAsia="Arial" w:hAnsi="Arial"/>
                <w:sz w:val="14"/>
                <w:szCs w:val="14"/>
                <w:color w:val="auto"/>
              </w:rPr>
              <w:t>cost</w:t>
            </w:r>
          </w:p>
        </w:tc>
        <w:tc>
          <w:tcPr>
            <w:tcW w:w="480" w:type="dxa"/>
            <w:vAlign w:val="bottom"/>
          </w:tcPr>
          <w:p>
            <w:pPr>
              <w:spacing w:after="0"/>
              <w:rPr>
                <w:sz w:val="13"/>
                <w:szCs w:val="13"/>
                <w:color w:val="auto"/>
              </w:rPr>
            </w:pPr>
          </w:p>
        </w:tc>
        <w:tc>
          <w:tcPr>
            <w:tcW w:w="1000" w:type="dxa"/>
            <w:vAlign w:val="bottom"/>
            <w:gridSpan w:val="2"/>
          </w:tcPr>
          <w:p>
            <w:pPr>
              <w:jc w:val="right"/>
              <w:ind w:right="600"/>
              <w:spacing w:after="0" w:line="159" w:lineRule="exact"/>
              <w:rPr>
                <w:sz w:val="20"/>
                <w:szCs w:val="20"/>
                <w:color w:val="auto"/>
              </w:rPr>
            </w:pPr>
            <w:r>
              <w:rPr>
                <w:rFonts w:ascii="Arial" w:cs="Arial" w:eastAsia="Arial" w:hAnsi="Arial"/>
                <w:sz w:val="14"/>
                <w:szCs w:val="14"/>
                <w:color w:val="auto"/>
              </w:rPr>
              <w:t>gains</w:t>
            </w:r>
          </w:p>
        </w:tc>
        <w:tc>
          <w:tcPr>
            <w:tcW w:w="64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w w:val="80"/>
              </w:rPr>
              <w:t>losses</w:t>
            </w:r>
          </w:p>
        </w:tc>
        <w:tc>
          <w:tcPr>
            <w:tcW w:w="220" w:type="dxa"/>
            <w:vAlign w:val="bottom"/>
          </w:tcPr>
          <w:p>
            <w:pPr>
              <w:spacing w:after="0"/>
              <w:rPr>
                <w:sz w:val="13"/>
                <w:szCs w:val="13"/>
                <w:color w:val="auto"/>
              </w:rPr>
            </w:pPr>
          </w:p>
        </w:tc>
        <w:tc>
          <w:tcPr>
            <w:tcW w:w="66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December 31, 2011</w:t>
            </w: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40"/>
              <w:spacing w:after="0"/>
              <w:rPr>
                <w:sz w:val="20"/>
                <w:szCs w:val="20"/>
                <w:color w:val="auto"/>
              </w:rPr>
            </w:pPr>
            <w:r>
              <w:rPr>
                <w:rFonts w:ascii="Arial" w:cs="Arial" w:eastAsia="Arial" w:hAnsi="Arial"/>
                <w:sz w:val="18"/>
                <w:szCs w:val="18"/>
                <w:color w:val="auto"/>
                <w:w w:val="84"/>
              </w:rPr>
              <w:t>281.7</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$137.0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310.6</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4"/>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40"/>
              <w:spacing w:after="0"/>
              <w:rPr>
                <w:sz w:val="20"/>
                <w:szCs w:val="20"/>
                <w:color w:val="auto"/>
              </w:rPr>
            </w:pPr>
            <w:r>
              <w:rPr>
                <w:rFonts w:ascii="Arial" w:cs="Arial" w:eastAsia="Arial" w:hAnsi="Arial"/>
                <w:sz w:val="18"/>
                <w:szCs w:val="18"/>
                <w:color w:val="auto"/>
                <w:w w:val="84"/>
              </w:rPr>
              <w:t>592.3</w:t>
            </w:r>
          </w:p>
        </w:tc>
        <w:tc>
          <w:tcPr>
            <w:tcW w:w="4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March 31, 2012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40"/>
              <w:spacing w:after="0"/>
              <w:rPr>
                <w:sz w:val="20"/>
                <w:szCs w:val="20"/>
                <w:color w:val="auto"/>
              </w:rPr>
            </w:pPr>
            <w:r>
              <w:rPr>
                <w:rFonts w:ascii="Arial" w:cs="Arial" w:eastAsia="Arial" w:hAnsi="Arial"/>
                <w:sz w:val="18"/>
                <w:szCs w:val="18"/>
                <w:color w:val="auto"/>
                <w:w w:val="84"/>
              </w:rPr>
              <w:t>281.7</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$199.0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310.6</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4"/>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40"/>
              <w:spacing w:after="0"/>
              <w:rPr>
                <w:sz w:val="20"/>
                <w:szCs w:val="20"/>
                <w:color w:val="auto"/>
              </w:rPr>
            </w:pPr>
            <w:r>
              <w:rPr>
                <w:rFonts w:ascii="Arial" w:cs="Arial" w:eastAsia="Arial" w:hAnsi="Arial"/>
                <w:sz w:val="18"/>
                <w:szCs w:val="18"/>
                <w:color w:val="auto"/>
                <w:w w:val="84"/>
              </w:rPr>
              <w:t>592.3</w:t>
            </w:r>
          </w:p>
        </w:tc>
        <w:tc>
          <w:tcPr>
            <w:tcW w:w="4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unrealized holding losses at March 31, 2012, are attributable to two fund holdings with an aggregate fair value of $35.9 million and are considered temporary.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NOTE 4—DEBT SECURITIES HELD BY SAVINGS BANK SUBSIDIARY.</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5"/>
              </w:rPr>
              <w:t>12/31/2011</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3/31/2012</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Unrealized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holding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holding</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7"/>
              <w:spacing w:after="0" w:line="149" w:lineRule="exact"/>
              <w:rPr>
                <w:sz w:val="20"/>
                <w:szCs w:val="20"/>
                <w:color w:val="auto"/>
              </w:rPr>
            </w:pPr>
            <w:r>
              <w:rPr>
                <w:rFonts w:ascii="Arial" w:cs="Arial" w:eastAsia="Arial" w:hAnsi="Arial"/>
                <w:sz w:val="14"/>
                <w:szCs w:val="14"/>
                <w:color w:val="auto"/>
              </w:rPr>
              <w:t>Fair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9"/>
              </w:rPr>
              <w:t>gains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Fair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3"/>
              </w:rPr>
              <w:t>gains</w:t>
            </w:r>
          </w:p>
        </w:tc>
        <w:tc>
          <w:tcPr>
            <w:tcW w:w="0" w:type="dxa"/>
            <w:vAlign w:val="bottom"/>
          </w:tcPr>
          <w:p>
            <w:pPr>
              <w:spacing w:after="0"/>
              <w:rPr>
                <w:sz w:val="1"/>
                <w:szCs w:val="1"/>
                <w:color w:val="auto"/>
              </w:rPr>
            </w:pPr>
          </w:p>
        </w:tc>
      </w:tr>
      <w:tr>
        <w:trPr>
          <w:trHeight w:val="159"/>
        </w:trPr>
        <w:tc>
          <w:tcPr>
            <w:tcW w:w="6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37"/>
              <w:spacing w:after="0" w:line="159" w:lineRule="exact"/>
              <w:rPr>
                <w:sz w:val="20"/>
                <w:szCs w:val="20"/>
                <w:color w:val="auto"/>
              </w:rPr>
            </w:pPr>
            <w:r>
              <w:rPr>
                <w:rFonts w:ascii="Arial" w:cs="Arial" w:eastAsia="Arial" w:hAnsi="Arial"/>
                <w:sz w:val="14"/>
                <w:szCs w:val="14"/>
                <w:color w:val="auto"/>
                <w:w w:val="83"/>
              </w:rPr>
              <w:t>value</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5"/>
              </w:rPr>
              <w:t>(losses)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9"/>
              </w:rPr>
              <w:t>value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1"/>
              </w:rPr>
              <w:t>(losses)</w:t>
            </w:r>
          </w:p>
        </w:tc>
        <w:tc>
          <w:tcPr>
            <w:tcW w:w="0" w:type="dxa"/>
            <w:vAlign w:val="bottom"/>
          </w:tcPr>
          <w:p>
            <w:pPr>
              <w:spacing w:after="0"/>
              <w:rPr>
                <w:sz w:val="1"/>
                <w:szCs w:val="1"/>
                <w:color w:val="auto"/>
              </w:rPr>
            </w:pPr>
          </w:p>
        </w:tc>
      </w:tr>
      <w:tr>
        <w:trPr>
          <w:trHeight w:val="188"/>
        </w:trPr>
        <w:tc>
          <w:tcPr>
            <w:tcW w:w="65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Investments with temporary</w:t>
            </w: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impairment (35 securities in 2012) of</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Arial" w:cs="Arial" w:eastAsia="Arial" w:hAnsi="Arial"/>
                <w:sz w:val="18"/>
                <w:szCs w:val="18"/>
                <w:color w:val="auto"/>
              </w:rPr>
              <w:t>Less than 12 months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months or more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169.3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159.9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198.4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183.2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195.3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179.7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80" w:right="239" w:bottom="1440" w:gutter="0" w:footer="0" w:header="0"/>
        </w:sectPr>
      </w:pPr>
    </w:p>
    <w:bookmarkStart w:id="8" w:name="page9"/>
    <w:bookmarkEnd w:id="8"/>
    <w:p>
      <w:pPr>
        <w:jc w:val="both"/>
        <w:ind w:right="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more-likely-than not that we will not be required to sell any of these securities before recovery of their amortized cost. Accordingly, impairment of these investments is considered temporary.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NOTE 5—OTHER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12/31/2011</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3/31/2012</w:t>
            </w:r>
          </w:p>
        </w:tc>
        <w:tc>
          <w:tcPr>
            <w:tcW w:w="100" w:type="dxa"/>
            <w:vAlign w:val="bottom"/>
          </w:tcPr>
          <w:p>
            <w:pPr>
              <w:spacing w:after="0"/>
              <w:rPr>
                <w:sz w:val="14"/>
                <w:szCs w:val="14"/>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 method investments</w:t>
            </w: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10% interest in Daiwa SB Investments Ltd. (Japan)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26% interest in UTI Asset Management Company Limited (India)</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135.9</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as trading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Sponsored mutual fund investments</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held by consolidated sponsored mutual funds</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U.S. Treasury note</w:t>
            </w: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206.3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280.3</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securities held by consolidated sponsored mutual funds relate to newly formed funds in which we provided seed capital in the first quarter of 2012 and have a controlling financial interest.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6—FAIR VALUE MEASUREMENTS.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5" w:lineRule="exact"/>
        <w:rPr>
          <w:sz w:val="20"/>
          <w:szCs w:val="20"/>
          <w:color w:val="auto"/>
        </w:rPr>
      </w:pPr>
    </w:p>
    <w:p>
      <w:pPr>
        <w:ind w:left="920" w:right="220" w:hanging="41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920" w:right="320" w:hanging="419"/>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3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in or out of the levels. The following table summarizes our investments (in millions) that are recognized in our balance sheet using fair value measurements determined based on the differing levels of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Level 1</w:t>
            </w:r>
          </w:p>
        </w:tc>
        <w:tc>
          <w:tcPr>
            <w:tcW w:w="600" w:type="dxa"/>
            <w:vAlign w:val="bottom"/>
            <w:gridSpan w:val="3"/>
          </w:tcPr>
          <w:p>
            <w:pPr>
              <w:ind w:left="40"/>
              <w:spacing w:after="0"/>
              <w:rPr>
                <w:sz w:val="20"/>
                <w:szCs w:val="20"/>
                <w:color w:val="auto"/>
              </w:rPr>
            </w:pPr>
            <w:r>
              <w:rPr>
                <w:rFonts w:ascii="Arial" w:cs="Arial" w:eastAsia="Arial" w:hAnsi="Arial"/>
                <w:sz w:val="14"/>
                <w:szCs w:val="14"/>
                <w:color w:val="auto"/>
              </w:rPr>
              <w:t>Level 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December 31, 2011</w:t>
            </w: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Cash equivalents</w:t>
            </w:r>
          </w:p>
        </w:tc>
        <w:tc>
          <w:tcPr>
            <w:tcW w:w="5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823.2</w:t>
            </w: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Investments held as trading</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1,592.1</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March 31, 2012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984.2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Investments held as trading</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1,834.1</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Customer deposits at our savings bank subsidiary are not measured at fair value in our consolidated balance sheet. The estimated fair value of these deposits, based on discounting expected cash outflows at maturity dates that range up to five years, using current interest rates offered for deposits with the same dates of maturity, was $176.9 million at December 31, 2011, and $174.5 million at March 31, 2012. The fair value was determined using Level 2 inputs.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7—STOCK-BASED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quarter of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w w:val="8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4"/>
              </w:rPr>
              <w:t>exercise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10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Options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5"/>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39,239,722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Semiannual grants</w:t>
            </w:r>
          </w:p>
        </w:tc>
        <w:tc>
          <w:tcPr>
            <w:tcW w:w="860" w:type="dxa"/>
            <w:vAlign w:val="bottom"/>
          </w:tcPr>
          <w:p>
            <w:pPr>
              <w:jc w:val="right"/>
              <w:spacing w:after="0"/>
              <w:rPr>
                <w:sz w:val="20"/>
                <w:szCs w:val="20"/>
                <w:color w:val="auto"/>
              </w:rPr>
            </w:pPr>
            <w:r>
              <w:rPr>
                <w:rFonts w:ascii="Arial" w:cs="Arial" w:eastAsia="Arial" w:hAnsi="Arial"/>
                <w:sz w:val="18"/>
                <w:szCs w:val="18"/>
                <w:color w:val="auto"/>
              </w:rPr>
              <w:t>1,754,350</w:t>
            </w: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New hire grants</w:t>
            </w:r>
          </w:p>
        </w:tc>
        <w:tc>
          <w:tcPr>
            <w:tcW w:w="860" w:type="dxa"/>
            <w:vAlign w:val="bottom"/>
          </w:tcPr>
          <w:p>
            <w:pPr>
              <w:jc w:val="right"/>
              <w:spacing w:after="0"/>
              <w:rPr>
                <w:sz w:val="20"/>
                <w:szCs w:val="20"/>
                <w:color w:val="auto"/>
              </w:rPr>
            </w:pPr>
            <w:r>
              <w:rPr>
                <w:rFonts w:ascii="Arial" w:cs="Arial" w:eastAsia="Arial" w:hAnsi="Arial"/>
                <w:sz w:val="18"/>
                <w:szCs w:val="18"/>
                <w:color w:val="auto"/>
              </w:rPr>
              <w:t>5,904</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(1,867,492)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(128,040)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39,074,437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period</w:t>
            </w: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7"/>
              </w:rPr>
              <w:t>41.83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21,171,505</w:t>
            </w:r>
          </w:p>
        </w:tc>
        <w:tc>
          <w:tcPr>
            <w:tcW w:w="2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STOCK AWARDS.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quarter of 2012.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Restricted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Restricted</w:t>
            </w: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stock</w:t>
            </w:r>
          </w:p>
        </w:tc>
        <w:tc>
          <w:tcPr>
            <w:tcW w:w="2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color w:val="auto"/>
                <w:w w:val="91"/>
              </w:rPr>
              <w:t>Weighted - average</w:t>
            </w:r>
          </w:p>
        </w:tc>
      </w:tr>
      <w:tr>
        <w:trPr>
          <w:trHeight w:val="159"/>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80" w:type="dxa"/>
            <w:vAlign w:val="bottom"/>
            <w:gridSpan w:val="2"/>
          </w:tcPr>
          <w:p>
            <w:pPr>
              <w:jc w:val="right"/>
              <w:ind w:right="720"/>
              <w:spacing w:after="0" w:line="159" w:lineRule="exact"/>
              <w:rPr>
                <w:sz w:val="20"/>
                <w:szCs w:val="20"/>
                <w:color w:val="auto"/>
              </w:rPr>
            </w:pPr>
            <w:r>
              <w:rPr>
                <w:rFonts w:ascii="Arial" w:cs="Arial" w:eastAsia="Arial" w:hAnsi="Arial"/>
                <w:sz w:val="14"/>
                <w:szCs w:val="14"/>
                <w:color w:val="auto"/>
              </w:rPr>
              <w:t>shares</w:t>
            </w:r>
          </w:p>
        </w:tc>
        <w:tc>
          <w:tcPr>
            <w:tcW w:w="92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units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fair value</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at beginning of year</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637,393</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2"/>
              </w:rPr>
              <w:t>351,017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Granted to employees</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385,445</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198,323</w:t>
            </w:r>
          </w:p>
        </w:tc>
        <w:tc>
          <w:tcPr>
            <w:tcW w:w="30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(1,312)</w:t>
            </w: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(1,750)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(7,975)</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(3,400)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52.30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period</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1,013,551</w:t>
            </w:r>
          </w:p>
        </w:tc>
        <w:tc>
          <w:tcPr>
            <w:tcW w:w="5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2"/>
              </w:rPr>
              <w:t>544,190</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March 31, 2012.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Third quarter 2012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2014 through 2017</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194.3</w:t>
            </w:r>
          </w:p>
        </w:tc>
        <w:tc>
          <w:tcPr>
            <w:tcW w:w="8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8—EARNINGS PER SHARE CALCULATIONS.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 average shares (in millions) that are used in calculating the basic and the diluted earnings per share on our common stock. Weighted average common shares outstanding assuming dilution reflects the potential additional dilution, determined using the treasury stock method that could occur if outstanding stock options were exercised.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3/31/2011</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3/31/2012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$ 194.6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net income allocated to outstanding restricted stock and stock unit</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holders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common stockholders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$ 193.8</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$ 196.5</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420"/>
              <w:spacing w:after="0"/>
              <w:rPr>
                <w:sz w:val="20"/>
                <w:szCs w:val="20"/>
                <w:color w:val="auto"/>
              </w:rPr>
            </w:pPr>
            <w:r>
              <w:rPr>
                <w:rFonts w:ascii="Arial" w:cs="Arial" w:eastAsia="Arial" w:hAnsi="Arial"/>
                <w:sz w:val="18"/>
                <w:szCs w:val="18"/>
                <w:color w:val="auto"/>
              </w:rPr>
              <w:t>Outstanding assuming dilution</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268.5</w:t>
            </w:r>
          </w:p>
        </w:tc>
        <w:tc>
          <w:tcPr>
            <w:tcW w:w="2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shows the weighted average outstanding stock options (in millions) and their average exercise price that are excluded from the calculation of diluted earnings per common share as the inclusion of such shares would be anti-dilutive.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660" w:type="dxa"/>
            <w:vAlign w:val="bottom"/>
            <w:gridSpan w:val="4"/>
          </w:tcPr>
          <w:p>
            <w:pPr>
              <w:ind w:left="2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3/31/2011</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3/31/2012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outstanding stock options excluded</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Average exercise price</w:t>
            </w: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$ 68.64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$ 65.80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9—OTHER COMPREHENSIVE INCOME AND ACCUMULATED OTHER COMPREHENSIVE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income tax benefit (expense) impact of the components (in millions) of other comprehensive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6"/>
          </w:tcPr>
          <w:p>
            <w:pPr>
              <w:jc w:val="right"/>
              <w:ind w:right="400"/>
              <w:spacing w:after="0"/>
              <w:rPr>
                <w:sz w:val="20"/>
                <w:szCs w:val="20"/>
                <w:color w:val="auto"/>
              </w:rPr>
            </w:pPr>
            <w:r>
              <w:rPr>
                <w:rFonts w:ascii="Arial" w:cs="Arial" w:eastAsia="Arial" w:hAnsi="Arial"/>
                <w:sz w:val="14"/>
                <w:szCs w:val="14"/>
                <w:color w:val="auto"/>
                <w:w w:val="92"/>
              </w:rPr>
              <w:t>Three months ended</w:t>
            </w: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3"/>
              </w:rPr>
              <w:t>3/31/2011</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3/31/2012</w:t>
            </w:r>
          </w:p>
        </w:tc>
        <w:tc>
          <w:tcPr>
            <w:tcW w:w="120" w:type="dxa"/>
            <w:vAlign w:val="bottom"/>
          </w:tcPr>
          <w:p>
            <w:pPr>
              <w:spacing w:after="0"/>
              <w:rPr>
                <w:sz w:val="12"/>
                <w:szCs w:val="12"/>
                <w:color w:val="auto"/>
              </w:rPr>
            </w:pPr>
          </w:p>
        </w:tc>
      </w:tr>
      <w:tr>
        <w:trPr>
          <w:trHeight w:val="188"/>
        </w:trPr>
        <w:tc>
          <w:tcPr>
            <w:tcW w:w="2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5"/>
              </w:rPr>
              <w:t>Income tax benefit (expense) on net unrealized holding gains or losses</w:t>
            </w:r>
          </w:p>
        </w:tc>
        <w:tc>
          <w:tcPr>
            <w:tcW w:w="4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recognized in other comprehensive income</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(29.1)</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tax benefit (expense) on currency translation adjustment</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r>
      <w:tr>
        <w:trPr>
          <w:trHeight w:val="20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benefits (income taxes) recognized in other</w:t>
            </w: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(25.1)</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(in millions), by component, for the first quarter of 2012, are presented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color w:val="auto"/>
                <w:w w:val="88"/>
              </w:rPr>
              <w:t>Other comprehensive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54"/>
              <w:spacing w:after="0" w:line="159" w:lineRule="exact"/>
              <w:rPr>
                <w:sz w:val="20"/>
                <w:szCs w:val="20"/>
                <w:color w:val="auto"/>
              </w:rPr>
            </w:pPr>
            <w:r>
              <w:rPr>
                <w:rFonts w:ascii="Arial" w:cs="Arial" w:eastAsia="Arial" w:hAnsi="Arial"/>
                <w:sz w:val="14"/>
                <w:szCs w:val="14"/>
                <w:color w:val="auto"/>
                <w:w w:val="99"/>
              </w:rPr>
              <w:t>12/31/2011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88"/>
              </w:rPr>
              <w:t>income, net of tax</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54"/>
              <w:spacing w:after="0" w:line="159" w:lineRule="exact"/>
              <w:rPr>
                <w:sz w:val="20"/>
                <w:szCs w:val="20"/>
                <w:color w:val="auto"/>
              </w:rPr>
            </w:pPr>
            <w:r>
              <w:rPr>
                <w:rFonts w:ascii="Arial" w:cs="Arial" w:eastAsia="Arial" w:hAnsi="Arial"/>
                <w:sz w:val="14"/>
                <w:szCs w:val="14"/>
                <w:color w:val="auto"/>
              </w:rPr>
              <w:t>3/31/2012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unrealized holding gains on</w:t>
            </w: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Investments in sponsored mutual funds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8"/>
                <w:szCs w:val="18"/>
                <w:color w:val="auto"/>
              </w:rPr>
            </w:pPr>
          </w:p>
        </w:tc>
        <w:tc>
          <w:tcPr>
            <w:tcW w:w="3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securities held by savings bank subsidiary</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Proportionate share of investments held by UTI</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net of taxes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Currency translation adjustment, net of taxes</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20"/>
          </w:cols>
          <w:pgMar w:left="240" w:top="2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March 31, 2012, the related condensed consolidated statements of income, comprehensive income and cash flows for the three-month period ended March 31, 2012 and 2011, and the related condensed consolidated statement of stockholders’ equity for the three-month period ended March 31, 2012. These condensed consolidated financial statements are the responsibility of the Company’s management.</w:t>
      </w:r>
    </w:p>
    <w:p>
      <w:pPr>
        <w:spacing w:after="0" w:line="14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2011, and the related consolidated statements of income, stockholders’ equity, and cash flows for the year then ended (not presented herein); and in our report dated February 3, 2012, we expressed an unqualified opinion on those consolidated financial statements. In our opinion, the information set forth in the accompanying condensed consolidated balance sheet as of December 31, 2011, is fairly stated, in all material respects, in relation to the consolidated balance sheet from which it has been derived.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24, 2012</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40"/>
          </w:cols>
          <w:pgMar w:left="240" w:top="280"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revenues and net income are derived primarily from investment advisory services provided to individual and institutional investors in our sponsored mutual funds and other managed investment portfolios. The other managed investment portfolios include separately managed accounts, subadvised funds, and other sponsored investment portfolios including common trust funds and mutual funds offered to investors outside the U.S. and through variable annuity life insurance plans. Investment advisory clients domiciled outside the United States account for 11% of our assets under management at March 31, 2012.</w:t>
      </w:r>
    </w:p>
    <w:p>
      <w:pPr>
        <w:spacing w:after="0" w:line="11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and technologies and, most importantly, provide our clients with strong investment management expertise and service both now and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Major equity market indexes around the globe experienced double-digit advances in the first quarter of 2012 driven by increased investor optimism as the U.S. economy showed continued signs of stronger growth and euro zone concerns appeared to diminish. The Federal Reserve announced that it expected to continue its monetary policy of keeping the federal funds rate near 0% through late 2014 and trading short-term issues for longer-term issues to ensure continued U.S. economic recovery.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first quarter of 2012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Index</w:t>
            </w:r>
          </w:p>
        </w:tc>
        <w:tc>
          <w:tcPr>
            <w:tcW w:w="54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Total Return</w:t>
            </w:r>
          </w:p>
        </w:tc>
      </w:tr>
      <w:tr>
        <w:trPr>
          <w:trHeight w:val="203"/>
        </w:trPr>
        <w:tc>
          <w:tcPr>
            <w:tcW w:w="5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S&amp;P 500 Index</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w:t>
            </w: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NASDAQ Composite</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r>
              <w:rPr>
                <w:rFonts w:ascii="Arial" w:cs="Arial" w:eastAsia="Arial" w:hAnsi="Arial"/>
                <w:sz w:val="11"/>
                <w:szCs w:val="11"/>
                <w:color w:val="auto"/>
              </w:rPr>
              <w:t>(1)</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2000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MSCI EAFE (Europe, Australasia, and Far East)</w:t>
            </w: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MSCI Emerging Markets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r>
      <w:tr>
        <w:trPr>
          <w:trHeight w:val="222"/>
        </w:trPr>
        <w:tc>
          <w:tcPr>
            <w:tcW w:w="5760" w:type="dxa"/>
            <w:vAlign w:val="bottom"/>
            <w:gridSpan w:val="2"/>
          </w:tcPr>
          <w:p>
            <w:pPr>
              <w:spacing w:after="0"/>
              <w:rPr>
                <w:sz w:val="20"/>
                <w:szCs w:val="20"/>
                <w:color w:val="auto"/>
              </w:rPr>
            </w:pPr>
            <w:r>
              <w:rPr>
                <w:rFonts w:ascii="Arial" w:cs="Arial" w:eastAsia="Arial" w:hAnsi="Arial"/>
                <w:sz w:val="11"/>
                <w:szCs w:val="11"/>
                <w:color w:val="auto"/>
                <w:w w:val="88"/>
              </w:rPr>
              <w:t>(1)</w:t>
            </w:r>
            <w:r>
              <w:rPr>
                <w:rFonts w:ascii="Arial" w:cs="Arial" w:eastAsia="Arial" w:hAnsi="Arial"/>
                <w:sz w:val="18"/>
                <w:szCs w:val="18"/>
                <w:color w:val="auto"/>
                <w:w w:val="88"/>
              </w:rPr>
              <w:t>excludes dividends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Bonds were modestly positive overall in the first quarter of 2012 as losses among long-term Treasuries from increasing yields were offset by solid gains among corporate, municipal and high yield issues. The yield on the benchmark 10-year U.S. Treasury at March 31, 2012, was 2.2%, an increase of 34 basis points from the end of 2011. Returns in bond markets outside the U.S. were also mixed as U.S. dollar-denominated emerging market bonds produced solid gains, while issues from developed markets offered more muted returns.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first quarter of 2012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Index</w:t>
            </w:r>
          </w:p>
        </w:tc>
        <w:tc>
          <w:tcPr>
            <w:tcW w:w="55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w w:val="98"/>
              </w:rPr>
              <w:t>Total Return</w:t>
            </w:r>
          </w:p>
        </w:tc>
      </w:tr>
      <w:tr>
        <w:trPr>
          <w:trHeight w:val="203"/>
        </w:trPr>
        <w:tc>
          <w:tcPr>
            <w:tcW w:w="5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Suisse High Yield</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Barclays Capital Municipal Bond</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U.S. Aggregate Index</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JPMorgan Emerging Markets Bond Plus</w:t>
            </w: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Global Aggregate Ex-US Dollar Bond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ASSETS UNDER MANAGEMENT.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Net cash inflows of $12.4 billion and higher market valuations and income of $52.9 billion increased our assets under management during the first quarter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2012 to a record $554.8 billion at March 31, 2012. Our assets under management (in billions) have changed during the first quarter of 2012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w w:val="90"/>
              </w:rPr>
              <w:t>Quarter ended</w:t>
            </w:r>
          </w:p>
        </w:tc>
      </w:tr>
      <w:tr>
        <w:trPr>
          <w:trHeight w:val="159"/>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5"/>
              <w:spacing w:after="0" w:line="159" w:lineRule="exact"/>
              <w:rPr>
                <w:sz w:val="20"/>
                <w:szCs w:val="20"/>
                <w:color w:val="auto"/>
              </w:rPr>
            </w:pPr>
            <w:r>
              <w:rPr>
                <w:rFonts w:ascii="Arial" w:cs="Arial" w:eastAsia="Arial" w:hAnsi="Arial"/>
                <w:sz w:val="14"/>
                <w:szCs w:val="14"/>
                <w:color w:val="auto"/>
                <w:w w:val="86"/>
              </w:rPr>
              <w:t>3/31/2012</w:t>
            </w:r>
          </w:p>
        </w:tc>
        <w:tc>
          <w:tcPr>
            <w:tcW w:w="80" w:type="dxa"/>
            <w:vAlign w:val="bottom"/>
            <w:tcBorders>
              <w:bottom w:val="single" w:sz="8" w:color="CCEEFF"/>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under management at beginning of period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80" w:type="dxa"/>
            <w:vAlign w:val="bottom"/>
            <w:shd w:val="clear" w:color="auto" w:fill="CCEEFF"/>
          </w:tcPr>
          <w:p>
            <w:pPr>
              <w:spacing w:after="0"/>
              <w:rPr>
                <w:sz w:val="18"/>
                <w:szCs w:val="18"/>
                <w:color w:val="auto"/>
              </w:rPr>
            </w:pPr>
          </w:p>
        </w:tc>
      </w:tr>
      <w:tr>
        <w:trPr>
          <w:trHeight w:val="222"/>
        </w:trPr>
        <w:tc>
          <w:tcPr>
            <w:tcW w:w="5760" w:type="dxa"/>
            <w:vAlign w:val="bottom"/>
            <w:gridSpan w:val="2"/>
          </w:tcPr>
          <w:p>
            <w:pPr>
              <w:spacing w:after="0"/>
              <w:rPr>
                <w:sz w:val="20"/>
                <w:szCs w:val="20"/>
                <w:color w:val="auto"/>
              </w:rPr>
            </w:pPr>
            <w:r>
              <w:rPr>
                <w:rFonts w:ascii="Arial" w:cs="Arial" w:eastAsia="Arial" w:hAnsi="Arial"/>
                <w:sz w:val="18"/>
                <w:szCs w:val="18"/>
                <w:color w:val="auto"/>
              </w:rPr>
              <w:t>Net cash inflows (outflows)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Other portfolios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Market valuation changes and income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during the period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r>
      <w:tr>
        <w:trPr>
          <w:trHeight w:val="222"/>
        </w:trPr>
        <w:tc>
          <w:tcPr>
            <w:tcW w:w="5760" w:type="dxa"/>
            <w:vAlign w:val="bottom"/>
            <w:gridSpan w:val="2"/>
          </w:tcPr>
          <w:p>
            <w:pPr>
              <w:spacing w:after="0"/>
              <w:rPr>
                <w:sz w:val="20"/>
                <w:szCs w:val="20"/>
                <w:color w:val="auto"/>
              </w:rPr>
            </w:pPr>
            <w:r>
              <w:rPr>
                <w:rFonts w:ascii="Arial" w:cs="Arial" w:eastAsia="Arial" w:hAnsi="Arial"/>
                <w:sz w:val="18"/>
                <w:szCs w:val="18"/>
                <w:color w:val="auto"/>
              </w:rPr>
              <w:t>Assets under management at end of period</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Assets under management at March 31, 2012, include $409.1 billion in stock and blended asset investment portfolios and $145.7 billion in fixed income investment portfolios. The investment portfolios that we manage consist of $325.4 billion in the T. Rowe Price mutual funds distributed in the U.S. and $229.4 billion in other investment portfolios.</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2012 versus first quarter 2011.</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Investment advisory revenues were up 5.8%, or $34.2 million, to $623.0 million in the first quarter of 2012, as average assets under our management increased $31.9 billion to $530.3 billion. The average annualized fee rate earned on our assets under management was 47.3 basis points during the first quarter of 2012, which is unchanged from the annualized fee rate earned for the full-year 2011. We waived $8.8 million in money market management fees in the first quarter of 2012, an increase of $1.8 million from the comparable 2011 quarter, in order to maintain a positive yield for fund investors. The 2012 fee waivers represent about 1% of our total investment advisory revenues earned during the first quarter of 2012, and were waived from nine of our money market mutual funds that have combined net assets of $14.3 billion at March 31, 2012. We expect that these fee waivers will continue throughout 2012.</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Net revenues increased $46.3 million, or 6.8%, to $728.7 million in the first quarter of 2012. Operating expenses were $412.5 million in the first quarter of 2012, an increase of $41.6 million, or 11.2%. Overall, net operating income for the first quarter of 2012 increased $4.7 million, or 1.5%, to $316.2 million. Our operating margin in the first quarter of 2012 is 43.4% compared to 45.6% in the 2011 period as we continue to invest in and expand our firm’s capabilities with a long-term perspective. Net income increased $2.9 million, or 1.5%, to $197.5 million compared with the first quarter of 2011. Our diluted earnings per share on our common stock increased 4.2% to $.75 from the $.72 earned in the first quarter of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were $425.9 million in the first quarter of 2012, an increase of 6.3%, or $25.4 million, on higher average mutual fund assets. Average mutual fund assets in the first quarter of 2012 were $312.4 billion, an increase of 7.0% from the average for the first quarter of 2011. Mutual fund assets at March 31, 2012, were $325.4 billion, up $36.0 billion from the end of 2011.</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Higher market valuations and income in the first quarter of 2012 increased our mutual fund assets under management by $30.7 billion. Net cash inflows during the first quarter of 2012 were $5.3 billion, including $3.5 billion into the bond funds and $2.5 billion into the stock and blended asset funds. The money market funds had net outflows of $.7 billion. These net cash flows include $1.2 billion originating in the target-date retirement funds, which in turn invest in a broadly diversified portfolio of other Price funds, and automatically rebalance to maintain their specific asset allocation weightings. The mutual fund net inflow amounts for the first quarter of 2012 are presented net of $3.7 billion that was transferred to the other investment portfolios. These transfers were primarily from our target-date retirement funds to our target-date retirement trusts. We expect that additional transfers to these retirement trusts are likely to occur in the future.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80" w:right="239" w:bottom="1440" w:gutter="0" w:footer="0" w:header="0"/>
        </w:sectPr>
      </w:pPr>
    </w:p>
    <w:bookmarkStart w:id="14" w:name="page15"/>
    <w:bookmarkEnd w:id="1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advisory revenues earned on the other investment portfolios were $197.1 million for the first quarter of 2012 compared to $188.3 million earned in the comparable 2011 quarter. Average assets in these portfolios were $217.9 billion during the first quarter of 2012, an increase of $11.5 billion, or 5.6%, from the 2011 quarter. Net inflows of $7.1 billion and market appreciation and income of $22.2 billion increased assets under management in these portfolios by $29.3 billion during the first quarter of 2012 to $229.4 billion at March 31, 2012. Net inflows during the first quarter of 2012 include the $3.7 billion transferred from the mutual funds with the remainder being sourced primarily from third-party intermediaries.</w:t>
      </w:r>
    </w:p>
    <w:p>
      <w:pPr>
        <w:spacing w:after="0" w:line="1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Administrative fee revenues increased $2.5 million to $82.9 million in the first quarter of 2012. The increase is attributable to our mutual fund servicing activities and defined contribution recordkeeping services for the mutual funds and their investors. Changes in administrative fee revenues are generally offset by similar changes in related operating expenses that are incurred to provide services to the funds and their investors.</w:t>
      </w:r>
    </w:p>
    <w:p>
      <w:pPr>
        <w:spacing w:after="0" w:line="10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Distribution and servicing fee revenues earned from 12b-1 plans of the Advisor, R, and variable annuity class shares of our sponsored portfolios were $22.2 million in the first quarter of 2012, an increase of $9.5 million from the comparable 2011 quarter. The increase includes $1.0 million recognized on greater assets under management in these share classes, and $8.5 million earned primarily on R class shares in the first quarter of 2012 for which the comparable fees for the first quarter of 2011 were netted against related distribution and servicing costs. The 12b-1 fees earned are offset entirely by the cost paid to third-party intermediaries who source these assets, which are reported as distribution and servicing costs on the face of the condensed consolidated income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Compensation and related costs were $260.7 million in the first quarter of 2012, an increase of $17.8 million, or 7.3%, compared to the first quarter of 2011. The largest part of the increase is attributable to a $10.9 million increase in salaries and related benefits, which results from a modest increase in salaries at the beginning of 2012 combined with a nearly 3% increase in our average staff size from the first quarter of 2011. The remainder of the change from the first quarter of 2011 is attributable to a modest increase in our annual variable compensation programs, higher non-cash stock-based compensation expense and other employee-related costs. At March 31, 2012, we employed 5,230 associates.</w:t>
      </w:r>
    </w:p>
    <w:p>
      <w:pPr>
        <w:spacing w:after="0" w:line="1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Advertising and promotion expenditures were $25.8 million in the first quarter of 2012 compared to $25.4 million in the comparable 2011 period. We currently expect advertising and promotion expenditures for the remainder of 2012 to increase modestly over 2011 levels. We vary our level of spending based on market conditions and investor demand as well as our effort to expand our investor base in the United States and abroad.</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Occupancy and facility costs together with depreciation expense increased $4.9 million, or 11.1%, compared to the first quarter of 2011. The change includes the added costs incurred to expand our facilities around the world as well as update our technology capabilities, including related maintenance programs, to meet increasing business demands.</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operating expenses were $54.6 million in the first quarter of 2012, an increase of $9.0 million from the comparable 2011 period. The increase is due to higher costs incurred to meet growing business demands as well as the reclassification of $5.3 million in certain third-party servicing costs that were previously reported as reductions of advisory and administrative fee revenues in the first quarter of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non-operating investment income, which includes the recognition of investment gains and losses, was up $1.2 million from the first quarter of 2011, including higher net earnings of $.5 million recognized in the first quarter of 2012 from our investment in UTI. The increase also includes larger dividend income earned on our investments in the sponsored mutual funds in the first quarter or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provision for income taxes as a percentage of pretax income for the first quarter of 2012 is 38.5%, which is slightly higher then the 38.2% effective tax rate for the full-year 2011, due primarily to adjustments made to our 2011 tax accruals. We currently estimate our effective tax rate for the full year 2012 will be about 38.3%.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Operating activities during the first quarter of 2012 provided cash flows of $265.8 million, a decrease of $70.2 million from the 2011 period, including $79.0 million in securities held by consolidated sponsored mutual funds to which we provided seed capital during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00"/>
          </w:cols>
          <w:pgMar w:left="240" w:top="280" w:right="259" w:bottom="1440" w:gutter="0" w:footer="0" w:header="0"/>
        </w:sectPr>
      </w:pPr>
    </w:p>
    <w:bookmarkStart w:id="15" w:name="page16"/>
    <w:bookmarkEnd w:id="1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first quarter of 2012 and have a controlling interest. These seed capital investments are offset by increases in net income and non-cash expenses for depreciation, amortization, and stock-based compensation. Our interim operating cash flows do not include variable compensation that is accrued throughout the year before being substantially paid out in December.</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used in investing activities totaled $9.3 million in the first quarter of 2012, a decrease of $7.7 million from the 2011 quarter. Greater cash proceeds of $14.6 million from the debt securities held by our savings bank subsidiary in the first quarter of 2012 were offset by a $6.9 million increase in our capital spending for property and equipment in the first quarter of 2012.</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Net cash used in financing activities was $50.9 million in the first quarter of 2012, a decrease of $16.3 million from the 2011 quarter. During the first quarter of 2011, we expended $31.3 million on stock repurchases compared to no stock repurchases in the 2012 quarter. This reduction in cash used was partially offset by a $6.1 million increase in dividends paid during the first quarter of 2012 compared to the 2011 quarter as well as the change in cash from customer deposits at our savings bank subsidiary. The increase in dividends paid in the first quarter of 2012 is primarily due to the $.03 increase in our quarterly per-share dividend.</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cash and mutual fund investments at March 31, 2012 were $1.9 billion, and we have no debt. We anticipate property and equipment expenditures for the full year 2012 to be about $100 million and expect to fund them from our cash balances. We generally repurchase shares of our common stock over time to offset the dilution created by our equity-based compensation plans. Given the availability of our financial resources, we do not maintain an available external source of liquidity.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90"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We have considered all other newly issued accounting guidance that is applicable to our operations and the preparation of our consolidated statements, including that which we have not yet adopted. We do not believe that any such guidance will have a material effect on our financial position or results of operation.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and investments,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2011.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and changes in their market valuations.</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any goodwill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80"/>
          </w:cols>
          <w:pgMar w:left="240" w:top="280" w:right="279" w:bottom="1440" w:gutter="0" w:footer="0" w:header="0"/>
        </w:sectPr>
      </w:pPr>
    </w:p>
    <w:bookmarkStart w:id="16" w:name="page17"/>
    <w:bookmarkEnd w:id="16"/>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4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March 31, 2012. Based on that evaluation, our principal executive and principal financial officers have concluded that our disclosure controls and procedures as of March 31, 2012,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2012, and has concluded that there was no change during the first quarter of 2012 that has materially affected, or is reasonably likely to materially affect, our internal control over financial reporting.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2012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70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Maximum Number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2"/>
              </w:rPr>
              <w:t>Shares Purchased as</w:t>
            </w:r>
          </w:p>
        </w:tc>
        <w:tc>
          <w:tcPr>
            <w:tcW w:w="7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Shares that May Yet</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color w:val="auto"/>
                <w:w w:val="92"/>
              </w:rPr>
              <w:t>Month</w:t>
            </w:r>
          </w:p>
        </w:tc>
        <w:tc>
          <w:tcPr>
            <w:tcW w:w="2640" w:type="dxa"/>
            <w:vAlign w:val="bottom"/>
            <w:vMerge w:val="restart"/>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w w:val="89"/>
              </w:rPr>
              <w:t>Total Number of</w:t>
            </w:r>
          </w:p>
        </w:tc>
        <w:tc>
          <w:tcPr>
            <w:tcW w:w="680" w:type="dxa"/>
            <w:vAlign w:val="bottom"/>
          </w:tcPr>
          <w:p>
            <w:pPr>
              <w:spacing w:after="0"/>
              <w:rPr>
                <w:sz w:val="12"/>
                <w:szCs w:val="12"/>
                <w:color w:val="auto"/>
              </w:rPr>
            </w:pPr>
          </w:p>
        </w:tc>
        <w:tc>
          <w:tcPr>
            <w:tcW w:w="16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Average Price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2"/>
              </w:rPr>
              <w:t>Part of Publicly</w:t>
            </w:r>
          </w:p>
        </w:tc>
        <w:tc>
          <w:tcPr>
            <w:tcW w:w="7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Be Purchased Under</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960" w:type="dxa"/>
            <w:vAlign w:val="bottom"/>
          </w:tcPr>
          <w:p>
            <w:pPr>
              <w:jc w:val="right"/>
              <w:spacing w:after="0" w:line="146" w:lineRule="exact"/>
              <w:rPr>
                <w:sz w:val="20"/>
                <w:szCs w:val="20"/>
                <w:color w:val="auto"/>
              </w:rPr>
            </w:pPr>
            <w:r>
              <w:rPr>
                <w:rFonts w:ascii="Arial" w:cs="Arial" w:eastAsia="Arial" w:hAnsi="Arial"/>
                <w:sz w:val="14"/>
                <w:szCs w:val="14"/>
                <w:color w:val="auto"/>
                <w:w w:val="81"/>
              </w:rPr>
              <w:t>Shares Purchased</w:t>
            </w:r>
          </w:p>
        </w:tc>
        <w:tc>
          <w:tcPr>
            <w:tcW w:w="680" w:type="dxa"/>
            <w:vAlign w:val="bottom"/>
          </w:tcPr>
          <w:p>
            <w:pPr>
              <w:spacing w:after="0"/>
              <w:rPr>
                <w:sz w:val="14"/>
                <w:szCs w:val="14"/>
                <w:color w:val="auto"/>
              </w:rPr>
            </w:pPr>
          </w:p>
        </w:tc>
        <w:tc>
          <w:tcPr>
            <w:tcW w:w="1600" w:type="dxa"/>
            <w:vAlign w:val="bottom"/>
            <w:gridSpan w:val="3"/>
          </w:tcPr>
          <w:p>
            <w:pPr>
              <w:ind w:left="60"/>
              <w:spacing w:after="0" w:line="146" w:lineRule="exact"/>
              <w:rPr>
                <w:sz w:val="20"/>
                <w:szCs w:val="20"/>
                <w:color w:val="auto"/>
              </w:rPr>
            </w:pPr>
            <w:r>
              <w:rPr>
                <w:rFonts w:ascii="Arial" w:cs="Arial" w:eastAsia="Arial" w:hAnsi="Arial"/>
                <w:sz w:val="14"/>
                <w:szCs w:val="14"/>
                <w:color w:val="auto"/>
              </w:rPr>
              <w:t>Paid per Share</w:t>
            </w:r>
          </w:p>
        </w:tc>
        <w:tc>
          <w:tcPr>
            <w:tcW w:w="1140" w:type="dxa"/>
            <w:vAlign w:val="bottom"/>
          </w:tcPr>
          <w:p>
            <w:pPr>
              <w:jc w:val="center"/>
              <w:spacing w:after="0" w:line="146" w:lineRule="exact"/>
              <w:rPr>
                <w:sz w:val="20"/>
                <w:szCs w:val="20"/>
                <w:color w:val="auto"/>
              </w:rPr>
            </w:pPr>
            <w:r>
              <w:rPr>
                <w:rFonts w:ascii="Arial" w:cs="Arial" w:eastAsia="Arial" w:hAnsi="Arial"/>
                <w:sz w:val="14"/>
                <w:szCs w:val="14"/>
                <w:color w:val="auto"/>
                <w:w w:val="87"/>
              </w:rPr>
              <w:t>Announced Program</w:t>
            </w:r>
          </w:p>
        </w:tc>
        <w:tc>
          <w:tcPr>
            <w:tcW w:w="700" w:type="dxa"/>
            <w:vAlign w:val="bottom"/>
          </w:tcPr>
          <w:p>
            <w:pPr>
              <w:spacing w:after="0"/>
              <w:rPr>
                <w:sz w:val="14"/>
                <w:szCs w:val="14"/>
                <w:color w:val="auto"/>
              </w:rPr>
            </w:pPr>
          </w:p>
        </w:tc>
        <w:tc>
          <w:tcPr>
            <w:tcW w:w="128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85"/>
              </w:rPr>
              <w:t>the Program</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3"/>
            <w:shd w:val="clear" w:color="auto" w:fill="CCEEFF"/>
          </w:tcPr>
          <w:p>
            <w:pPr>
              <w:jc w:val="center"/>
              <w:ind w:right="600"/>
              <w:spacing w:after="0" w:line="202" w:lineRule="exact"/>
              <w:rPr>
                <w:sz w:val="20"/>
                <w:szCs w:val="20"/>
                <w:color w:val="auto"/>
              </w:rPr>
            </w:pPr>
            <w:r>
              <w:rPr>
                <w:rFonts w:ascii="Arial" w:cs="Arial" w:eastAsia="Arial" w:hAnsi="Arial"/>
                <w:sz w:val="18"/>
                <w:szCs w:val="18"/>
                <w:color w:val="auto"/>
                <w:w w:val="84"/>
              </w:rPr>
              <w:t>January</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64,093</w:t>
            </w:r>
          </w:p>
        </w:tc>
        <w:tc>
          <w:tcPr>
            <w:tcW w:w="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59.84</w:t>
            </w:r>
          </w:p>
        </w:tc>
        <w:tc>
          <w:tcPr>
            <w:tcW w:w="7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13,715,681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February</w:t>
            </w:r>
          </w:p>
        </w:tc>
        <w:tc>
          <w:tcPr>
            <w:tcW w:w="960" w:type="dxa"/>
            <w:vAlign w:val="bottom"/>
          </w:tcPr>
          <w:p>
            <w:pPr>
              <w:jc w:val="right"/>
              <w:spacing w:after="0"/>
              <w:rPr>
                <w:sz w:val="20"/>
                <w:szCs w:val="20"/>
                <w:color w:val="auto"/>
              </w:rPr>
            </w:pPr>
            <w:r>
              <w:rPr>
                <w:rFonts w:ascii="Arial" w:cs="Arial" w:eastAsia="Arial" w:hAnsi="Arial"/>
                <w:sz w:val="18"/>
                <w:szCs w:val="18"/>
                <w:color w:val="auto"/>
              </w:rPr>
              <w:t>86,281</w:t>
            </w:r>
          </w:p>
        </w:tc>
        <w:tc>
          <w:tcPr>
            <w:tcW w:w="98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62.17</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13,715,681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jc w:val="center"/>
              <w:ind w:right="600"/>
              <w:spacing w:after="0"/>
              <w:rPr>
                <w:sz w:val="20"/>
                <w:szCs w:val="20"/>
                <w:color w:val="auto"/>
              </w:rPr>
            </w:pPr>
            <w:r>
              <w:rPr>
                <w:rFonts w:ascii="Arial" w:cs="Arial" w:eastAsia="Arial" w:hAnsi="Arial"/>
                <w:sz w:val="18"/>
                <w:szCs w:val="18"/>
                <w:color w:val="auto"/>
                <w:w w:val="91"/>
              </w:rPr>
              <w:t>March</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318,526</w:t>
            </w:r>
          </w:p>
        </w:tc>
        <w:tc>
          <w:tcPr>
            <w:tcW w:w="6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7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13,715,681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3020" w:type="dxa"/>
            <w:vAlign w:val="bottom"/>
            <w:gridSpan w:val="2"/>
          </w:tcPr>
          <w:p>
            <w:pPr>
              <w:jc w:val="center"/>
              <w:ind w:right="2620"/>
              <w:spacing w:after="0"/>
              <w:rPr>
                <w:sz w:val="20"/>
                <w:szCs w:val="20"/>
                <w:color w:val="auto"/>
              </w:rPr>
            </w:pPr>
            <w:r>
              <w:rPr>
                <w:rFonts w:ascii="Arial" w:cs="Arial" w:eastAsia="Arial" w:hAnsi="Arial"/>
                <w:sz w:val="18"/>
                <w:szCs w:val="18"/>
                <w:color w:val="auto"/>
                <w:w w:val="89"/>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468,900</w:t>
            </w:r>
          </w:p>
        </w:tc>
        <w:tc>
          <w:tcPr>
            <w:tcW w:w="98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62.92</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and outstanding shares surrendered to the company to pay the exercise price in connection with swap exercises of employee stock options. All shares repurchased during the quarter related to swap exercises. The maximum number of shares that may yet be purchased are available under the Board of Directors’ September 8, 2010 publicly announced authorization.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 Other Information.</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24, 2012, we issued a press release reporting our results of operations for the first quarter of 2012.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3(i).1</w:t>
            </w: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 from Form 10-Q</w:t>
            </w:r>
          </w:p>
        </w:tc>
      </w:tr>
      <w:tr>
        <w:trPr>
          <w:trHeight w:val="222"/>
        </w:trPr>
        <w:tc>
          <w:tcPr>
            <w:tcW w:w="74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Report for the quarterly period ended March 31, 2008 filed on April 10, 2008; File No. 033-07012-99).</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3(ii)</w:t>
            </w:r>
          </w:p>
        </w:tc>
        <w:tc>
          <w:tcPr>
            <w:tcW w:w="10580" w:type="dxa"/>
            <w:vAlign w:val="bottom"/>
          </w:tcPr>
          <w:p>
            <w:pPr>
              <w:ind w:left="220"/>
              <w:spacing w:after="0"/>
              <w:rPr>
                <w:sz w:val="20"/>
                <w:szCs w:val="20"/>
                <w:color w:val="auto"/>
              </w:rPr>
            </w:pPr>
            <w:r>
              <w:rPr>
                <w:rFonts w:ascii="Arial" w:cs="Arial" w:eastAsia="Arial" w:hAnsi="Arial"/>
                <w:sz w:val="18"/>
                <w:szCs w:val="18"/>
                <w:color w:val="auto"/>
                <w:w w:val="89"/>
              </w:rPr>
              <w:t>Amended and Restated By-Laws of T. Rowe Price Group, Inc. as of February 12, 2009. (Incorporated by reference from Form 8-K Current Report</w:t>
            </w:r>
          </w:p>
        </w:tc>
      </w:tr>
      <w:tr>
        <w:trPr>
          <w:trHeight w:val="222"/>
        </w:trPr>
        <w:tc>
          <w:tcPr>
            <w:tcW w:w="74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file on February 17, 2009; File No. 033-07012-99).</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10.15.2</w:t>
            </w:r>
          </w:p>
        </w:tc>
        <w:tc>
          <w:tcPr>
            <w:tcW w:w="10580" w:type="dxa"/>
            <w:vAlign w:val="bottom"/>
          </w:tcPr>
          <w:p>
            <w:pPr>
              <w:ind w:left="220"/>
              <w:spacing w:after="0"/>
              <w:rPr>
                <w:sz w:val="20"/>
                <w:szCs w:val="20"/>
                <w:color w:val="auto"/>
              </w:rPr>
            </w:pPr>
            <w:r>
              <w:rPr>
                <w:rFonts w:ascii="Arial" w:cs="Arial" w:eastAsia="Arial" w:hAnsi="Arial"/>
                <w:sz w:val="18"/>
                <w:szCs w:val="18"/>
                <w:color w:val="auto"/>
                <w:w w:val="88"/>
              </w:rPr>
              <w:t>Forms of agreement for stock options issued after February 2, 2012 under the 2004 Stock Incentive Plan. (Incorporated by reference from Form 10-</w:t>
            </w:r>
          </w:p>
        </w:tc>
      </w:tr>
      <w:tr>
        <w:trPr>
          <w:trHeight w:val="222"/>
        </w:trPr>
        <w:tc>
          <w:tcPr>
            <w:tcW w:w="74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K for 2011 filed on February 3, 2012; File No. 033-07012-99)</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10.15.3</w:t>
            </w:r>
          </w:p>
        </w:tc>
        <w:tc>
          <w:tcPr>
            <w:tcW w:w="10580" w:type="dxa"/>
            <w:vAlign w:val="bottom"/>
          </w:tcPr>
          <w:p>
            <w:pPr>
              <w:ind w:left="220"/>
              <w:spacing w:after="0"/>
              <w:rPr>
                <w:sz w:val="20"/>
                <w:szCs w:val="20"/>
                <w:color w:val="auto"/>
              </w:rPr>
            </w:pPr>
            <w:r>
              <w:rPr>
                <w:rFonts w:ascii="Arial" w:cs="Arial" w:eastAsia="Arial" w:hAnsi="Arial"/>
                <w:sz w:val="18"/>
                <w:szCs w:val="18"/>
                <w:color w:val="auto"/>
                <w:w w:val="89"/>
              </w:rPr>
              <w:t>Forms of agreement for restricted stock units issued after February 2, 2012 under the 2004 Stock Incentive Plan. (Incorporated by reference from</w:t>
            </w:r>
          </w:p>
        </w:tc>
      </w:tr>
      <w:tr>
        <w:trPr>
          <w:trHeight w:val="222"/>
        </w:trPr>
        <w:tc>
          <w:tcPr>
            <w:tcW w:w="74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Form 10-K for 2011 filed on February 3, 2012; File No. 033-07012-99)</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10.15.4</w:t>
            </w:r>
          </w:p>
        </w:tc>
        <w:tc>
          <w:tcPr>
            <w:tcW w:w="10580" w:type="dxa"/>
            <w:vAlign w:val="bottom"/>
          </w:tcPr>
          <w:p>
            <w:pPr>
              <w:ind w:left="220"/>
              <w:spacing w:after="0"/>
              <w:rPr>
                <w:sz w:val="20"/>
                <w:szCs w:val="20"/>
                <w:color w:val="auto"/>
              </w:rPr>
            </w:pPr>
            <w:r>
              <w:rPr>
                <w:rFonts w:ascii="Arial" w:cs="Arial" w:eastAsia="Arial" w:hAnsi="Arial"/>
                <w:sz w:val="18"/>
                <w:szCs w:val="18"/>
                <w:color w:val="auto"/>
                <w:w w:val="88"/>
              </w:rPr>
              <w:t>Forms of agreement for restricted stock awards issued after February 2, 2012 under the 2004 Stock Incentive Plan. (Incorporated by reference from</w:t>
            </w:r>
          </w:p>
        </w:tc>
      </w:tr>
      <w:tr>
        <w:trPr>
          <w:trHeight w:val="222"/>
        </w:trPr>
        <w:tc>
          <w:tcPr>
            <w:tcW w:w="74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Form 10-K for 2011 filed on February 3, 2012; File No. 033-07012-99)</w:t>
            </w:r>
          </w:p>
        </w:tc>
      </w:tr>
    </w:tbl>
    <w:p>
      <w:pPr>
        <w:spacing w:after="0" w:line="102" w:lineRule="exact"/>
        <w:rPr>
          <w:sz w:val="20"/>
          <w:szCs w:val="20"/>
          <w:color w:val="auto"/>
        </w:rPr>
      </w:pPr>
    </w:p>
    <w:p>
      <w:pPr>
        <w:ind w:left="960" w:hanging="95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31(i).1</w:t>
      </w:r>
      <w:r>
        <w:rPr>
          <w:rFonts w:ascii="Arial" w:cs="Arial" w:eastAsia="Arial" w:hAnsi="Arial"/>
          <w:sz w:val="16"/>
          <w:szCs w:val="16"/>
          <w:color w:val="auto"/>
        </w:rPr>
        <w:t>Rule 13a-14(a) Certification of Principal Executive Officer.</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31(i).2</w:t>
      </w:r>
      <w:r>
        <w:rPr>
          <w:rFonts w:ascii="Arial" w:cs="Arial" w:eastAsia="Arial" w:hAnsi="Arial"/>
          <w:sz w:val="16"/>
          <w:szCs w:val="16"/>
          <w:color w:val="auto"/>
        </w:rPr>
        <w:t>Rule 13a-14(a) Certification of Principal Financial Officer.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jc w:val="right"/>
              <w:ind w:right="292"/>
              <w:spacing w:after="0"/>
              <w:rPr>
                <w:sz w:val="20"/>
                <w:szCs w:val="20"/>
                <w:color w:val="auto"/>
              </w:rPr>
            </w:pPr>
            <w:r>
              <w:rPr>
                <w:rFonts w:ascii="Arial" w:cs="Arial" w:eastAsia="Arial" w:hAnsi="Arial"/>
                <w:sz w:val="18"/>
                <w:szCs w:val="18"/>
                <w:color w:val="auto"/>
                <w:w w:val="79"/>
              </w:rPr>
              <w:t>32</w:t>
            </w:r>
          </w:p>
        </w:tc>
        <w:tc>
          <w:tcPr>
            <w:tcW w:w="7340" w:type="dxa"/>
            <w:vAlign w:val="bottom"/>
          </w:tcPr>
          <w:p>
            <w:pPr>
              <w:ind w:left="400"/>
              <w:spacing w:after="0"/>
              <w:rPr>
                <w:sz w:val="20"/>
                <w:szCs w:val="20"/>
                <w:color w:val="auto"/>
              </w:rPr>
            </w:pPr>
            <w:r>
              <w:rPr>
                <w:rFonts w:ascii="Arial" w:cs="Arial" w:eastAsia="Arial" w:hAnsi="Arial"/>
                <w:sz w:val="18"/>
                <w:szCs w:val="18"/>
                <w:color w:val="auto"/>
              </w:rPr>
              <w:t>Section 1350 Certifications.</w:t>
            </w:r>
          </w:p>
        </w:tc>
      </w:tr>
      <w:tr>
        <w:trPr>
          <w:trHeight w:val="324"/>
        </w:trPr>
        <w:tc>
          <w:tcPr>
            <w:tcW w:w="560" w:type="dxa"/>
            <w:vAlign w:val="bottom"/>
          </w:tcPr>
          <w:p>
            <w:pPr>
              <w:jc w:val="right"/>
              <w:ind w:right="292"/>
              <w:spacing w:after="0"/>
              <w:rPr>
                <w:sz w:val="20"/>
                <w:szCs w:val="20"/>
                <w:color w:val="auto"/>
              </w:rPr>
            </w:pPr>
            <w:r>
              <w:rPr>
                <w:rFonts w:ascii="Arial" w:cs="Arial" w:eastAsia="Arial" w:hAnsi="Arial"/>
                <w:sz w:val="18"/>
                <w:szCs w:val="18"/>
                <w:color w:val="auto"/>
                <w:w w:val="79"/>
              </w:rPr>
              <w:t>99</w:t>
            </w:r>
          </w:p>
        </w:tc>
        <w:tc>
          <w:tcPr>
            <w:tcW w:w="7340" w:type="dxa"/>
            <w:vAlign w:val="bottom"/>
          </w:tcPr>
          <w:p>
            <w:pPr>
              <w:ind w:left="400"/>
              <w:spacing w:after="0"/>
              <w:rPr>
                <w:sz w:val="20"/>
                <w:szCs w:val="20"/>
                <w:color w:val="auto"/>
              </w:rPr>
            </w:pPr>
            <w:r>
              <w:rPr>
                <w:rFonts w:ascii="Arial" w:cs="Arial" w:eastAsia="Arial" w:hAnsi="Arial"/>
                <w:sz w:val="18"/>
                <w:szCs w:val="18"/>
                <w:color w:val="auto"/>
                <w:w w:val="88"/>
              </w:rPr>
              <w:t>Press release issued April 24, 2012, reporting our results of operations for the first quarter of 2012.</w:t>
            </w:r>
          </w:p>
        </w:tc>
      </w:tr>
    </w:tbl>
    <w:p>
      <w:pPr>
        <w:spacing w:after="0" w:line="102" w:lineRule="exact"/>
        <w:rPr>
          <w:sz w:val="20"/>
          <w:szCs w:val="20"/>
          <w:color w:val="auto"/>
        </w:rPr>
      </w:pPr>
    </w:p>
    <w:p>
      <w:pPr>
        <w:ind w:left="960" w:hanging="952"/>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86" w:lineRule="exact"/>
        <w:rPr>
          <w:sz w:val="20"/>
          <w:szCs w:val="20"/>
          <w:color w:val="auto"/>
        </w:rPr>
      </w:pPr>
    </w:p>
    <w:tbl>
      <w:tblPr>
        <w:tblLayout w:type="fixed"/>
        <w:tblInd w:w="96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6460" w:type="dxa"/>
            <w:vAlign w:val="bottom"/>
          </w:tcPr>
          <w:p>
            <w:pPr>
              <w:ind w:left="120"/>
              <w:spacing w:after="0"/>
              <w:rPr>
                <w:sz w:val="20"/>
                <w:szCs w:val="20"/>
                <w:color w:val="auto"/>
              </w:rPr>
            </w:pPr>
            <w:r>
              <w:rPr>
                <w:rFonts w:ascii="Arial" w:cs="Arial" w:eastAsia="Arial" w:hAnsi="Arial"/>
                <w:sz w:val="18"/>
                <w:szCs w:val="18"/>
                <w:color w:val="auto"/>
              </w:rPr>
              <w:t>XBRL Instance Document (File name: trow-20120331.xml).</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6460" w:type="dxa"/>
            <w:vAlign w:val="bottom"/>
          </w:tcPr>
          <w:p>
            <w:pPr>
              <w:ind w:left="120"/>
              <w:spacing w:after="0"/>
              <w:rPr>
                <w:sz w:val="20"/>
                <w:szCs w:val="20"/>
                <w:color w:val="auto"/>
              </w:rPr>
            </w:pPr>
            <w:r>
              <w:rPr>
                <w:rFonts w:ascii="Arial" w:cs="Arial" w:eastAsia="Arial" w:hAnsi="Arial"/>
                <w:sz w:val="18"/>
                <w:szCs w:val="18"/>
                <w:color w:val="auto"/>
                <w:w w:val="98"/>
              </w:rPr>
              <w:t>XBRL Taxonomy Extension Schema Document (File name: trow-20120331.xsd).</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6460" w:type="dxa"/>
            <w:vAlign w:val="bottom"/>
          </w:tcPr>
          <w:p>
            <w:pPr>
              <w:ind w:left="120"/>
              <w:spacing w:after="0"/>
              <w:rPr>
                <w:sz w:val="20"/>
                <w:szCs w:val="20"/>
                <w:color w:val="auto"/>
              </w:rPr>
            </w:pPr>
            <w:r>
              <w:rPr>
                <w:rFonts w:ascii="Arial" w:cs="Arial" w:eastAsia="Arial" w:hAnsi="Arial"/>
                <w:sz w:val="18"/>
                <w:szCs w:val="18"/>
                <w:color w:val="auto"/>
                <w:w w:val="91"/>
              </w:rPr>
              <w:t>XBRL Taxonomy Calculation Linkbase Document (File name: trow-20120331_cal.xml).</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6460" w:type="dxa"/>
            <w:vAlign w:val="bottom"/>
          </w:tcPr>
          <w:p>
            <w:pPr>
              <w:ind w:left="120"/>
              <w:spacing w:after="0"/>
              <w:rPr>
                <w:sz w:val="20"/>
                <w:szCs w:val="20"/>
                <w:color w:val="auto"/>
              </w:rPr>
            </w:pPr>
            <w:r>
              <w:rPr>
                <w:rFonts w:ascii="Arial" w:cs="Arial" w:eastAsia="Arial" w:hAnsi="Arial"/>
                <w:sz w:val="18"/>
                <w:szCs w:val="18"/>
                <w:color w:val="auto"/>
                <w:w w:val="97"/>
              </w:rPr>
              <w:t>XBRL Taxonomy Label Linkbase Document (File name: trow-20120331_lab.xml).</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6460" w:type="dxa"/>
            <w:vAlign w:val="bottom"/>
          </w:tcPr>
          <w:p>
            <w:pPr>
              <w:ind w:left="120"/>
              <w:spacing w:after="0"/>
              <w:rPr>
                <w:sz w:val="20"/>
                <w:szCs w:val="20"/>
                <w:color w:val="auto"/>
              </w:rPr>
            </w:pPr>
            <w:r>
              <w:rPr>
                <w:rFonts w:ascii="Arial" w:cs="Arial" w:eastAsia="Arial" w:hAnsi="Arial"/>
                <w:sz w:val="18"/>
                <w:szCs w:val="18"/>
                <w:color w:val="auto"/>
                <w:w w:val="89"/>
              </w:rPr>
              <w:t>XBRL Taxonomy Presentation Linkbase Document (File name: trow-20120331_pre.xml).</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6460" w:type="dxa"/>
            <w:vAlign w:val="bottom"/>
          </w:tcPr>
          <w:p>
            <w:pPr>
              <w:ind w:left="120"/>
              <w:spacing w:after="0"/>
              <w:rPr>
                <w:sz w:val="20"/>
                <w:szCs w:val="20"/>
                <w:color w:val="auto"/>
              </w:rPr>
            </w:pPr>
            <w:r>
              <w:rPr>
                <w:rFonts w:ascii="Arial" w:cs="Arial" w:eastAsia="Arial" w:hAnsi="Arial"/>
                <w:sz w:val="18"/>
                <w:szCs w:val="18"/>
                <w:color w:val="auto"/>
                <w:w w:val="93"/>
              </w:rPr>
              <w:t>XBRL Taxonomy Definition Linkbase Document (File name: trow-20120331_def.xml).</w:t>
            </w:r>
          </w:p>
        </w:tc>
      </w:tr>
    </w:tbl>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24, 2012.</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 /s / Kenneth V. Moreland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320"/>
          </w:cols>
          <w:pgMar w:left="240" w:top="27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Exhibit 15 Letter from KPMG LLP, independent registered public accounting firm,</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re unaudited interim financial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6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 Registration Statements on Form S-8: No. 33-7012, No. 33-72568, No. 333-20333, No. 333-90967, No. 333-59714, No. 333-120882, No. 333-120883, No. 333-142092, and No. 333-167317.</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24, 2012 related to our review of interim financial information.</w:t>
      </w:r>
    </w:p>
    <w:p>
      <w:pPr>
        <w:spacing w:after="0" w:line="13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24, 2012</w:t>
      </w:r>
    </w:p>
    <w:p>
      <w:pPr>
        <w:sectPr>
          <w:pgSz w:w="11900" w:h="16838" w:orient="portrait"/>
          <w:cols w:equalWidth="0" w:num="1">
            <w:col w:w="11180"/>
          </w:cols>
          <w:pgMar w:left="240" w:top="131"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31(i).1 Rule 13a-14(a) Certification of Principal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2012, of T. Rowe Price Group, Inc.;</w:t>
      </w:r>
    </w:p>
    <w:p>
      <w:pPr>
        <w:spacing w:after="0" w:line="90" w:lineRule="exact"/>
        <w:rPr>
          <w:rFonts w:ascii="Arial" w:cs="Arial" w:eastAsia="Arial" w:hAnsi="Arial"/>
          <w:sz w:val="18"/>
          <w:szCs w:val="18"/>
          <w:color w:val="auto"/>
        </w:rPr>
      </w:pPr>
    </w:p>
    <w:p>
      <w:pPr>
        <w:ind w:left="460" w:right="220" w:hanging="452"/>
        <w:spacing w:after="0" w:line="35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80" w:firstLine="4"/>
        <w:spacing w:after="0" w:line="259" w:lineRule="auto"/>
        <w:tabs>
          <w:tab w:leader="none" w:pos="699"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20" w:firstLine="4"/>
        <w:spacing w:after="0" w:line="259" w:lineRule="auto"/>
        <w:tabs>
          <w:tab w:leader="none" w:pos="709"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60" w:firstLine="4"/>
        <w:spacing w:after="0" w:line="332" w:lineRule="auto"/>
        <w:tabs>
          <w:tab w:leader="none" w:pos="699"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80" w:firstLine="4"/>
        <w:spacing w:after="0" w:line="332" w:lineRule="auto"/>
        <w:tabs>
          <w:tab w:leader="none" w:pos="709" w:val="left"/>
        </w:tabs>
        <w:numPr>
          <w:ilvl w:val="1"/>
          <w:numId w:val="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0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
        <w:spacing w:after="0" w:line="268" w:lineRule="auto"/>
        <w:tabs>
          <w:tab w:leader="none" w:pos="699"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
        <w:spacing w:after="0" w:line="268" w:lineRule="auto"/>
        <w:tabs>
          <w:tab w:leader="none" w:pos="709"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April 24,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125"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31(i).2 Rule 13a-14(a) Certification of Principal Financial Officer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2012, of T. Rowe Price Group, Inc.;</w:t>
      </w:r>
    </w:p>
    <w:p>
      <w:pPr>
        <w:spacing w:after="0" w:line="90" w:lineRule="exact"/>
        <w:rPr>
          <w:rFonts w:ascii="Arial" w:cs="Arial" w:eastAsia="Arial" w:hAnsi="Arial"/>
          <w:sz w:val="18"/>
          <w:szCs w:val="18"/>
          <w:color w:val="auto"/>
        </w:rPr>
      </w:pPr>
    </w:p>
    <w:p>
      <w:pPr>
        <w:ind w:left="460" w:right="220" w:hanging="452"/>
        <w:spacing w:after="0" w:line="35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80" w:firstLine="4"/>
        <w:spacing w:after="0" w:line="259" w:lineRule="auto"/>
        <w:tabs>
          <w:tab w:leader="none" w:pos="699"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20" w:firstLine="4"/>
        <w:spacing w:after="0" w:line="259" w:lineRule="auto"/>
        <w:tabs>
          <w:tab w:leader="none" w:pos="709"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60" w:firstLine="4"/>
        <w:spacing w:after="0" w:line="332" w:lineRule="auto"/>
        <w:tabs>
          <w:tab w:leader="none" w:pos="699"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80" w:firstLine="4"/>
        <w:spacing w:after="0" w:line="332" w:lineRule="auto"/>
        <w:tabs>
          <w:tab w:leader="none" w:pos="709"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0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
        <w:spacing w:after="0" w:line="268" w:lineRule="auto"/>
        <w:tabs>
          <w:tab w:leader="none" w:pos="699"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
        <w:spacing w:after="0" w:line="268" w:lineRule="auto"/>
        <w:tabs>
          <w:tab w:leader="none" w:pos="7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April 24,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125" w:right="279" w:bottom="1440" w:gutter="0" w:footer="0" w:header="0"/>
        </w:sectPr>
      </w:pPr>
    </w:p>
    <w:bookmarkStart w:id="21" w:name="page22"/>
    <w:bookmarkEnd w:id="21"/>
    <w:p>
      <w:pPr>
        <w:spacing w:after="0"/>
        <w:tabs>
          <w:tab w:leader="none" w:pos="744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5"/>
          <w:szCs w:val="15"/>
          <w:b w:val="1"/>
          <w:bCs w:val="1"/>
          <w:color w:val="auto"/>
        </w:rPr>
        <w:t>Section 1350 Certifications</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2012, of T. Rowe Price Group, Inc., that:</w:t>
      </w:r>
    </w:p>
    <w:p>
      <w:pPr>
        <w:spacing w:after="0" w:line="13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Form 10-Q Quarterly Report fully complies with the requirements of Section 13(a) of the Securities Exchange Act of 1934, as amended; and</w:t>
      </w:r>
    </w:p>
    <w:p>
      <w:pPr>
        <w:spacing w:after="0" w:line="194" w:lineRule="exact"/>
        <w:rPr>
          <w:rFonts w:ascii="Arial" w:cs="Arial" w:eastAsia="Arial" w:hAnsi="Arial"/>
          <w:sz w:val="16"/>
          <w:szCs w:val="16"/>
          <w:color w:val="auto"/>
        </w:rPr>
      </w:pPr>
    </w:p>
    <w:p>
      <w:pPr>
        <w:ind w:right="180" w:firstLine="8"/>
        <w:spacing w:after="0" w:line="268"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April 24,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40"/>
          </w:cols>
          <w:pgMar w:left="240" w:top="125"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006590" cy="875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659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GROUP REPORTS FIRST QUARTER 2012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Under Management Increase to $555 Billion</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BALTIMORE (April 24, 2012) – T. Rowe Price Group, Inc. (NASDAQ-GS: TROW) today reported its first quarter of 2012 results, including net revenues of $728.7 million, net income of $197.5 million, and diluted earnings per common share of $.75. In the first quarter of 2011, net revenues were $682.4 million, net income was $194.6 million, and diluted earnings per common share was $.72.</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Investment advisory revenues for the first quarter of 2012 increased $34.2 million to $623.0 million from the comparable 2011 period, as average assets under management were up $31.9 billion, or 6%. Assets under management at March 31, 2012 totaled a record $554.8 billion, an increase of $65.3 billion from $489.5 billion at December 31, 2011. The increase in the first quarter of 2012 is attributable to net cash inflows of $12.4 billion, including $4.2 billion originating in the target-date retirement portfolios, and market appreciation and income of $52.9 billion.</w:t>
      </w:r>
    </w:p>
    <w:p>
      <w:pPr>
        <w:spacing w:after="0" w:line="11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March 31, 2012, assets under management include $325.4 billion in T. Rowe Price mutual funds distributed in the United States, and $229.4 billion in other managed investment portfolios. The firm’s target-date retirement portfolios had assets under management at March 31, 2012 of $78.8 billion, including $71.2 billion in the target-date retirement funds and $7.6 billion in the target-date retirement trusts.</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an investment performance standpoint, 75% of the T. Rowe Price funds across their share classes outperformed their comparable Lipper averages on a total return basis for the three-year period ended March 31, 2012, 88% outperformed for the five-year period, 76% outperformed for the 10-year period, and 73% outperformed for the one-year period. In addition, T. Rowe Price stock, bond and blended asset funds that ended the quarter with an overall rating of four or five stars from Morningstar account for nearly 83% of the firm’s rated funds’ assets under management. The firm’s target-date retirement funds – which provide simplified investment and retirement planning solutions for many clients – continue to deliver very attractive long-term performance, with at least 92% of these funds outperforming their comparable Lipper averages on a total return basis for the three- and five-year periods ended March 31,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Investment advisory revenues earned in the first quarter of 2012 from the T. Rowe Price mutual funds distributed in the United States were $425.9 million, an increase of $25.4 million, or 6%, from the comparable 2011 quarter. Average mutual fund assets under management in the first quarter of 2012 were $312.4 billion, an increase of 7% from the average for the first quarter of 2011. Money market fees voluntarily waived by the firm to maintain positive yields for fund investors in the first quarter of 2012 were $8.8 million compared with $7.0 million in the comparable 2011 quarter.</w:t>
      </w:r>
    </w:p>
    <w:p>
      <w:pPr>
        <w:spacing w:after="0" w:line="11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Mutual fund assets at March 31, 2012 were $325.4 billion, an increase of $36.0 billion from the end of 2011. Net inflows during the first quarter of 2012 were $5.3 billion, including $3.5 billion into the bond funds and $2.5 billion into the stock and blended asset funds. The money market funds had net outflows of $.7 billion. Mutual fund net inflow amounts for the first quarter of 2012 are presented net of $3.7 billion that was transferred to the other investment portfolios. These transfers were primarily from the target-date retirement funds to the target-date retirement trusts. The firm expects that additional transfers to these retirement trusts are likely to occur in the future. Higher market valuations and income increased mutual fund assets under management by $30.7 billion during the first quarter of 2012.</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Investment advisory revenues earned on the other investment portfolios were $197.1 million for the first quarter of 2012 compared to $188.3 million earned in the comparable 2011 quarter. Average assets in these portfolios were $217.9 billion during the first quarter of 2012, an increase of $11.5 billion, or nearly 6%, from the 2011 quarter. Net inflows of $7.1 billion and market appreciation and income of $22.2 billion increased assets under management in these portfolios by $29.3 billion during the first quarter of 2012 to $229.4 billion at March 31, 2012. Net inflows during the first quarter of 2012 include the $3.7 billion transferred from the mutual funds with the remainder being sourced primarily from third-party intermediaries. Investors domiciled outside the United States accounted for 11% of the firm’s assets under management at March 31, 2012.</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Distribution and servicing fee revenue earned from 12b-1 plans of the Advisor, R and variable annuity class shares of the firm’s sponsored portfolios were $22.2 million in the first quarter of 2012, an increase of $9.5 million from the 2011 quarter. The increase in these 12b-1 fees is primarily a result of fees earned on the R class shares in the first quarter of 2012 for which the comparable 2011 quarterly revenue was netted against related distribution and servicing costs. These fees are entirely offset by the distribution and servicing costs paid to third-party financial intermediaries that source such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23" w:name="page24"/>
    <w:bookmarkEnd w:id="2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expenses were $412.5 million in the first quarter of 2012, up $41.6 million from the 2011 quarter due primarily to increases in compensation and related costs and distribution and servicing costs. Higher compensation and related costs of $17.8 million are primarily attributable to an increase in the firm’s number of associates, base salaries and variable compensation, and the costs of employee benefits. The firm has increased its average staff size by nearly 3% from the first quarter of 2011, and employed 5,230 associates at March 31, 2012.</w:t>
      </w:r>
    </w:p>
    <w:p>
      <w:pPr>
        <w:spacing w:after="0" w:line="14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Advertising and promotion expenditures were $25.8 million in the first quarter of 2012 compared to $25.4 million in the comparable 2011 period. The firm currently expects that its advertising and promotion expenditures for the remainder of 2012 will increase modestly over 2011 levels. The firm varies its level of spending based on market conditions and investor demand as well as its efforts to expand its investor base in the United States and abroad.</w:t>
      </w:r>
    </w:p>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operating expenses were $54.6 million in the first quarter of 2012, an increase of $9.0 million from the comparable 2011 period. The increase is due to higher costs incurred to meet growing business demands as well as the reclassification of $5.3 million in certain third-party servicing costs that were previously reported as reductions of advisory and administrative fee revenues in the first quarter of 2011.</w:t>
      </w:r>
    </w:p>
    <w:p>
      <w:pPr>
        <w:spacing w:after="0" w:line="14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provision for income taxes as a percentage of pretax income for the first quarter of 2012 is 38.5%, which is slightly higher then the 38.2% effective tax rate for the full-year 2011, due to certain adjustments made to prior year tax accruals. The firm currently estimates its effective rate for 2012 will be 38.3%.</w:t>
      </w:r>
    </w:p>
    <w:p>
      <w:pPr>
        <w:spacing w:after="0" w:line="8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 Rowe Price remains debt-free with ample liquidity, including cash and mutual fund investment holdings of $1.9 billion. During the first quarter of 2012, the firm funded the $18.6 million invested in capitalized technology and facilities from operating cash flows. The firm is planning 2012 capital expenditures of about $100 million for property and equipment additions, which it expects to fund with operating resources. During the first quarter of 2012, the firm increased its quarterly dividend rate by 10% to $.34 over the previous quarterly dividend rate of $.31. This increase marked the 26th consecutive year since the firm’s initial public offering that the company will have raised its annual dividend.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9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James A.C. Kennedy, the company’s chief executive officer and president, commented: “Signs of economic improvement, healthy corporate earnings, and continued central bank easing extended the rebound that began in the final months of 2011 through the first quarter of 2012. We are pleased that in this environment, existing and new clients continued to look to us for investment solutions and entrusted us with their investments. Record quarterly client inflows combined with market appreciation boosted the firm’s ending and quarterly average assets under management to a record high for a quarter-end period.</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recognize that the market returns we saw in the first quarter would generally not be repeatable during the balance of the year. Markets remain anxious about continued economic weakness and financial uncertainty in Europe, U.S. budget issues, higher energy prices, political turbulence in the Middle East, and slowing growth in China. Still, the U.S. economy seems to be improving, valuations are generally reasonable, and corporate balance sheets remain healthy. Over time, solid fundamentals should continue to provide attractive investment opportunities.”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closing, Mr. Kennedy said: “With this summer’s 75th anniversary of our firm’s founding, it is reassuring that the principled pursuit of clients’ success – which was the foundation upon which Thomas Rowe Price, Jr. built the firm – remains the guiding principle for us today. By staying true to our values, and maintaining a long-term perspective and collaborative environment for our talented and dedicated associates, we are confident that our clients, and thereby our firm and stockholders, will continue to achieve success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first quarter of 2012 with the U.S. Securities and Exchange Commission later today. The Form 10-Q will include additional information on the firm’s unaudited financial results at March 31, 2012.</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Certain statements in this press release may represent “forward-looking information,” including information relating to anticipated changes in revenues, net income and earnings per common share, anticipated changes in the amount and composition of assets under management, anticipated expense levels, estimated tax rates, and expectations regarding financial results, future transactions, investments, capital expenditures, and other market conditions. For a discussion concerning risks and other factors that could affect future results, see the firm’s 2012 Form 10-K report.</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u w:val="single" w:color="auto"/>
          <w:color w:val="auto"/>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STATEMENTS OF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right"/>
              <w:ind w:right="7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w w:val="93"/>
              </w:rPr>
              <w:t>3/31/2011</w:t>
            </w: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w w:val="96"/>
              </w:rPr>
              <w:t>3/31/2012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7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588.8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Distribution and servicing fees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 of savings bank subsidiary</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Net revenues</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682.4</w:t>
            </w: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Compensation and related costs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242.9</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Advertising and promotion</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Distribution and servicing costs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311.5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Non-operating investment income</w:t>
            </w:r>
          </w:p>
        </w:tc>
        <w:tc>
          <w:tcPr>
            <w:tcW w:w="1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315.4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Net income allocated to common stockholders</w:t>
            </w: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allocated to common stockholders</w:t>
            </w:r>
          </w:p>
        </w:tc>
        <w:tc>
          <w:tcPr>
            <w:tcW w:w="1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vMerge w:val="continue"/>
          </w:tcPr>
          <w:p>
            <w:pPr>
              <w:spacing w:after="0"/>
              <w:rPr>
                <w:sz w:val="18"/>
                <w:szCs w:val="18"/>
                <w:color w:val="auto"/>
              </w:rPr>
            </w:pPr>
          </w:p>
        </w:tc>
        <w:tc>
          <w:tcPr>
            <w:tcW w:w="17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.72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7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268.5</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472"/>
              <w:spacing w:after="0"/>
              <w:rPr>
                <w:sz w:val="20"/>
                <w:szCs w:val="20"/>
                <w:color w:val="auto"/>
              </w:rPr>
            </w:pPr>
            <w:r>
              <w:rPr>
                <w:rFonts w:ascii="Arial" w:cs="Arial" w:eastAsia="Arial" w:hAnsi="Arial"/>
                <w:sz w:val="18"/>
                <w:szCs w:val="18"/>
                <w:color w:val="auto"/>
              </w:rPr>
              <w:t>- 3 -</w:t>
            </w: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Advisory Revenues (in millions)</w:t>
            </w:r>
          </w:p>
        </w:tc>
        <w:tc>
          <w:tcPr>
            <w:tcW w:w="1700" w:type="dxa"/>
            <w:vAlign w:val="bottom"/>
            <w:gridSpan w:val="4"/>
          </w:tcPr>
          <w:p>
            <w:pPr>
              <w:ind w:left="2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6980" w:type="dxa"/>
            <w:vAlign w:val="bottom"/>
            <w:gridSpan w:val="2"/>
            <w:vMerge w:val="continue"/>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3/31/2011</w:t>
            </w: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3/31/2012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$ 327.0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$ 344.1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560" w:type="dxa"/>
            <w:vAlign w:val="bottom"/>
          </w:tcPr>
          <w:p>
            <w:pPr>
              <w:jc w:val="right"/>
              <w:spacing w:after="0"/>
              <w:rPr>
                <w:sz w:val="20"/>
                <w:szCs w:val="20"/>
                <w:color w:val="auto"/>
              </w:rPr>
            </w:pPr>
            <w:r>
              <w:rPr>
                <w:rFonts w:ascii="Arial" w:cs="Arial" w:eastAsia="Arial" w:hAnsi="Arial"/>
                <w:sz w:val="18"/>
                <w:szCs w:val="18"/>
                <w:color w:val="auto"/>
              </w:rPr>
              <w:t>154.8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money market and stable value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5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$ 588.8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8"/>
          </w:tcPr>
          <w:p>
            <w:pPr>
              <w:jc w:val="right"/>
              <w:ind w:right="620"/>
              <w:spacing w:after="0"/>
              <w:rPr>
                <w:sz w:val="20"/>
                <w:szCs w:val="20"/>
                <w:color w:val="auto"/>
              </w:rPr>
            </w:pPr>
            <w:r>
              <w:rPr>
                <w:rFonts w:ascii="Arial" w:cs="Arial" w:eastAsia="Arial" w:hAnsi="Arial"/>
                <w:sz w:val="14"/>
                <w:szCs w:val="14"/>
                <w:color w:val="auto"/>
                <w:w w:val="94"/>
              </w:rPr>
              <w:t>Average during the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 Under Management (in billions)</w:t>
            </w:r>
          </w:p>
        </w:tc>
        <w:tc>
          <w:tcPr>
            <w:tcW w:w="300" w:type="dxa"/>
            <w:vAlign w:val="bottom"/>
          </w:tcPr>
          <w:p>
            <w:pPr>
              <w:spacing w:after="0"/>
              <w:rPr>
                <w:sz w:val="13"/>
                <w:szCs w:val="13"/>
                <w:color w:val="auto"/>
              </w:rPr>
            </w:pPr>
          </w:p>
        </w:tc>
        <w:tc>
          <w:tcPr>
            <w:tcW w:w="1760" w:type="dxa"/>
            <w:vAlign w:val="bottom"/>
            <w:gridSpan w:val="8"/>
          </w:tcPr>
          <w:p>
            <w:pPr>
              <w:jc w:val="right"/>
              <w:ind w:right="820"/>
              <w:spacing w:after="0" w:line="159" w:lineRule="exact"/>
              <w:rPr>
                <w:sz w:val="20"/>
                <w:szCs w:val="20"/>
                <w:color w:val="auto"/>
              </w:rPr>
            </w:pPr>
            <w:r>
              <w:rPr>
                <w:rFonts w:ascii="Arial" w:cs="Arial" w:eastAsia="Arial" w:hAnsi="Arial"/>
                <w:sz w:val="14"/>
                <w:szCs w:val="14"/>
                <w:color w:val="auto"/>
              </w:rPr>
              <w:t>first quarter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w w:val="83"/>
              </w:rPr>
              <w:t>2011</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12"/>
              <w:spacing w:after="0" w:line="142" w:lineRule="exact"/>
              <w:rPr>
                <w:sz w:val="20"/>
                <w:szCs w:val="20"/>
                <w:color w:val="auto"/>
              </w:rPr>
            </w:pPr>
            <w:r>
              <w:rPr>
                <w:rFonts w:ascii="Arial" w:cs="Arial" w:eastAsia="Arial" w:hAnsi="Arial"/>
                <w:sz w:val="14"/>
                <w:szCs w:val="14"/>
                <w:color w:val="auto"/>
              </w:rPr>
              <w:t>2012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12/31/2011</w:t>
            </w: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3/31/2012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$220.8</w:t>
            </w:r>
          </w:p>
        </w:tc>
        <w:tc>
          <w:tcPr>
            <w:tcW w:w="200" w:type="dxa"/>
            <w:vAlign w:val="bottom"/>
          </w:tcPr>
          <w:p>
            <w:pPr>
              <w:spacing w:after="0"/>
              <w:rPr>
                <w:sz w:val="18"/>
                <w:szCs w:val="18"/>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8"/>
                <w:szCs w:val="18"/>
                <w:color w:val="auto"/>
              </w:rPr>
            </w:pPr>
          </w:p>
        </w:tc>
        <w:tc>
          <w:tcPr>
            <w:tcW w:w="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289.4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154.6</w:t>
            </w:r>
          </w:p>
        </w:tc>
        <w:tc>
          <w:tcPr>
            <w:tcW w:w="200" w:type="dxa"/>
            <w:vAlign w:val="bottom"/>
          </w:tcPr>
          <w:p>
            <w:pPr>
              <w:spacing w:after="0"/>
              <w:rPr>
                <w:sz w:val="18"/>
                <w:szCs w:val="18"/>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money market and stable value</w:t>
            </w: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206.4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498.4</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Stock and blended asset portfolios</w:t>
            </w: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352.4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$ 409.1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Fixed income portfolios</w:t>
            </w: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137.1</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489.5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$ 554.8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Condensed Consolidated Cash Flows Information (in millions)</w:t>
            </w:r>
          </w:p>
        </w:tc>
        <w:tc>
          <w:tcPr>
            <w:tcW w:w="300" w:type="dxa"/>
            <w:vAlign w:val="bottom"/>
          </w:tcPr>
          <w:p>
            <w:pPr>
              <w:spacing w:after="0" w:line="20" w:lineRule="exact"/>
              <w:rPr>
                <w:sz w:val="1"/>
                <w:szCs w:val="1"/>
                <w:color w:val="auto"/>
              </w:rPr>
            </w:pPr>
          </w:p>
        </w:tc>
        <w:tc>
          <w:tcPr>
            <w:tcW w:w="1760" w:type="dxa"/>
            <w:vAlign w:val="bottom"/>
            <w:gridSpan w:val="8"/>
            <w:vMerge w:val="restart"/>
          </w:tcPr>
          <w:p>
            <w:pPr>
              <w:jc w:val="right"/>
              <w:ind w:right="38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66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8"/>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3"/>
              </w:rPr>
              <w:t>3/31/2011</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color w:val="auto"/>
              </w:rPr>
              <w:t>3/31/2012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6"/>
              </w:rPr>
              <w:t>Cash provided by operating activities, including $24.1 of stock-based compensation in</w:t>
            </w: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$ 336.0</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$ 265.8</w:t>
            </w:r>
          </w:p>
        </w:tc>
        <w:tc>
          <w:tcPr>
            <w:tcW w:w="1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w w:val="91"/>
              </w:rPr>
              <w:t>Cash used in investing activities, including ($18.6) for additions to property and equipment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in 2012</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(17.0)</w:t>
            </w: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 including dividends paid of ($86.8) in 2012</w:t>
            </w:r>
          </w:p>
        </w:tc>
        <w:tc>
          <w:tcPr>
            <w:tcW w:w="3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(67.2)</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 during the period</w:t>
            </w:r>
          </w:p>
        </w:tc>
        <w:tc>
          <w:tcPr>
            <w:tcW w:w="3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w w:val="86"/>
              </w:rPr>
              <w:t>$ 251.8</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$ 205.6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Condensed Consolidated Balance Sheet Information (in millions)</w:t>
            </w: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6620" w:type="dxa"/>
            <w:vAlign w:val="bottom"/>
            <w:gridSpan w:val="2"/>
            <w:vMerge w:val="continue"/>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12/31/2011</w:t>
            </w:r>
          </w:p>
        </w:tc>
        <w:tc>
          <w:tcPr>
            <w:tcW w:w="200" w:type="dxa"/>
            <w:vAlign w:val="bottom"/>
          </w:tcPr>
          <w:p>
            <w:pPr>
              <w:spacing w:after="0"/>
              <w:rPr>
                <w:sz w:val="24"/>
                <w:szCs w:val="24"/>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4"/>
                <w:szCs w:val="14"/>
                <w:color w:val="auto"/>
              </w:rPr>
              <w:t>3/31/2012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897.9</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7"/>
              </w:rPr>
              <w:t>$1,103.5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Accounts receivable</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304.5</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764.5</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567.4</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665.7</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w w:val="98"/>
              </w:rPr>
              <w:t>Debt securities held by savings bank subsidiary, other investments and other assets</w:t>
            </w:r>
          </w:p>
        </w:tc>
        <w:tc>
          <w:tcPr>
            <w:tcW w:w="3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570.3</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583.7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3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3,770.3</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4,076.9</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Total liabilities</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349.6</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2"/>
              </w:rPr>
              <w:t>Stockholders’ equity, 254.9 common shares outstanding in 2012, including net unrealized</w:t>
            </w: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 gains of $152.1 in 2012</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3,420.7</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3,630.1</w:t>
            </w:r>
          </w:p>
        </w:tc>
        <w:tc>
          <w:tcPr>
            <w:tcW w:w="1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5560"/>
              <w:spacing w:after="0"/>
              <w:rPr>
                <w:sz w:val="20"/>
                <w:szCs w:val="20"/>
                <w:color w:val="auto"/>
              </w:rPr>
            </w:pPr>
            <w:r>
              <w:rPr>
                <w:rFonts w:ascii="Arial" w:cs="Arial" w:eastAsia="Arial" w:hAnsi="Arial"/>
                <w:sz w:val="18"/>
                <w:szCs w:val="18"/>
                <w:color w:val="auto"/>
              </w:rPr>
              <w:t>- 4 -</w:t>
            </w: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6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500"/>
      </w:cols>
      <w:pgMar w:left="240" w:top="276"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5"/>
    </w:lvl>
  </w:abstractNum>
  <w:abstractNum w:abstractNumId="2">
    <w:nsid w:val="238E1F29"/>
    <w:multiLevelType w:val="hybridMultilevel"/>
    <w:lvl w:ilvl="0">
      <w:lvlJc w:val="left"/>
      <w:lvlText w:val="%1"/>
      <w:numFmt w:val="decimal"/>
      <w:start w:val="10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2019-12-09T14:05:30Z</dcterms:created>
  <dcterms:modified xsi:type="dcterms:W3CDTF">2019-12-09T14:05:30Z</dcterms:modified>
</cp:coreProperties>
</file>